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9979E1" w14:textId="51405D4E" w:rsidR="00BD499F" w:rsidRPr="004C23F4" w:rsidRDefault="00EC5979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Flour Dust (Cereal)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F43AD5" w:rsidRPr="004C23F4" w14:paraId="47CFBFAA" w14:textId="77777777" w:rsidTr="00D13DDB">
        <w:trPr>
          <w:cantSplit/>
          <w:tblHeader/>
        </w:trPr>
        <w:tc>
          <w:tcPr>
            <w:tcW w:w="3997" w:type="dxa"/>
          </w:tcPr>
          <w:p w14:paraId="35E59AB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29" w:type="dxa"/>
          </w:tcPr>
          <w:p w14:paraId="446DEAA6" w14:textId="104CD9D7" w:rsidR="00F43AD5" w:rsidRPr="00717D45" w:rsidRDefault="000C4571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71BA89DA" w14:textId="77777777" w:rsidTr="00D13DDB">
        <w:trPr>
          <w:cantSplit/>
        </w:trPr>
        <w:tc>
          <w:tcPr>
            <w:tcW w:w="3997" w:type="dxa"/>
          </w:tcPr>
          <w:p w14:paraId="07F8C30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29" w:type="dxa"/>
          </w:tcPr>
          <w:p w14:paraId="6D5F07C9" w14:textId="0490C292" w:rsidR="00F43AD5" w:rsidRPr="00717D45" w:rsidRDefault="000C4571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3A4C08E1" w14:textId="77777777" w:rsidTr="00D13DDB">
        <w:trPr>
          <w:cantSplit/>
        </w:trPr>
        <w:tc>
          <w:tcPr>
            <w:tcW w:w="3997" w:type="dxa"/>
          </w:tcPr>
          <w:p w14:paraId="1C47565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29" w:type="dxa"/>
          </w:tcPr>
          <w:p w14:paraId="77C777CE" w14:textId="082EF74A" w:rsidR="00F43AD5" w:rsidRPr="00717D45" w:rsidRDefault="000C4571" w:rsidP="00B76A41">
            <w:pPr>
              <w:pStyle w:val="Tablefont"/>
            </w:pPr>
            <w:r>
              <w:t>—</w:t>
            </w:r>
          </w:p>
        </w:tc>
      </w:tr>
    </w:tbl>
    <w:p w14:paraId="25E78FC5" w14:textId="3DB5FE2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6586B">
            <w:rPr>
              <w:rStyle w:val="WESstatus"/>
            </w:rPr>
            <w:t xml:space="preserve"> </w:t>
          </w:r>
          <w:r w:rsidR="003E1595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0E5B3726" w14:textId="77777777" w:rsidTr="009B771C">
        <w:trPr>
          <w:cantSplit/>
          <w:tblHeader/>
        </w:trPr>
        <w:tc>
          <w:tcPr>
            <w:tcW w:w="4005" w:type="dxa"/>
            <w:vAlign w:val="center"/>
          </w:tcPr>
          <w:p w14:paraId="3F833D6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8D855AB" w14:textId="6AF1893C" w:rsidR="002C7AFE" w:rsidRPr="003929ED" w:rsidRDefault="003929ED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0.5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</w:p>
        </w:tc>
      </w:tr>
      <w:tr w:rsidR="002C7AFE" w:rsidRPr="004C23F4" w14:paraId="554A717B" w14:textId="77777777" w:rsidTr="009B771C">
        <w:trPr>
          <w:cantSplit/>
        </w:trPr>
        <w:tc>
          <w:tcPr>
            <w:tcW w:w="4005" w:type="dxa"/>
            <w:vAlign w:val="center"/>
          </w:tcPr>
          <w:p w14:paraId="5C5F5EDB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51C6DE49" w14:textId="02F6085B" w:rsidR="002C7AFE" w:rsidRPr="00EB3D1B" w:rsidRDefault="009B771C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45B60070" w14:textId="77777777" w:rsidTr="009B771C">
        <w:trPr>
          <w:cantSplit/>
        </w:trPr>
        <w:tc>
          <w:tcPr>
            <w:tcW w:w="4005" w:type="dxa"/>
            <w:vAlign w:val="center"/>
          </w:tcPr>
          <w:p w14:paraId="23F0692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58FEE578" w14:textId="3DB506CD" w:rsidR="002C7AFE" w:rsidRPr="00EB3D1B" w:rsidRDefault="009B771C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6166039F" w14:textId="77777777" w:rsidTr="009B771C">
        <w:trPr>
          <w:cantSplit/>
        </w:trPr>
        <w:tc>
          <w:tcPr>
            <w:tcW w:w="4005" w:type="dxa"/>
          </w:tcPr>
          <w:p w14:paraId="723BAC57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764F75C5" w14:textId="77777777" w:rsidR="002C7AFE" w:rsidRPr="00EB3D1B" w:rsidRDefault="002C7AFE" w:rsidP="008A36CF">
            <w:pPr>
              <w:pStyle w:val="Tablefont"/>
              <w:rPr>
                <w:b/>
              </w:rPr>
            </w:pPr>
          </w:p>
        </w:tc>
      </w:tr>
      <w:tr w:rsidR="002C7AFE" w:rsidRPr="004C23F4" w14:paraId="269586D3" w14:textId="77777777" w:rsidTr="009B771C">
        <w:trPr>
          <w:cantSplit/>
        </w:trPr>
        <w:tc>
          <w:tcPr>
            <w:tcW w:w="4005" w:type="dxa"/>
            <w:vAlign w:val="center"/>
          </w:tcPr>
          <w:p w14:paraId="21A5CABF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705FCF03" w14:textId="091F6AAE" w:rsidR="002C7AFE" w:rsidRPr="00EB3D1B" w:rsidRDefault="000C4571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9B771C" w:rsidRPr="004C23F4" w14:paraId="19E7E7CC" w14:textId="77777777" w:rsidTr="003D5CFE">
        <w:trPr>
          <w:cantSplit/>
        </w:trPr>
        <w:tc>
          <w:tcPr>
            <w:tcW w:w="9026" w:type="dxa"/>
            <w:gridSpan w:val="2"/>
            <w:vAlign w:val="center"/>
          </w:tcPr>
          <w:p w14:paraId="3A8BA28E" w14:textId="6E8C1BE5" w:rsidR="009B771C" w:rsidRPr="003343F0" w:rsidRDefault="009B771C" w:rsidP="009B771C">
            <w:pPr>
              <w:pStyle w:val="Tablefont"/>
              <w:rPr>
                <w:b/>
              </w:rPr>
            </w:pPr>
            <w:r w:rsidRPr="003343F0">
              <w:rPr>
                <w:b/>
              </w:rPr>
              <w:t>Sampling and analysis:</w:t>
            </w:r>
            <w:r w:rsidRPr="003343F0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59FF02401C5B434684DD4A0A46BB5C2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3343F0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0B4382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CDB0F1A" w14:textId="155330C9" w:rsidR="006639B4" w:rsidRPr="00F362B8" w:rsidRDefault="00F362B8" w:rsidP="000C139A">
      <w:pPr>
        <w:rPr>
          <w:rFonts w:cs="Arial"/>
        </w:rPr>
      </w:pPr>
      <w:r>
        <w:rPr>
          <w:rFonts w:cs="Arial"/>
        </w:rPr>
        <w:t>A TWA of 0.5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 is recommended to protect for respiratory effects and sensitisation in exposed workers.</w:t>
      </w:r>
    </w:p>
    <w:p w14:paraId="0ADF37A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DDA0F14" w14:textId="2455F442" w:rsidR="00BE066E" w:rsidRDefault="00497FE9" w:rsidP="003929ED">
      <w:r w:rsidRPr="00497FE9">
        <w:t>Flour is used to make foods for human or animal</w:t>
      </w:r>
      <w:r>
        <w:rPr>
          <w:b/>
          <w:bCs/>
          <w:iCs/>
        </w:rPr>
        <w:t xml:space="preserve"> </w:t>
      </w:r>
      <w:r w:rsidRPr="00497FE9">
        <w:t>consumption</w:t>
      </w:r>
      <w:r>
        <w:rPr>
          <w:b/>
          <w:bCs/>
          <w:iCs/>
        </w:rPr>
        <w:t xml:space="preserve">. </w:t>
      </w:r>
      <w:r w:rsidR="003929ED">
        <w:t>Critical effects</w:t>
      </w:r>
      <w:r w:rsidR="00CB1269">
        <w:t xml:space="preserve"> of exposure</w:t>
      </w:r>
      <w:r w:rsidR="003929ED">
        <w:t xml:space="preserve"> include asthma and effects on respiratory tract and the eyes </w:t>
      </w:r>
      <w:r w:rsidR="00BE066E">
        <w:t>(i.e.</w:t>
      </w:r>
      <w:r w:rsidR="003929ED">
        <w:t xml:space="preserve"> rhinitis, conjunctivitis</w:t>
      </w:r>
      <w:r w:rsidR="00BE066E">
        <w:t>)</w:t>
      </w:r>
      <w:r w:rsidR="003929ED">
        <w:t xml:space="preserve">. </w:t>
      </w:r>
    </w:p>
    <w:p w14:paraId="5BCA1BDD" w14:textId="73CB0243" w:rsidR="003929ED" w:rsidRPr="003929ED" w:rsidRDefault="003929ED" w:rsidP="003929ED">
      <w:r>
        <w:t xml:space="preserve">Exposure </w:t>
      </w:r>
      <w:r w:rsidR="00D13DDB">
        <w:t>at</w:t>
      </w:r>
      <w:r>
        <w:t xml:space="preserve"> 1.35 to 3.57 mg/</w:t>
      </w:r>
      <w:proofErr w:type="spellStart"/>
      <w:r>
        <w:t>m</w:t>
      </w:r>
      <w:r w:rsidRPr="00EC5979">
        <w:rPr>
          <w:vertAlign w:val="superscript"/>
        </w:rPr>
        <w:t>3</w:t>
      </w:r>
      <w:proofErr w:type="spellEnd"/>
      <w:r>
        <w:rPr>
          <w:vertAlign w:val="superscript"/>
        </w:rPr>
        <w:t xml:space="preserve"> </w:t>
      </w:r>
      <w:r>
        <w:t>(total flour dust) is</w:t>
      </w:r>
      <w:r>
        <w:rPr>
          <w:vertAlign w:val="superscript"/>
        </w:rPr>
        <w:t xml:space="preserve"> </w:t>
      </w:r>
      <w:r>
        <w:t xml:space="preserve">identified with changes in lung function tests and an increased prevalence of respiratory and asthmatic symptoms. A cross-sectional study identified an increase in the prevalence of chronic bronchitis, work-related wheeze and work-related nasal symptoms for workers exposed </w:t>
      </w:r>
      <w:r w:rsidR="00F85DB5">
        <w:t xml:space="preserve">at </w:t>
      </w:r>
      <w:r w:rsidR="00D13DDB">
        <w:t>2 mg/</w:t>
      </w:r>
      <w:proofErr w:type="spellStart"/>
      <w:r w:rsidR="00D13DDB">
        <w:t>m</w:t>
      </w:r>
      <w:r w:rsidR="00D13DDB" w:rsidRPr="00EC5979">
        <w:rPr>
          <w:vertAlign w:val="superscript"/>
        </w:rPr>
        <w:t>3</w:t>
      </w:r>
      <w:r w:rsidR="00F85DB5">
        <w:t>or</w:t>
      </w:r>
      <w:proofErr w:type="spellEnd"/>
      <w:r w:rsidR="00F85DB5">
        <w:t xml:space="preserve"> </w:t>
      </w:r>
      <w:r w:rsidR="00D13DDB">
        <w:t>higher</w:t>
      </w:r>
      <w:r>
        <w:t xml:space="preserve">. Data indicates sensitisation in bakers following exposures </w:t>
      </w:r>
      <w:r w:rsidR="00D13DDB">
        <w:t>at</w:t>
      </w:r>
      <w:r>
        <w:t xml:space="preserve"> 0.5 mg/</w:t>
      </w:r>
      <w:proofErr w:type="spellStart"/>
      <w:r>
        <w:t>m</w:t>
      </w:r>
      <w:r w:rsidRPr="00497FE9">
        <w:rPr>
          <w:vertAlign w:val="superscript"/>
        </w:rPr>
        <w:t>3</w:t>
      </w:r>
      <w:proofErr w:type="spellEnd"/>
      <w:r>
        <w:t xml:space="preserve"> inhalable dust or 0.2 </w:t>
      </w:r>
      <w:r>
        <w:rPr>
          <w:rFonts w:cs="Arial"/>
        </w:rPr>
        <w:t>µ</w:t>
      </w:r>
      <w:r>
        <w:t>g/</w:t>
      </w:r>
      <w:proofErr w:type="spellStart"/>
      <w:r>
        <w:t>m</w:t>
      </w:r>
      <w:r w:rsidRPr="00497FE9">
        <w:rPr>
          <w:vertAlign w:val="superscript"/>
        </w:rPr>
        <w:t>3</w:t>
      </w:r>
      <w:proofErr w:type="spellEnd"/>
      <w:r>
        <w:t xml:space="preserve"> wheat allergen. No duration of exposure is provided (</w:t>
      </w:r>
      <w:proofErr w:type="spellStart"/>
      <w:r>
        <w:t>ACGIH</w:t>
      </w:r>
      <w:proofErr w:type="spellEnd"/>
      <w:r>
        <w:t xml:space="preserve">, 2018). </w:t>
      </w:r>
      <w:proofErr w:type="spellStart"/>
      <w:r>
        <w:t>SCOEL</w:t>
      </w:r>
      <w:proofErr w:type="spellEnd"/>
      <w:r>
        <w:t xml:space="preserve"> (2008) report</w:t>
      </w:r>
      <w:r w:rsidR="00F6586B">
        <w:t>s</w:t>
      </w:r>
      <w:r>
        <w:t xml:space="preserve"> that symptoms in the lower respiratory tract, asthma, as well as sensitisation, are rare in the range of 0.5 </w:t>
      </w:r>
      <w:r w:rsidR="00CB1269">
        <w:t xml:space="preserve">to </w:t>
      </w:r>
      <w:r>
        <w:t>1.0 mg/</w:t>
      </w:r>
      <w:proofErr w:type="spellStart"/>
      <w:r>
        <w:t>m</w:t>
      </w:r>
      <w:r w:rsidRPr="004A7F86">
        <w:rPr>
          <w:vertAlign w:val="superscript"/>
        </w:rPr>
        <w:t>3</w:t>
      </w:r>
      <w:proofErr w:type="spellEnd"/>
      <w:r>
        <w:t>.</w:t>
      </w:r>
    </w:p>
    <w:p w14:paraId="5BD552A8" w14:textId="64FEE469" w:rsidR="003929ED" w:rsidRPr="003929ED" w:rsidRDefault="003929ED" w:rsidP="003929ED">
      <w:r>
        <w:t>A TWA of 0.5 mg/</w:t>
      </w:r>
      <w:proofErr w:type="spellStart"/>
      <w:r>
        <w:t>m</w:t>
      </w:r>
      <w:r>
        <w:rPr>
          <w:vertAlign w:val="superscript"/>
        </w:rPr>
        <w:t>3</w:t>
      </w:r>
      <w:proofErr w:type="spellEnd"/>
      <w:r>
        <w:rPr>
          <w:vertAlign w:val="superscript"/>
        </w:rPr>
        <w:t xml:space="preserve"> </w:t>
      </w:r>
      <w:r w:rsidRPr="003929ED">
        <w:t xml:space="preserve">is </w:t>
      </w:r>
      <w:r w:rsidR="00F85DB5">
        <w:t xml:space="preserve">recommended as assigned by the </w:t>
      </w:r>
      <w:proofErr w:type="spellStart"/>
      <w:r w:rsidR="00F85DB5">
        <w:t>ACGIH</w:t>
      </w:r>
      <w:proofErr w:type="spellEnd"/>
      <w:r w:rsidR="00F85DB5">
        <w:t xml:space="preserve"> (2018) and is </w:t>
      </w:r>
      <w:r w:rsidR="00D13DDB">
        <w:t xml:space="preserve">considered </w:t>
      </w:r>
      <w:r>
        <w:t>sufficient</w:t>
      </w:r>
      <w:r w:rsidRPr="003929ED">
        <w:t xml:space="preserve"> to reduce the</w:t>
      </w:r>
      <w:r w:rsidR="00F362B8">
        <w:t xml:space="preserve"> </w:t>
      </w:r>
      <w:r w:rsidR="00F362B8" w:rsidRPr="003929ED">
        <w:t>risk</w:t>
      </w:r>
      <w:r w:rsidR="00F362B8">
        <w:rPr>
          <w:vertAlign w:val="superscript"/>
        </w:rPr>
        <w:t xml:space="preserve"> </w:t>
      </w:r>
      <w:r w:rsidR="00F362B8">
        <w:t>of respiratory effects</w:t>
      </w:r>
      <w:r w:rsidRPr="003929ED">
        <w:t xml:space="preserve"> </w:t>
      </w:r>
      <w:r w:rsidR="00F362B8">
        <w:t xml:space="preserve">including </w:t>
      </w:r>
      <w:r>
        <w:t>sensitisation in exposed workers.</w:t>
      </w:r>
    </w:p>
    <w:p w14:paraId="1C77B552" w14:textId="4E4A839C" w:rsidR="004529F0" w:rsidRPr="00497FE9" w:rsidRDefault="004529F0" w:rsidP="00497FE9">
      <w:pPr>
        <w:pStyle w:val="Heading2"/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</w:pPr>
      <w:r>
        <w:t>Recommendation for notations</w:t>
      </w:r>
    </w:p>
    <w:p w14:paraId="5BED0601" w14:textId="1EB4538B" w:rsidR="000C4571" w:rsidRPr="003929ED" w:rsidRDefault="000C4571" w:rsidP="000C4571">
      <w:pPr>
        <w:rPr>
          <w:rFonts w:cs="Arial"/>
        </w:rPr>
      </w:pPr>
      <w:r w:rsidRPr="003929ED">
        <w:rPr>
          <w:rFonts w:cs="Arial"/>
        </w:rPr>
        <w:t xml:space="preserve">Not classified as a carcinogen according to the Globally Harmonized System of Classification and Labelling </w:t>
      </w:r>
      <w:r w:rsidR="00F85DB5" w:rsidRPr="003929ED">
        <w:rPr>
          <w:rFonts w:cs="Arial"/>
        </w:rPr>
        <w:t>o</w:t>
      </w:r>
      <w:r w:rsidR="00F85DB5">
        <w:rPr>
          <w:rFonts w:cs="Arial"/>
        </w:rPr>
        <w:t>f</w:t>
      </w:r>
      <w:r w:rsidR="00F85DB5" w:rsidRPr="003929ED">
        <w:rPr>
          <w:rFonts w:cs="Arial"/>
        </w:rPr>
        <w:t xml:space="preserve"> </w:t>
      </w:r>
      <w:r w:rsidRPr="003929ED">
        <w:rPr>
          <w:rFonts w:cs="Arial"/>
        </w:rPr>
        <w:t xml:space="preserve">Chemicals (GHS). </w:t>
      </w:r>
    </w:p>
    <w:p w14:paraId="2F0C3878" w14:textId="5E61142D" w:rsidR="000C4571" w:rsidRPr="003929ED" w:rsidRDefault="000C4571" w:rsidP="000C4571">
      <w:pPr>
        <w:rPr>
          <w:rFonts w:cs="Arial"/>
        </w:rPr>
      </w:pPr>
      <w:r w:rsidRPr="003929ED">
        <w:rPr>
          <w:rFonts w:cs="Arial"/>
        </w:rPr>
        <w:t xml:space="preserve">Not classified as a skin </w:t>
      </w:r>
      <w:r w:rsidR="00F85DB5">
        <w:rPr>
          <w:rFonts w:cs="Arial"/>
        </w:rPr>
        <w:t xml:space="preserve">sensitiser </w:t>
      </w:r>
      <w:r w:rsidRPr="003929ED">
        <w:rPr>
          <w:rFonts w:cs="Arial"/>
        </w:rPr>
        <w:t>or respiratory sensitiser according to the GHS.</w:t>
      </w:r>
      <w:r w:rsidR="00F362B8">
        <w:rPr>
          <w:rFonts w:cs="Arial"/>
        </w:rPr>
        <w:t xml:space="preserve"> Evidence suggests potential for respiratory sensitisation</w:t>
      </w:r>
      <w:r w:rsidR="009767F6">
        <w:rPr>
          <w:rFonts w:cs="Arial"/>
        </w:rPr>
        <w:t>.</w:t>
      </w:r>
      <w:r w:rsidR="00DA20D3">
        <w:rPr>
          <w:rFonts w:cs="Arial"/>
        </w:rPr>
        <w:t xml:space="preserve"> </w:t>
      </w:r>
      <w:r w:rsidR="009767F6">
        <w:rPr>
          <w:rFonts w:cs="Arial"/>
        </w:rPr>
        <w:t>A</w:t>
      </w:r>
      <w:r w:rsidR="00F362B8">
        <w:rPr>
          <w:rFonts w:cs="Arial"/>
        </w:rPr>
        <w:t xml:space="preserve"> review of the classification </w:t>
      </w:r>
      <w:r w:rsidR="009767F6">
        <w:rPr>
          <w:rFonts w:cs="Arial"/>
        </w:rPr>
        <w:t xml:space="preserve">by </w:t>
      </w:r>
      <w:proofErr w:type="spellStart"/>
      <w:r w:rsidR="009767F6">
        <w:rPr>
          <w:rFonts w:cs="Arial"/>
        </w:rPr>
        <w:t>NICNAS</w:t>
      </w:r>
      <w:proofErr w:type="spellEnd"/>
      <w:r w:rsidR="009767F6">
        <w:rPr>
          <w:rFonts w:cs="Arial"/>
        </w:rPr>
        <w:t xml:space="preserve"> is recommended </w:t>
      </w:r>
      <w:r w:rsidR="003C7075">
        <w:rPr>
          <w:rFonts w:cs="Arial"/>
        </w:rPr>
        <w:t xml:space="preserve">for a </w:t>
      </w:r>
      <w:proofErr w:type="spellStart"/>
      <w:r w:rsidR="003C7075">
        <w:rPr>
          <w:rFonts w:cs="Arial"/>
        </w:rPr>
        <w:t>RSEN</w:t>
      </w:r>
      <w:proofErr w:type="spellEnd"/>
      <w:r w:rsidR="003C7075">
        <w:rPr>
          <w:rFonts w:cs="Arial"/>
        </w:rPr>
        <w:t xml:space="preserve"> notation</w:t>
      </w:r>
      <w:r w:rsidR="00F362B8">
        <w:rPr>
          <w:rFonts w:cs="Arial"/>
        </w:rPr>
        <w:t>.</w:t>
      </w:r>
    </w:p>
    <w:p w14:paraId="2981C0BE" w14:textId="177AB90C" w:rsidR="005E6979" w:rsidRPr="004C23F4" w:rsidRDefault="00CB126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There are insufficient data to recommend a skin notation</w:t>
      </w:r>
      <w:r w:rsidR="009B771C">
        <w:rPr>
          <w:rFonts w:cs="Arial"/>
        </w:rPr>
        <w:t>.</w:t>
      </w:r>
    </w:p>
    <w:p w14:paraId="71CBF7F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8F4886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60BA8FE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82106B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03E3466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85F048B" w14:textId="16318DE3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C4571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0C4571">
                  <w:t>NA</w:t>
                </w:r>
                <w:proofErr w:type="spellEnd"/>
              </w:sdtContent>
            </w:sdt>
          </w:p>
        </w:tc>
      </w:tr>
      <w:tr w:rsidR="00C978F0" w:rsidRPr="00DA352E" w14:paraId="026AB00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D6CCFBE" w14:textId="40FB5A5E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831980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1F0A688" w14:textId="4A49B83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C4571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C4571">
                  <w:t>TLV-TWA: 0.5 mg/</w:t>
                </w:r>
                <w:proofErr w:type="spellStart"/>
                <w:r w:rsidR="000C4571">
                  <w:t>m</w:t>
                </w:r>
                <w:r w:rsidR="000C4571" w:rsidRPr="000C4571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67AFC71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F379397" w14:textId="4A20ECBC" w:rsidR="00C978F0" w:rsidRDefault="00EC5979" w:rsidP="003365A5">
            <w:pPr>
              <w:pStyle w:val="Tabletextprimarysource"/>
            </w:pPr>
            <w:r>
              <w:t>TLV-TWA recommended to minimise the po</w:t>
            </w:r>
            <w:r w:rsidR="003929ED">
              <w:t>tential for wheat flour sensitis</w:t>
            </w:r>
            <w:r>
              <w:t>ation in exposed workers.</w:t>
            </w:r>
          </w:p>
          <w:p w14:paraId="26E8BC49" w14:textId="77777777" w:rsidR="00EC5979" w:rsidRDefault="00EC5979" w:rsidP="003365A5">
            <w:pPr>
              <w:pStyle w:val="Tabletextprimarysource"/>
            </w:pPr>
            <w:r>
              <w:t>Summary of data:</w:t>
            </w:r>
          </w:p>
          <w:p w14:paraId="72E638CE" w14:textId="77777777" w:rsidR="00EC5979" w:rsidRDefault="00EC5979" w:rsidP="003365A5">
            <w:pPr>
              <w:pStyle w:val="Tabletextprimarysource"/>
            </w:pPr>
            <w:r>
              <w:t>Human data:</w:t>
            </w:r>
          </w:p>
          <w:p w14:paraId="12E2579C" w14:textId="1D4BD868" w:rsidR="00497FE9" w:rsidRDefault="00497FE9" w:rsidP="00F4259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Reported work-related illnesses associated with flour exposure </w:t>
            </w:r>
            <w:r w:rsidR="004F0549">
              <w:t>are</w:t>
            </w:r>
            <w:r>
              <w:t xml:space="preserve"> rhinitis, conjunctivitis, “bakers’ asthma,” and dermatitis</w:t>
            </w:r>
          </w:p>
          <w:p w14:paraId="5F34C0B5" w14:textId="315E7A23" w:rsidR="00EC5979" w:rsidRDefault="00EC5979" w:rsidP="00F4259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to 1.35 to 3.57 mg/</w:t>
            </w:r>
            <w:proofErr w:type="spellStart"/>
            <w:r>
              <w:t>m</w:t>
            </w:r>
            <w:r w:rsidRPr="00EC5979">
              <w:rPr>
                <w:vertAlign w:val="superscript"/>
              </w:rPr>
              <w:t>3</w:t>
            </w:r>
            <w:proofErr w:type="spellEnd"/>
            <w:r>
              <w:rPr>
                <w:vertAlign w:val="superscript"/>
              </w:rPr>
              <w:t xml:space="preserve"> </w:t>
            </w:r>
            <w:r>
              <w:t>(total flour dust)</w:t>
            </w:r>
            <w:r>
              <w:rPr>
                <w:vertAlign w:val="superscript"/>
              </w:rPr>
              <w:t xml:space="preserve"> </w:t>
            </w:r>
            <w:r>
              <w:t>identified with changes in lung function tests and an increased prevalence of respiratory and asthmatic symptoms</w:t>
            </w:r>
            <w:r w:rsidR="00EE2BD4">
              <w:t>; no further information</w:t>
            </w:r>
          </w:p>
          <w:p w14:paraId="0437DE2D" w14:textId="2A604B48" w:rsidR="00EC5979" w:rsidRDefault="00EC5979" w:rsidP="00F4259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Cross-sectional study of 279 ba</w:t>
            </w:r>
            <w:r w:rsidR="00EE2BD4">
              <w:t>kery workers;</w:t>
            </w:r>
            <w:r>
              <w:t xml:space="preserve"> </w:t>
            </w:r>
            <w:r w:rsidR="00EE2BD4">
              <w:t>i</w:t>
            </w:r>
            <w:r>
              <w:t xml:space="preserve">ncrease in prevalence of chronic bronchitis, work-related wheeze, and nasal symptoms </w:t>
            </w:r>
            <w:r>
              <w:rPr>
                <w:rFonts w:cs="Arial"/>
              </w:rPr>
              <w:t>≥</w:t>
            </w:r>
            <w:r>
              <w:t>2 mg/</w:t>
            </w:r>
            <w:proofErr w:type="spellStart"/>
            <w:r>
              <w:t>m</w:t>
            </w:r>
            <w:r w:rsidRPr="00EC5979">
              <w:rPr>
                <w:vertAlign w:val="superscript"/>
              </w:rPr>
              <w:t>3</w:t>
            </w:r>
            <w:proofErr w:type="spellEnd"/>
            <w:r w:rsidRPr="00EC5979">
              <w:rPr>
                <w:vertAlign w:val="superscript"/>
              </w:rPr>
              <w:t xml:space="preserve"> </w:t>
            </w:r>
          </w:p>
          <w:p w14:paraId="7B02D1F4" w14:textId="3E9C8A00" w:rsidR="00EC5979" w:rsidRDefault="00497FE9" w:rsidP="00F4259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Wheat flour sensitisation may occur at 0.5 mg/</w:t>
            </w:r>
            <w:proofErr w:type="spellStart"/>
            <w:r>
              <w:t>m</w:t>
            </w:r>
            <w:r w:rsidRPr="00497FE9">
              <w:rPr>
                <w:vertAlign w:val="superscript"/>
              </w:rPr>
              <w:t>3</w:t>
            </w:r>
            <w:proofErr w:type="spellEnd"/>
            <w:r>
              <w:t xml:space="preserve"> inhalable dust (or 0.2 </w:t>
            </w:r>
            <w:proofErr w:type="spellStart"/>
            <w:r>
              <w:t>μg</w:t>
            </w:r>
            <w:proofErr w:type="spellEnd"/>
            <w:r>
              <w:t>/</w:t>
            </w:r>
            <w:proofErr w:type="spellStart"/>
            <w:r>
              <w:t>m</w:t>
            </w:r>
            <w:r w:rsidRPr="00497FE9">
              <w:rPr>
                <w:vertAlign w:val="superscript"/>
              </w:rPr>
              <w:t>3</w:t>
            </w:r>
            <w:proofErr w:type="spellEnd"/>
            <w:r>
              <w:t xml:space="preserve"> wheat allergen)</w:t>
            </w:r>
            <w:r w:rsidR="009B771C">
              <w:t>.</w:t>
            </w:r>
          </w:p>
          <w:p w14:paraId="7A5BE2A9" w14:textId="77777777" w:rsidR="00497FE9" w:rsidRDefault="00497FE9" w:rsidP="00497FE9">
            <w:pPr>
              <w:pStyle w:val="Tabletextprimarysource"/>
            </w:pPr>
            <w:r>
              <w:t>Animal data:</w:t>
            </w:r>
          </w:p>
          <w:p w14:paraId="0F0A4ACC" w14:textId="727FD89E" w:rsidR="00497FE9" w:rsidRDefault="004F0549" w:rsidP="00F4259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Mice exposed at 27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</w:t>
            </w:r>
            <w:r>
              <w:rPr>
                <w:rFonts w:cs="Arial"/>
              </w:rPr>
              <w:t>±</w:t>
            </w:r>
            <w:r>
              <w:t xml:space="preserve"> 8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>) for 3, 6, and 10 d; rapid immune modifications of the deep lung, transient inflammatory reactions but absence of notable inflammatory sites in the lung tissue; decrease in the number of B cells</w:t>
            </w:r>
            <w:r w:rsidR="009B771C">
              <w:t>.</w:t>
            </w:r>
          </w:p>
          <w:p w14:paraId="41A16516" w14:textId="5CE31786" w:rsidR="008462C5" w:rsidRPr="00DA352E" w:rsidRDefault="008462C5" w:rsidP="00F42590">
            <w:pPr>
              <w:pStyle w:val="ListBullet"/>
              <w:numPr>
                <w:ilvl w:val="0"/>
                <w:numId w:val="0"/>
              </w:numPr>
              <w:spacing w:before="60" w:after="60"/>
              <w:ind w:left="726"/>
              <w:contextualSpacing w:val="0"/>
            </w:pPr>
          </w:p>
        </w:tc>
      </w:tr>
      <w:tr w:rsidR="00C978F0" w:rsidRPr="00DA352E" w14:paraId="0CA79E1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D75D635" w14:textId="5CBD429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736C4">
                  <w:t>1995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9736C4">
                  <w:t>Not assigned</w:t>
                </w:r>
              </w:sdtContent>
            </w:sdt>
          </w:p>
        </w:tc>
      </w:tr>
      <w:tr w:rsidR="00C978F0" w:rsidRPr="00DA352E" w14:paraId="5381BA1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FAE867C" w14:textId="5D93EA42" w:rsidR="00C978F0" w:rsidRDefault="00EE2BD4" w:rsidP="00EE2BD4">
            <w:pPr>
              <w:pStyle w:val="Tabletextprimarysource"/>
              <w:tabs>
                <w:tab w:val="left" w:pos="1053"/>
              </w:tabs>
            </w:pPr>
            <w:r>
              <w:t>Summary of additional data:</w:t>
            </w:r>
          </w:p>
          <w:p w14:paraId="67FF321D" w14:textId="77777777" w:rsidR="00EE2BD4" w:rsidRDefault="00EE2BD4" w:rsidP="00F4259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Wheat flour dust and rye flour dust cause respiratory allergies</w:t>
            </w:r>
            <w:r w:rsidR="009B771C">
              <w:t>.</w:t>
            </w:r>
          </w:p>
          <w:p w14:paraId="15680B2F" w14:textId="5C23E46E" w:rsidR="008462C5" w:rsidRPr="00DA352E" w:rsidRDefault="008462C5" w:rsidP="00F42590">
            <w:pPr>
              <w:pStyle w:val="ListBullet"/>
              <w:numPr>
                <w:ilvl w:val="0"/>
                <w:numId w:val="0"/>
              </w:numPr>
              <w:spacing w:before="60" w:after="60"/>
              <w:ind w:left="726"/>
              <w:contextualSpacing w:val="0"/>
            </w:pPr>
          </w:p>
        </w:tc>
      </w:tr>
      <w:tr w:rsidR="00C978F0" w:rsidRPr="00DA352E" w14:paraId="0C2F729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2CD61D8" w14:textId="6D1579A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736C4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9736C4">
                  <w:t>Not assigned</w:t>
                </w:r>
              </w:sdtContent>
            </w:sdt>
          </w:p>
        </w:tc>
      </w:tr>
      <w:tr w:rsidR="00C978F0" w:rsidRPr="00DA352E" w14:paraId="7FBD16D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DDEB3B8" w14:textId="77777777" w:rsidR="00C978F0" w:rsidRDefault="00EE2BD4" w:rsidP="003365A5">
            <w:pPr>
              <w:pStyle w:val="Tabletextprimarysource"/>
            </w:pPr>
            <w:r>
              <w:t>Summary of additional data:</w:t>
            </w:r>
          </w:p>
          <w:p w14:paraId="4ADEB589" w14:textId="6909C808" w:rsidR="003929ED" w:rsidRDefault="003929ED" w:rsidP="00F4259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Critical effects are effects on respiratory tract and the eyes, such as </w:t>
            </w:r>
            <w:r w:rsidR="009B771C">
              <w:t>rhinitis, conjunctivitis and</w:t>
            </w:r>
            <w:r>
              <w:t xml:space="preserve"> asthma</w:t>
            </w:r>
          </w:p>
          <w:p w14:paraId="11636D7F" w14:textId="0B9F6DE7" w:rsidR="004A7F86" w:rsidRDefault="004A7F86" w:rsidP="00F4259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Health-based OEL not recommended due to sensitisation status</w:t>
            </w:r>
          </w:p>
          <w:p w14:paraId="7E23AC37" w14:textId="0E00881E" w:rsidR="00EE2BD4" w:rsidRDefault="009B771C" w:rsidP="00F4259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</w:t>
            </w:r>
            <w:r w:rsidR="00EE2BD4">
              <w:t>ymptoms may be induced immunologically, mostly mediated by IgE-type antibodies</w:t>
            </w:r>
            <w:r w:rsidR="004A7F86">
              <w:t xml:space="preserve"> (irreversible)</w:t>
            </w:r>
            <w:r w:rsidR="00EE2BD4">
              <w:t>, or by irritation</w:t>
            </w:r>
            <w:r w:rsidR="004A7F86">
              <w:t xml:space="preserve"> (reversible)</w:t>
            </w:r>
          </w:p>
          <w:p w14:paraId="40EEBB35" w14:textId="0D2ECB32" w:rsidR="004A7F86" w:rsidRDefault="004A7F86" w:rsidP="00F4259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Symptoms in the lower respiratory tract, asthma, as well as sensitisation, are rare in the range of 0.5</w:t>
            </w:r>
            <w:r w:rsidR="008462C5">
              <w:t>–</w:t>
            </w:r>
            <w:r>
              <w:t>1.0 mg/</w:t>
            </w:r>
            <w:proofErr w:type="spellStart"/>
            <w:r>
              <w:t>m</w:t>
            </w:r>
            <w:r w:rsidRPr="004A7F86">
              <w:rPr>
                <w:vertAlign w:val="superscript"/>
              </w:rPr>
              <w:t>3</w:t>
            </w:r>
            <w:proofErr w:type="spellEnd"/>
            <w:r w:rsidR="009B771C">
              <w:t>.</w:t>
            </w:r>
          </w:p>
          <w:p w14:paraId="134CAE08" w14:textId="6083F22E" w:rsidR="008462C5" w:rsidRPr="00DA352E" w:rsidRDefault="008462C5" w:rsidP="00F42590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</w:p>
        </w:tc>
      </w:tr>
      <w:tr w:rsidR="00DA352E" w:rsidRPr="00DA352E" w14:paraId="760793E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421F6D9" w14:textId="6E38DB4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736C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9736C4">
                  <w:t>NA</w:t>
                </w:r>
                <w:proofErr w:type="spellEnd"/>
              </w:sdtContent>
            </w:sdt>
          </w:p>
        </w:tc>
      </w:tr>
      <w:tr w:rsidR="00DA352E" w:rsidRPr="00DA352E" w14:paraId="02E5A78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BC22A83" w14:textId="627BECEF" w:rsidR="00DA352E" w:rsidRPr="00DA352E" w:rsidRDefault="009736C4" w:rsidP="003365A5">
            <w:pPr>
              <w:pStyle w:val="Tabletextprimarysource"/>
            </w:pPr>
            <w:r>
              <w:t>No report</w:t>
            </w:r>
            <w:r w:rsidR="009B771C">
              <w:t>.</w:t>
            </w:r>
          </w:p>
        </w:tc>
      </w:tr>
      <w:tr w:rsidR="00DA352E" w:rsidRPr="00DA352E" w14:paraId="6BD1B62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F599C65" w14:textId="30229A0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736C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9736C4">
                  <w:t>NA</w:t>
                </w:r>
                <w:proofErr w:type="spellEnd"/>
              </w:sdtContent>
            </w:sdt>
          </w:p>
        </w:tc>
      </w:tr>
      <w:tr w:rsidR="00DA352E" w:rsidRPr="00DA352E" w14:paraId="15D8082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7467A8B" w14:textId="5884E7B1" w:rsidR="00DA352E" w:rsidRPr="00DA352E" w:rsidRDefault="009736C4" w:rsidP="003365A5">
            <w:pPr>
              <w:pStyle w:val="Tabletextprimarysource"/>
            </w:pPr>
            <w:r>
              <w:t>No report</w:t>
            </w:r>
            <w:r w:rsidR="009B771C">
              <w:t>.</w:t>
            </w:r>
          </w:p>
        </w:tc>
      </w:tr>
    </w:tbl>
    <w:p w14:paraId="1BBCA777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2A8D2038" w14:textId="7ABD9D63" w:rsidR="007E2A4B" w:rsidRDefault="009B771C">
      <w:r>
        <w:t>NIL</w:t>
      </w:r>
      <w:r w:rsidR="00F85DB5">
        <w:t>.</w:t>
      </w:r>
    </w:p>
    <w:bookmarkEnd w:id="0"/>
    <w:p w14:paraId="0319BAF8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1E52236" w14:textId="77777777" w:rsidTr="004A7F86">
        <w:trPr>
          <w:trHeight w:val="454"/>
          <w:tblHeader/>
        </w:trPr>
        <w:tc>
          <w:tcPr>
            <w:tcW w:w="6597" w:type="dxa"/>
            <w:vAlign w:val="center"/>
          </w:tcPr>
          <w:p w14:paraId="0D267F8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8F74A2B" w14:textId="6FB7FB98" w:rsidR="002E0D61" w:rsidRDefault="004A7F8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A1703A4" w14:textId="77777777" w:rsidTr="004A7F86">
        <w:trPr>
          <w:trHeight w:val="454"/>
        </w:trPr>
        <w:tc>
          <w:tcPr>
            <w:tcW w:w="6597" w:type="dxa"/>
            <w:vAlign w:val="center"/>
          </w:tcPr>
          <w:p w14:paraId="2E5E50F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354DFB4" w14:textId="01D6C856" w:rsidR="008A36CF" w:rsidRDefault="004A7F8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38AC785" w14:textId="77777777" w:rsidTr="004A7F86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7FF358CE" w14:textId="5FEE42E1" w:rsidR="008A36CF" w:rsidRPr="006901A2" w:rsidRDefault="004A7F86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35A2D9D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158306B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C15B20A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EA44D1A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02EBD0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9D3218B" w14:textId="77777777" w:rsidTr="00812887">
        <w:trPr>
          <w:cantSplit/>
        </w:trPr>
        <w:tc>
          <w:tcPr>
            <w:tcW w:w="3227" w:type="dxa"/>
          </w:tcPr>
          <w:p w14:paraId="675C324D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70299CD" w14:textId="5E7C8E8C" w:rsidR="00687890" w:rsidRPr="00DD2F9B" w:rsidRDefault="009736C4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76FF608C" w14:textId="77777777" w:rsidTr="00812887">
        <w:trPr>
          <w:cantSplit/>
        </w:trPr>
        <w:tc>
          <w:tcPr>
            <w:tcW w:w="3227" w:type="dxa"/>
          </w:tcPr>
          <w:p w14:paraId="53BAA3B1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3A26A11B" w14:textId="54E377EF" w:rsidR="007925F0" w:rsidRPr="00DD2F9B" w:rsidRDefault="009736C4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68BAD2E7" w14:textId="77777777" w:rsidTr="00812887">
        <w:trPr>
          <w:cantSplit/>
        </w:trPr>
        <w:tc>
          <w:tcPr>
            <w:tcW w:w="3227" w:type="dxa"/>
          </w:tcPr>
          <w:p w14:paraId="3E27CF99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1853FA6C" w14:textId="60D11D34" w:rsidR="00AF483F" w:rsidRPr="00DD2F9B" w:rsidRDefault="009736C4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A2534DE" w14:textId="77777777" w:rsidTr="00812887">
        <w:trPr>
          <w:cantSplit/>
        </w:trPr>
        <w:tc>
          <w:tcPr>
            <w:tcW w:w="3227" w:type="dxa"/>
          </w:tcPr>
          <w:p w14:paraId="6239E7A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2797FB5" w14:textId="6C8F21EB" w:rsidR="00687890" w:rsidRPr="00DD2F9B" w:rsidRDefault="009736C4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51B0C44" w14:textId="77777777" w:rsidTr="00812887">
        <w:trPr>
          <w:cantSplit/>
        </w:trPr>
        <w:tc>
          <w:tcPr>
            <w:tcW w:w="3227" w:type="dxa"/>
          </w:tcPr>
          <w:p w14:paraId="306A1AF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19A3CCA" w14:textId="6451F038" w:rsidR="00E41A26" w:rsidRPr="00DD2F9B" w:rsidRDefault="009736C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1E98521" w14:textId="77777777" w:rsidTr="00812887">
        <w:trPr>
          <w:cantSplit/>
        </w:trPr>
        <w:tc>
          <w:tcPr>
            <w:tcW w:w="3227" w:type="dxa"/>
          </w:tcPr>
          <w:p w14:paraId="39B26259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0B73BB6A" w14:textId="53A80321" w:rsidR="002E0D61" w:rsidRPr="00DD2F9B" w:rsidRDefault="009736C4" w:rsidP="00DD2F9B">
            <w:pPr>
              <w:pStyle w:val="Tablefont"/>
            </w:pPr>
            <w:proofErr w:type="spellStart"/>
            <w:r w:rsidRPr="009736C4">
              <w:t>RSEN</w:t>
            </w:r>
            <w:proofErr w:type="spellEnd"/>
          </w:p>
        </w:tc>
      </w:tr>
      <w:tr w:rsidR="002E0D61" w:rsidRPr="004C23F4" w14:paraId="71EE54ED" w14:textId="77777777" w:rsidTr="00812887">
        <w:trPr>
          <w:cantSplit/>
        </w:trPr>
        <w:tc>
          <w:tcPr>
            <w:tcW w:w="3227" w:type="dxa"/>
          </w:tcPr>
          <w:p w14:paraId="26A548F6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2DECD684" w14:textId="4858BD49" w:rsidR="002E0D61" w:rsidRPr="00DD2F9B" w:rsidRDefault="009736C4" w:rsidP="00DD2F9B">
            <w:pPr>
              <w:pStyle w:val="Tablefont"/>
            </w:pPr>
            <w:r w:rsidRPr="009736C4">
              <w:t>Sa (respiratory sensitiser)</w:t>
            </w:r>
          </w:p>
        </w:tc>
      </w:tr>
      <w:tr w:rsidR="002E0D61" w:rsidRPr="004C23F4" w14:paraId="64C62508" w14:textId="77777777" w:rsidTr="00812887">
        <w:trPr>
          <w:cantSplit/>
        </w:trPr>
        <w:tc>
          <w:tcPr>
            <w:tcW w:w="3227" w:type="dxa"/>
          </w:tcPr>
          <w:p w14:paraId="5F3CF32B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4049A831" w14:textId="40C46CBB" w:rsidR="002E0D61" w:rsidRPr="00DD2F9B" w:rsidRDefault="009736C4" w:rsidP="00DD2F9B">
            <w:pPr>
              <w:pStyle w:val="Tablefont"/>
            </w:pPr>
            <w:r w:rsidRPr="009736C4">
              <w:t>Sensitisation (respiratory)</w:t>
            </w:r>
          </w:p>
        </w:tc>
      </w:tr>
      <w:tr w:rsidR="002E0D61" w:rsidRPr="004C23F4" w14:paraId="5246540B" w14:textId="77777777" w:rsidTr="00812887">
        <w:trPr>
          <w:cantSplit/>
        </w:trPr>
        <w:tc>
          <w:tcPr>
            <w:tcW w:w="3227" w:type="dxa"/>
          </w:tcPr>
          <w:p w14:paraId="20879DD1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0DBE22B6" w14:textId="17688313" w:rsidR="002E0D61" w:rsidRPr="00DD2F9B" w:rsidRDefault="009736C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CED7EDB" w14:textId="77777777" w:rsidTr="00812887">
        <w:trPr>
          <w:cantSplit/>
        </w:trPr>
        <w:tc>
          <w:tcPr>
            <w:tcW w:w="3227" w:type="dxa"/>
          </w:tcPr>
          <w:p w14:paraId="6F12FF1D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6D1E290" w14:textId="2594E124" w:rsidR="00386093" w:rsidRPr="00DD2F9B" w:rsidRDefault="009736C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C6342F6" w14:textId="77777777" w:rsidTr="00812887">
        <w:trPr>
          <w:cantSplit/>
        </w:trPr>
        <w:tc>
          <w:tcPr>
            <w:tcW w:w="3227" w:type="dxa"/>
          </w:tcPr>
          <w:p w14:paraId="3E28A1E0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37D6F434" w14:textId="33D2DB88" w:rsidR="00386093" w:rsidRPr="00DD2F9B" w:rsidRDefault="009736C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70CA99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BD1DD1E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E2524F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D1C9FA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48646B1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2077E55" w14:textId="02E6CCB8" w:rsidR="00932DCE" w:rsidRPr="004C23F4" w:rsidRDefault="003929ED" w:rsidP="00F9496B">
            <w:pPr>
              <w:pStyle w:val="Tablefont"/>
            </w:pPr>
            <w:r>
              <w:t>Insufficient data are available</w:t>
            </w:r>
          </w:p>
        </w:tc>
      </w:tr>
    </w:tbl>
    <w:bookmarkEnd w:id="3"/>
    <w:p w14:paraId="7E52B689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79F924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631957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740AFA7" w14:textId="7C5A4D58" w:rsidR="00EB3D1B" w:rsidRDefault="009736C4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FBC7EE6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3"/>
        <w:gridCol w:w="5033"/>
      </w:tblGrid>
      <w:tr w:rsidR="001B79E5" w:rsidRPr="004C23F4" w14:paraId="0D0D4EE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5CF8B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  <w:showingPlcHdr/>
          </w:sdtPr>
          <w:sdtEndPr/>
          <w:sdtContent>
            <w:tc>
              <w:tcPr>
                <w:tcW w:w="5165" w:type="dxa"/>
                <w:vAlign w:val="center"/>
              </w:tcPr>
              <w:p w14:paraId="02BFA443" w14:textId="77777777" w:rsidR="001B79E5" w:rsidRDefault="001B79E5" w:rsidP="001B79E5">
                <w:pPr>
                  <w:pStyle w:val="Tablefont"/>
                </w:pPr>
                <w:r>
                  <w:rPr>
                    <w:rStyle w:val="PlaceholderText"/>
                  </w:rPr>
                  <w:t>Insert molecular weight</w:t>
                </w:r>
              </w:p>
            </w:tc>
          </w:sdtContent>
        </w:sdt>
      </w:tr>
      <w:tr w:rsidR="00A31D99" w:rsidRPr="004C23F4" w14:paraId="3D70010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29875A5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3DE60C3B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2D71CE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CE57D2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B003AA8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5B4DAE9" w14:textId="77777777" w:rsidTr="00EA6243">
        <w:trPr>
          <w:cantSplit/>
        </w:trPr>
        <w:tc>
          <w:tcPr>
            <w:tcW w:w="4077" w:type="dxa"/>
            <w:vAlign w:val="center"/>
          </w:tcPr>
          <w:p w14:paraId="017D2DB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A4F0D0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55A77A2" w14:textId="77777777" w:rsidTr="00EA6243">
        <w:trPr>
          <w:cantSplit/>
        </w:trPr>
        <w:tc>
          <w:tcPr>
            <w:tcW w:w="4077" w:type="dxa"/>
            <w:vAlign w:val="center"/>
          </w:tcPr>
          <w:p w14:paraId="063ECF2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29DA89E" w14:textId="2385DE97" w:rsidR="00687890" w:rsidRPr="004C23F4" w:rsidRDefault="009B771C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6D39FFEB" w14:textId="77777777" w:rsidTr="00EA6243">
        <w:trPr>
          <w:cantSplit/>
        </w:trPr>
        <w:tc>
          <w:tcPr>
            <w:tcW w:w="4077" w:type="dxa"/>
            <w:vAlign w:val="center"/>
          </w:tcPr>
          <w:p w14:paraId="5AAC719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48DC136" w14:textId="77777777" w:rsidR="00E06F40" w:rsidRPr="00A006A0" w:rsidRDefault="00CD5AB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651BC943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3C7F9C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60508F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A35248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6610D5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9C64F3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7D9B77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4491DF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40F6D63" w14:textId="0F777C7F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75EFCA4F" w14:textId="21FE4154" w:rsidR="001D4A06" w:rsidRDefault="001D4A06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 (1999) </w:t>
      </w:r>
      <w:r w:rsidRPr="001D4A06">
        <w:t>Cereal flour dusts</w:t>
      </w:r>
      <w:r>
        <w:t xml:space="preserve"> (</w:t>
      </w:r>
      <w:r w:rsidRPr="001D4A06">
        <w:t>Rye and Wheat</w:t>
      </w:r>
      <w:r>
        <w:t>) – MAK value documentation.</w:t>
      </w:r>
    </w:p>
    <w:p w14:paraId="7CD3A691" w14:textId="6E0ABCAD" w:rsidR="001D4A06" w:rsidRPr="00351FE0" w:rsidRDefault="001D4A06" w:rsidP="00084859">
      <w:r>
        <w:t>EU Scientific Committee on Occupational Exposure Limits (</w:t>
      </w:r>
      <w:proofErr w:type="spellStart"/>
      <w:r>
        <w:t>SCOEL</w:t>
      </w:r>
      <w:proofErr w:type="spellEnd"/>
      <w:r>
        <w:t>) (</w:t>
      </w:r>
      <w:r w:rsidRPr="001D4A06">
        <w:t>2008</w:t>
      </w:r>
      <w:r>
        <w:t xml:space="preserve">) Recommendation from the Scientific Committee on Occupational Exposure Limits for </w:t>
      </w:r>
      <w:r w:rsidRPr="001D4A06">
        <w:t>flour dust</w:t>
      </w:r>
      <w:r>
        <w:t xml:space="preserve">. </w:t>
      </w:r>
      <w:proofErr w:type="spellStart"/>
      <w:r>
        <w:t>SCOEL</w:t>
      </w:r>
      <w:proofErr w:type="spellEnd"/>
      <w:r>
        <w:t>/</w:t>
      </w:r>
      <w:r w:rsidRPr="001D4A06">
        <w:t>SUM/123</w:t>
      </w:r>
      <w:r>
        <w:t>.</w:t>
      </w:r>
    </w:p>
    <w:sectPr w:rsidR="001D4A06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B61FE" w14:textId="77777777" w:rsidR="00FB4C2E" w:rsidRDefault="00FB4C2E" w:rsidP="00F43AD5">
      <w:pPr>
        <w:spacing w:after="0" w:line="240" w:lineRule="auto"/>
      </w:pPr>
      <w:r>
        <w:separator/>
      </w:r>
    </w:p>
  </w:endnote>
  <w:endnote w:type="continuationSeparator" w:id="0">
    <w:p w14:paraId="74D23E71" w14:textId="77777777" w:rsidR="00FB4C2E" w:rsidRDefault="00FB4C2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FE571B6" w14:textId="5FFD0035" w:rsidR="008A36CF" w:rsidRDefault="000C4571" w:rsidP="0034744C">
        <w:pPr>
          <w:pStyle w:val="Footer"/>
          <w:rPr>
            <w:sz w:val="18"/>
            <w:szCs w:val="18"/>
          </w:rPr>
        </w:pPr>
        <w:r w:rsidRPr="000C4571">
          <w:rPr>
            <w:b/>
            <w:sz w:val="18"/>
            <w:szCs w:val="18"/>
          </w:rPr>
          <w:t>Flour Dust (cereal)</w:t>
        </w:r>
        <w:r w:rsidR="008A36CF">
          <w:rPr>
            <w:b/>
            <w:sz w:val="18"/>
            <w:szCs w:val="18"/>
          </w:rPr>
          <w:t xml:space="preserve"> (</w:t>
        </w:r>
        <w:r w:rsidR="00013A22">
          <w:rPr>
            <w:b/>
            <w:sz w:val="18"/>
            <w:szCs w:val="18"/>
          </w:rPr>
          <w:t>CAS Number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0481CB2" w14:textId="0FFB2F7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35263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D431A" w14:textId="77777777" w:rsidR="00FB4C2E" w:rsidRDefault="00FB4C2E" w:rsidP="00F43AD5">
      <w:pPr>
        <w:spacing w:after="0" w:line="240" w:lineRule="auto"/>
      </w:pPr>
      <w:r>
        <w:separator/>
      </w:r>
    </w:p>
  </w:footnote>
  <w:footnote w:type="continuationSeparator" w:id="0">
    <w:p w14:paraId="49264B0E" w14:textId="77777777" w:rsidR="00FB4C2E" w:rsidRDefault="00FB4C2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33446" w14:textId="46E6902E" w:rsidR="00535263" w:rsidRDefault="00535263" w:rsidP="00535263">
    <w:pPr>
      <w:pStyle w:val="Header"/>
      <w:jc w:val="right"/>
    </w:pPr>
    <w:r>
      <w:rPr>
        <w:noProof/>
        <w:lang w:eastAsia="en-AU"/>
      </w:rPr>
      <w:drawing>
        <wp:inline distT="0" distB="0" distL="0" distR="0" wp14:anchorId="7A68DA7F" wp14:editId="74146C3D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3D4CA4" w14:textId="50AF14CD" w:rsidR="008A36CF" w:rsidRPr="00535263" w:rsidRDefault="008A36CF" w:rsidP="005352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7CD21" w14:textId="56002512" w:rsidR="00535263" w:rsidRDefault="00CD5AB7" w:rsidP="00535263">
    <w:pPr>
      <w:pStyle w:val="Header"/>
      <w:jc w:val="right"/>
    </w:pPr>
    <w:sdt>
      <w:sdtPr>
        <w:id w:val="-364915263"/>
        <w:docPartObj>
          <w:docPartGallery w:val="Watermarks"/>
          <w:docPartUnique/>
        </w:docPartObj>
      </w:sdtPr>
      <w:sdtEndPr/>
      <w:sdtContent/>
    </w:sdt>
    <w:r w:rsidR="00535263">
      <w:rPr>
        <w:noProof/>
        <w:lang w:eastAsia="en-AU"/>
      </w:rPr>
      <w:drawing>
        <wp:inline distT="0" distB="0" distL="0" distR="0" wp14:anchorId="7EA52717" wp14:editId="46344145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9B838E" w14:textId="7DB4A45A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8CC28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00582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4571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5A14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4A06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3F0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29ED"/>
    <w:rsid w:val="00394922"/>
    <w:rsid w:val="003A0E32"/>
    <w:rsid w:val="003A2B94"/>
    <w:rsid w:val="003B387D"/>
    <w:rsid w:val="003C0D58"/>
    <w:rsid w:val="003C7075"/>
    <w:rsid w:val="003D4FA3"/>
    <w:rsid w:val="003E0807"/>
    <w:rsid w:val="003E1595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3DEA"/>
    <w:rsid w:val="004414B5"/>
    <w:rsid w:val="00444482"/>
    <w:rsid w:val="00444B42"/>
    <w:rsid w:val="00445E44"/>
    <w:rsid w:val="004509E2"/>
    <w:rsid w:val="004515EE"/>
    <w:rsid w:val="004529F0"/>
    <w:rsid w:val="00460A03"/>
    <w:rsid w:val="00470D94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97FE9"/>
    <w:rsid w:val="004A5088"/>
    <w:rsid w:val="004A7F86"/>
    <w:rsid w:val="004C1E3F"/>
    <w:rsid w:val="004C23F4"/>
    <w:rsid w:val="004C3475"/>
    <w:rsid w:val="004C58B6"/>
    <w:rsid w:val="004D16A3"/>
    <w:rsid w:val="004D4AA1"/>
    <w:rsid w:val="004D6D68"/>
    <w:rsid w:val="004E5EDD"/>
    <w:rsid w:val="004F0549"/>
    <w:rsid w:val="004F448A"/>
    <w:rsid w:val="004F493D"/>
    <w:rsid w:val="004F65E8"/>
    <w:rsid w:val="0050005E"/>
    <w:rsid w:val="00502B88"/>
    <w:rsid w:val="005142C4"/>
    <w:rsid w:val="005145E3"/>
    <w:rsid w:val="0051509C"/>
    <w:rsid w:val="00523E70"/>
    <w:rsid w:val="005272E2"/>
    <w:rsid w:val="0053108F"/>
    <w:rsid w:val="00532B56"/>
    <w:rsid w:val="00534B10"/>
    <w:rsid w:val="00535263"/>
    <w:rsid w:val="005446A2"/>
    <w:rsid w:val="00544D2F"/>
    <w:rsid w:val="00551BD8"/>
    <w:rsid w:val="005714D6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462C5"/>
    <w:rsid w:val="00852E42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36C4"/>
    <w:rsid w:val="00974F2D"/>
    <w:rsid w:val="009767F6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B771C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066E"/>
    <w:rsid w:val="00BE124B"/>
    <w:rsid w:val="00BF2406"/>
    <w:rsid w:val="00C038B5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269"/>
    <w:rsid w:val="00CB1CB1"/>
    <w:rsid w:val="00CB6BC1"/>
    <w:rsid w:val="00CB6CB8"/>
    <w:rsid w:val="00CC1A68"/>
    <w:rsid w:val="00CC2123"/>
    <w:rsid w:val="00CD2BFD"/>
    <w:rsid w:val="00CD5AB7"/>
    <w:rsid w:val="00CE5AD6"/>
    <w:rsid w:val="00CE617F"/>
    <w:rsid w:val="00CE78EF"/>
    <w:rsid w:val="00D048F7"/>
    <w:rsid w:val="00D0517E"/>
    <w:rsid w:val="00D13DDB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20D3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5979"/>
    <w:rsid w:val="00ED1D89"/>
    <w:rsid w:val="00ED66BC"/>
    <w:rsid w:val="00EE2BD4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62B8"/>
    <w:rsid w:val="00F42590"/>
    <w:rsid w:val="00F43AD5"/>
    <w:rsid w:val="00F4402E"/>
    <w:rsid w:val="00F56DD0"/>
    <w:rsid w:val="00F6491C"/>
    <w:rsid w:val="00F6586B"/>
    <w:rsid w:val="00F666A2"/>
    <w:rsid w:val="00F67BBB"/>
    <w:rsid w:val="00F85DB5"/>
    <w:rsid w:val="00F87D92"/>
    <w:rsid w:val="00F90AA7"/>
    <w:rsid w:val="00F92498"/>
    <w:rsid w:val="00F9496B"/>
    <w:rsid w:val="00F970C9"/>
    <w:rsid w:val="00FA06A8"/>
    <w:rsid w:val="00FA3DF5"/>
    <w:rsid w:val="00FA741F"/>
    <w:rsid w:val="00FB4C2E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EC5979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B12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126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126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12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126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9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9FF02401C5B434684DD4A0A46BB5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E1D5D-8FAE-4AD2-8C0B-54967278987D}"/>
      </w:docPartPr>
      <w:docPartBody>
        <w:p w:rsidR="00207DD3" w:rsidRDefault="00D20A78" w:rsidP="00D20A78">
          <w:pPr>
            <w:pStyle w:val="59FF02401C5B434684DD4A0A46BB5C20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07DD3"/>
    <w:rsid w:val="00470D94"/>
    <w:rsid w:val="00773542"/>
    <w:rsid w:val="00B119C1"/>
    <w:rsid w:val="00D20A78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0A7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9FF02401C5B434684DD4A0A46BB5C20">
    <w:name w:val="59FF02401C5B434684DD4A0A46BB5C20"/>
    <w:rsid w:val="00D20A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a0509f21-ed56-4150-9955-96be669e5f2d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1c567317-0c4d-4a62-8516-c22afd1b5354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5C9F79F-8589-4F93-B725-6256B38E7A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2878B4-ECBE-4E79-9806-88F206BE3F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4</Pages>
  <Words>861</Words>
  <Characters>4731</Characters>
  <Application>Microsoft Office Word</Application>
  <DocSecurity>0</DocSecurity>
  <Lines>147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22</cp:revision>
  <cp:lastPrinted>2018-10-22T22:41:00Z</cp:lastPrinted>
  <dcterms:created xsi:type="dcterms:W3CDTF">2019-09-26T00:04:00Z</dcterms:created>
  <dcterms:modified xsi:type="dcterms:W3CDTF">2026-01-09T00:16:00Z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2025-12-23T03:41:19Z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0641b77b-1715-441f-a43c-9edc8db677a3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