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60AD5E76" w14:textId="09C8287A" w:rsidR="00BD499F" w:rsidRPr="004C23F4" w:rsidRDefault="00BE666E" w:rsidP="00B40C60">
          <w:pPr>
            <w:pStyle w:val="Heading1"/>
            <w:jc w:val="center"/>
            <w:rPr>
              <w:rFonts w:ascii="Arial" w:hAnsi="Arial" w:cs="Arial"/>
            </w:rPr>
          </w:pPr>
          <w:r w:rsidRPr="00BE666E">
            <w:rPr>
              <w:rFonts w:ascii="Arial" w:hAnsi="Arial" w:cs="Arial"/>
            </w:rPr>
            <w:t>Ethylidene norbornene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61"/>
        <w:gridCol w:w="5065"/>
      </w:tblGrid>
      <w:tr w:rsidR="00F43AD5" w:rsidRPr="004C23F4" w14:paraId="726950C5" w14:textId="77777777" w:rsidTr="00B76A41">
        <w:trPr>
          <w:cantSplit/>
          <w:tblHeader/>
        </w:trPr>
        <w:tc>
          <w:tcPr>
            <w:tcW w:w="4077" w:type="dxa"/>
          </w:tcPr>
          <w:p w14:paraId="760DC016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088F096D" w14:textId="2E56670C" w:rsidR="00F43AD5" w:rsidRPr="00717D45" w:rsidRDefault="00720DD0" w:rsidP="00B76A41">
            <w:pPr>
              <w:pStyle w:val="Tablefont"/>
            </w:pPr>
            <w:r w:rsidRPr="00720DD0">
              <w:t>16219-75-3</w:t>
            </w:r>
          </w:p>
        </w:tc>
      </w:tr>
      <w:tr w:rsidR="00F43AD5" w:rsidRPr="004C23F4" w14:paraId="0BA4A104" w14:textId="77777777" w:rsidTr="00B76A41">
        <w:trPr>
          <w:cantSplit/>
        </w:trPr>
        <w:tc>
          <w:tcPr>
            <w:tcW w:w="4077" w:type="dxa"/>
          </w:tcPr>
          <w:p w14:paraId="4D4C7BEB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0A3AC502" w14:textId="684AC005" w:rsidR="00F43AD5" w:rsidRPr="00717D45" w:rsidRDefault="00720DD0" w:rsidP="00B76A41">
            <w:pPr>
              <w:pStyle w:val="Tablefont"/>
            </w:pPr>
            <w:proofErr w:type="spellStart"/>
            <w:r>
              <w:t>ENB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ethylidenebicyclo</w:t>
            </w:r>
            <w:proofErr w:type="spellEnd"/>
            <w:r>
              <w:t>(</w:t>
            </w:r>
            <w:proofErr w:type="gramEnd"/>
            <w:r>
              <w:t>2,2,</w:t>
            </w:r>
            <w:proofErr w:type="gramStart"/>
            <w:r>
              <w:t>1)hept</w:t>
            </w:r>
            <w:proofErr w:type="gramEnd"/>
            <w:r>
              <w:t>-2-</w:t>
            </w:r>
            <w:proofErr w:type="spellStart"/>
            <w:r>
              <w:t>ene</w:t>
            </w:r>
            <w:proofErr w:type="spellEnd"/>
            <w:r>
              <w:t>, 5-</w:t>
            </w:r>
            <w:proofErr w:type="spellStart"/>
            <w:r>
              <w:t>ethyldine</w:t>
            </w:r>
            <w:proofErr w:type="spellEnd"/>
            <w:r>
              <w:t>-2-norbornene</w:t>
            </w:r>
          </w:p>
        </w:tc>
      </w:tr>
      <w:tr w:rsidR="00F43AD5" w:rsidRPr="004C23F4" w14:paraId="7796CC65" w14:textId="77777777" w:rsidTr="00B76A41">
        <w:trPr>
          <w:cantSplit/>
        </w:trPr>
        <w:tc>
          <w:tcPr>
            <w:tcW w:w="4077" w:type="dxa"/>
          </w:tcPr>
          <w:p w14:paraId="45C1CE46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371339A2" w14:textId="30C124FA" w:rsidR="00F43AD5" w:rsidRPr="00717D45" w:rsidRDefault="00720DD0" w:rsidP="00B76A41">
            <w:pPr>
              <w:pStyle w:val="Tablefont"/>
            </w:pPr>
            <w:proofErr w:type="spellStart"/>
            <w:r>
              <w:t>C</w:t>
            </w:r>
            <w:r w:rsidRPr="00720DD0">
              <w:rPr>
                <w:vertAlign w:val="subscript"/>
              </w:rPr>
              <w:t>9</w:t>
            </w:r>
            <w:r>
              <w:t>H</w:t>
            </w:r>
            <w:r w:rsidRPr="00720DD0">
              <w:rPr>
                <w:vertAlign w:val="subscript"/>
              </w:rPr>
              <w:t>12</w:t>
            </w:r>
            <w:proofErr w:type="spellEnd"/>
          </w:p>
        </w:tc>
      </w:tr>
      <w:tr w:rsidR="00F43AD5" w:rsidRPr="004C23F4" w14:paraId="570396BB" w14:textId="77777777" w:rsidTr="00B76A41">
        <w:trPr>
          <w:cantSplit/>
        </w:trPr>
        <w:tc>
          <w:tcPr>
            <w:tcW w:w="4077" w:type="dxa"/>
          </w:tcPr>
          <w:p w14:paraId="6F2C4902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0F9B78F" w14:textId="5C24783B" w:rsidR="00F43AD5" w:rsidRPr="00720DD0" w:rsidRDefault="00720DD0" w:rsidP="00B76A41">
            <w:pPr>
              <w:pStyle w:val="Tablerowheading"/>
              <w:rPr>
                <w:b w:val="0"/>
              </w:rPr>
            </w:pPr>
            <w:r w:rsidRPr="00720DD0">
              <w:rPr>
                <w:b w:val="0"/>
              </w:rPr>
              <w:t>—</w:t>
            </w:r>
          </w:p>
        </w:tc>
      </w:tr>
    </w:tbl>
    <w:p w14:paraId="3FBA5D19" w14:textId="2DC5A3AB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C245B0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2296EEA5" w14:textId="77777777" w:rsidTr="0027458B">
        <w:trPr>
          <w:cantSplit/>
          <w:tblHeader/>
        </w:trPr>
        <w:tc>
          <w:tcPr>
            <w:tcW w:w="4005" w:type="dxa"/>
            <w:vAlign w:val="center"/>
          </w:tcPr>
          <w:p w14:paraId="6B9267C3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6AA3A251" w14:textId="7F1C278E" w:rsidR="002C7AFE" w:rsidRPr="0027458B" w:rsidRDefault="00F4055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 ppm (10 mg/</w:t>
            </w:r>
            <w:proofErr w:type="spellStart"/>
            <w:r>
              <w:rPr>
                <w:b/>
              </w:rPr>
              <w:t>m</w:t>
            </w:r>
            <w:r>
              <w:rPr>
                <w:b/>
                <w:vertAlign w:val="superscript"/>
              </w:rPr>
              <w:t>3</w:t>
            </w:r>
            <w:proofErr w:type="spellEnd"/>
            <w:r w:rsidR="0027458B">
              <w:rPr>
                <w:b/>
              </w:rPr>
              <w:t>)</w:t>
            </w:r>
          </w:p>
        </w:tc>
      </w:tr>
      <w:tr w:rsidR="002C7AFE" w:rsidRPr="004C23F4" w14:paraId="7D5A4F30" w14:textId="77777777" w:rsidTr="0027458B">
        <w:trPr>
          <w:cantSplit/>
        </w:trPr>
        <w:tc>
          <w:tcPr>
            <w:tcW w:w="4005" w:type="dxa"/>
            <w:vAlign w:val="center"/>
          </w:tcPr>
          <w:p w14:paraId="134DF507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30BDD327" w14:textId="4CED7B93" w:rsidR="002C7AFE" w:rsidRPr="0027458B" w:rsidRDefault="00F4055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4 ppm</w:t>
            </w:r>
            <w:r w:rsidR="0027458B">
              <w:rPr>
                <w:b/>
              </w:rPr>
              <w:t xml:space="preserve"> (20 mg/</w:t>
            </w:r>
            <w:proofErr w:type="spellStart"/>
            <w:r w:rsidR="0027458B">
              <w:rPr>
                <w:b/>
              </w:rPr>
              <w:t>m</w:t>
            </w:r>
            <w:r w:rsidR="0027458B">
              <w:rPr>
                <w:b/>
                <w:vertAlign w:val="superscript"/>
              </w:rPr>
              <w:t>3</w:t>
            </w:r>
            <w:proofErr w:type="spellEnd"/>
            <w:r w:rsidR="0027458B">
              <w:rPr>
                <w:b/>
              </w:rPr>
              <w:t>)</w:t>
            </w:r>
          </w:p>
        </w:tc>
      </w:tr>
      <w:tr w:rsidR="0027458B" w:rsidRPr="004C23F4" w14:paraId="23165DF3" w14:textId="77777777" w:rsidTr="0027458B">
        <w:trPr>
          <w:cantSplit/>
        </w:trPr>
        <w:tc>
          <w:tcPr>
            <w:tcW w:w="4005" w:type="dxa"/>
            <w:vAlign w:val="center"/>
          </w:tcPr>
          <w:p w14:paraId="0C9CE458" w14:textId="77777777" w:rsidR="0027458B" w:rsidRPr="002C58FF" w:rsidRDefault="0027458B" w:rsidP="0027458B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79F0B9D7" w14:textId="3A793D48" w:rsidR="0027458B" w:rsidRPr="00EB3D1B" w:rsidRDefault="0027458B" w:rsidP="0027458B">
            <w:pPr>
              <w:pStyle w:val="Tablefont"/>
              <w:rPr>
                <w:b/>
              </w:rPr>
            </w:pPr>
            <w:r w:rsidRPr="00720DD0">
              <w:rPr>
                <w:b/>
              </w:rPr>
              <w:t>—</w:t>
            </w:r>
          </w:p>
        </w:tc>
      </w:tr>
      <w:tr w:rsidR="0027458B" w:rsidRPr="004C23F4" w14:paraId="0F90B05C" w14:textId="77777777" w:rsidTr="0027458B">
        <w:trPr>
          <w:cantSplit/>
        </w:trPr>
        <w:tc>
          <w:tcPr>
            <w:tcW w:w="4005" w:type="dxa"/>
          </w:tcPr>
          <w:p w14:paraId="2C1EFC09" w14:textId="77777777" w:rsidR="0027458B" w:rsidRPr="002C58FF" w:rsidRDefault="0027458B" w:rsidP="0027458B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21" w:type="dxa"/>
          </w:tcPr>
          <w:p w14:paraId="3BB7A70F" w14:textId="5830CD5E" w:rsidR="0027458B" w:rsidRPr="00EB3D1B" w:rsidRDefault="0027458B" w:rsidP="0027458B">
            <w:pPr>
              <w:pStyle w:val="Tablefont"/>
              <w:rPr>
                <w:b/>
              </w:rPr>
            </w:pPr>
            <w:r w:rsidRPr="00720DD0">
              <w:rPr>
                <w:b/>
              </w:rPr>
              <w:t>—</w:t>
            </w:r>
          </w:p>
        </w:tc>
      </w:tr>
      <w:tr w:rsidR="002C7AFE" w:rsidRPr="004C23F4" w14:paraId="110D8B1D" w14:textId="77777777" w:rsidTr="0027458B">
        <w:trPr>
          <w:cantSplit/>
        </w:trPr>
        <w:tc>
          <w:tcPr>
            <w:tcW w:w="4005" w:type="dxa"/>
            <w:vAlign w:val="center"/>
          </w:tcPr>
          <w:p w14:paraId="3CCA7EF5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3F75460F" w14:textId="6828B6B5" w:rsidR="002C7AFE" w:rsidRPr="00EB3D1B" w:rsidRDefault="00720DD0" w:rsidP="00017C82">
            <w:pPr>
              <w:pStyle w:val="Tablefont"/>
              <w:rPr>
                <w:b/>
              </w:rPr>
            </w:pPr>
            <w:r w:rsidRPr="00720DD0">
              <w:rPr>
                <w:b/>
              </w:rPr>
              <w:t>—</w:t>
            </w:r>
          </w:p>
        </w:tc>
      </w:tr>
      <w:tr w:rsidR="00C245B0" w:rsidRPr="004C23F4" w14:paraId="5F54AA63" w14:textId="77777777" w:rsidTr="00221751">
        <w:trPr>
          <w:cantSplit/>
        </w:trPr>
        <w:tc>
          <w:tcPr>
            <w:tcW w:w="9026" w:type="dxa"/>
            <w:gridSpan w:val="2"/>
            <w:vAlign w:val="center"/>
          </w:tcPr>
          <w:p w14:paraId="10928067" w14:textId="1DACBCCF" w:rsidR="00C245B0" w:rsidRPr="00EB3D1B" w:rsidRDefault="00C245B0" w:rsidP="00C245B0">
            <w:pPr>
              <w:pStyle w:val="Tablefont"/>
              <w:rPr>
                <w:b/>
              </w:rPr>
            </w:pPr>
            <w:r w:rsidRPr="007229AC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A87D92513EF144DCB0E1EB1A93748CE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Content>
                <w:r w:rsidRPr="007229AC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4E196F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854C352" w14:textId="44C95F54" w:rsidR="0027458B" w:rsidRDefault="0027458B" w:rsidP="000C139A">
      <w:pPr>
        <w:rPr>
          <w:rFonts w:cs="Arial"/>
        </w:rPr>
      </w:pPr>
      <w:r>
        <w:rPr>
          <w:rFonts w:cs="Arial"/>
        </w:rPr>
        <w:t>A TWA of 2 ppm (10 mg/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3</w:t>
      </w:r>
      <w:proofErr w:type="spellEnd"/>
      <w:r>
        <w:rPr>
          <w:rFonts w:cs="Arial"/>
        </w:rPr>
        <w:t xml:space="preserve">) </w:t>
      </w:r>
      <w:r w:rsidR="00C245B0" w:rsidRPr="00E52008">
        <w:rPr>
          <w:rFonts w:cs="Arial"/>
        </w:rPr>
        <w:t>is</w:t>
      </w:r>
      <w:r>
        <w:rPr>
          <w:rFonts w:cs="Arial"/>
        </w:rPr>
        <w:t xml:space="preserve"> recommended to protect for upper respiratory tract and eye irritation in exposed workers.</w:t>
      </w:r>
    </w:p>
    <w:p w14:paraId="46DBAC00" w14:textId="0634F6B6" w:rsidR="00014631" w:rsidRDefault="00014631" w:rsidP="000C139A">
      <w:pPr>
        <w:rPr>
          <w:rFonts w:cs="Arial"/>
        </w:rPr>
      </w:pPr>
      <w:r>
        <w:rPr>
          <w:rFonts w:cs="Arial"/>
        </w:rPr>
        <w:t>A STEL of 4 ppm (20 mg/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3</w:t>
      </w:r>
      <w:proofErr w:type="spellEnd"/>
      <w:r>
        <w:rPr>
          <w:rFonts w:cs="Arial"/>
        </w:rPr>
        <w:t xml:space="preserve">) is recommended to protect for </w:t>
      </w:r>
      <w:r w:rsidR="00C82845">
        <w:rPr>
          <w:rFonts w:cs="Arial"/>
        </w:rPr>
        <w:t xml:space="preserve">acute </w:t>
      </w:r>
      <w:r>
        <w:rPr>
          <w:rFonts w:cs="Arial"/>
        </w:rPr>
        <w:t xml:space="preserve">irritant effects </w:t>
      </w:r>
      <w:r w:rsidR="00C82845">
        <w:rPr>
          <w:rFonts w:cs="Arial"/>
        </w:rPr>
        <w:t>in exposed workers</w:t>
      </w:r>
      <w:r>
        <w:rPr>
          <w:rFonts w:cs="Arial"/>
        </w:rPr>
        <w:t>.</w:t>
      </w:r>
      <w:r w:rsidR="00390A22" w:rsidRPr="00390A22">
        <w:t xml:space="preserve"> </w:t>
      </w:r>
      <w:r w:rsidR="00390A22" w:rsidRPr="00390A22">
        <w:rPr>
          <w:rFonts w:cs="Arial"/>
        </w:rPr>
        <w:t>There are insufficient data available to recommend a peak limitation</w:t>
      </w:r>
      <w:r w:rsidR="00390A22">
        <w:rPr>
          <w:rFonts w:cs="Arial"/>
        </w:rPr>
        <w:t>.</w:t>
      </w:r>
    </w:p>
    <w:p w14:paraId="1AA5A65A" w14:textId="2C635E29" w:rsidR="00C7155E" w:rsidRDefault="00F10C97" w:rsidP="003365A5">
      <w:pPr>
        <w:pStyle w:val="Heading2"/>
      </w:pPr>
      <w:r>
        <w:t>Discussion and conclusions</w:t>
      </w:r>
    </w:p>
    <w:p w14:paraId="78840F65" w14:textId="77777777" w:rsidR="00877858" w:rsidRDefault="009A4497" w:rsidP="00014631">
      <w:r>
        <w:t>Ethylidene norbornene</w:t>
      </w:r>
      <w:r w:rsidR="00E11EDA">
        <w:t xml:space="preserve"> (</w:t>
      </w:r>
      <w:proofErr w:type="spellStart"/>
      <w:r w:rsidR="00E11EDA">
        <w:t>ENB</w:t>
      </w:r>
      <w:proofErr w:type="spellEnd"/>
      <w:r w:rsidR="00E11EDA">
        <w:t>)</w:t>
      </w:r>
      <w:r>
        <w:t xml:space="preserve"> is used in the formation of polymer precursors during polymer production</w:t>
      </w:r>
      <w:r w:rsidR="001A0ED5">
        <w:t xml:space="preserve"> (</w:t>
      </w:r>
      <w:proofErr w:type="spellStart"/>
      <w:r w:rsidR="001A0ED5">
        <w:t>ACGIH</w:t>
      </w:r>
      <w:proofErr w:type="spellEnd"/>
      <w:r w:rsidR="001A0ED5">
        <w:t>, 201</w:t>
      </w:r>
      <w:r w:rsidR="00DD0A30">
        <w:t>8</w:t>
      </w:r>
      <w:r w:rsidR="001A0ED5">
        <w:t>)</w:t>
      </w:r>
      <w:r>
        <w:t>.</w:t>
      </w:r>
      <w:r w:rsidR="00247796">
        <w:t xml:space="preserve"> </w:t>
      </w:r>
    </w:p>
    <w:p w14:paraId="05820A15" w14:textId="5A4A8959" w:rsidR="00641879" w:rsidRDefault="00247796" w:rsidP="00014631">
      <w:r>
        <w:t>Critical effects are</w:t>
      </w:r>
      <w:r w:rsidR="00405FA8">
        <w:t xml:space="preserve"> transient</w:t>
      </w:r>
      <w:r>
        <w:t xml:space="preserve"> </w:t>
      </w:r>
      <w:r w:rsidR="00405FA8">
        <w:t>eye and upper respiratory tract irritation</w:t>
      </w:r>
      <w:r w:rsidR="00703D8F">
        <w:t>. A</w:t>
      </w:r>
      <w:r w:rsidR="002B4839">
        <w:t xml:space="preserve">t higher concentrations, </w:t>
      </w:r>
      <w:r w:rsidR="00405FA8">
        <w:t xml:space="preserve">haematological changes, hepatic lesions, </w:t>
      </w:r>
      <w:r w:rsidR="00C245B0">
        <w:t>anaemia</w:t>
      </w:r>
      <w:r w:rsidR="00405FA8">
        <w:t xml:space="preserve"> and testicular atrophy </w:t>
      </w:r>
      <w:r w:rsidR="002B4839">
        <w:t xml:space="preserve">are reported </w:t>
      </w:r>
      <w:r w:rsidR="00405FA8">
        <w:t>in rodents</w:t>
      </w:r>
      <w:r w:rsidR="005769BE">
        <w:t xml:space="preserve"> (</w:t>
      </w:r>
      <w:proofErr w:type="spellStart"/>
      <w:r w:rsidR="005769BE">
        <w:t>ACGIH</w:t>
      </w:r>
      <w:proofErr w:type="spellEnd"/>
      <w:r w:rsidR="005769BE">
        <w:t>, 201</w:t>
      </w:r>
      <w:r w:rsidR="00DD0A30">
        <w:t>8</w:t>
      </w:r>
      <w:r w:rsidR="005769BE">
        <w:t>)</w:t>
      </w:r>
      <w:r w:rsidR="00405FA8">
        <w:t>.</w:t>
      </w:r>
      <w:r w:rsidR="00D51857">
        <w:t xml:space="preserve"> Nephropathy and thyroid effects observed in rodents are not considered relevant to humans.</w:t>
      </w:r>
    </w:p>
    <w:p w14:paraId="20B928E1" w14:textId="28914AAD" w:rsidR="000D186A" w:rsidRDefault="00641879" w:rsidP="00014631">
      <w:r>
        <w:t>Human</w:t>
      </w:r>
      <w:r w:rsidR="00B6416D">
        <w:t xml:space="preserve"> exposure</w:t>
      </w:r>
      <w:r>
        <w:t xml:space="preserve"> data </w:t>
      </w:r>
      <w:r w:rsidR="00B6416D">
        <w:t xml:space="preserve">are </w:t>
      </w:r>
      <w:r>
        <w:t xml:space="preserve">limited to </w:t>
      </w:r>
      <w:r w:rsidR="00221751">
        <w:t xml:space="preserve">a </w:t>
      </w:r>
      <w:r>
        <w:t>single study</w:t>
      </w:r>
      <w:r w:rsidR="00B6416D">
        <w:t xml:space="preserve"> that reported</w:t>
      </w:r>
      <w:r w:rsidR="001D3B2E">
        <w:t xml:space="preserve"> a </w:t>
      </w:r>
      <w:proofErr w:type="spellStart"/>
      <w:r w:rsidR="001835AF">
        <w:t>LOAEC</w:t>
      </w:r>
      <w:proofErr w:type="spellEnd"/>
      <w:r w:rsidR="001835AF">
        <w:t xml:space="preserve"> </w:t>
      </w:r>
      <w:r w:rsidR="001D3B2E">
        <w:t>of 5.6 ppm for</w:t>
      </w:r>
      <w:r w:rsidR="00B6416D">
        <w:t xml:space="preserve"> transient eye and uppe</w:t>
      </w:r>
      <w:r w:rsidR="001D3B2E">
        <w:t xml:space="preserve">r respiratory tract irritation. Transient periocular swelling was reported at a </w:t>
      </w:r>
      <w:proofErr w:type="spellStart"/>
      <w:r w:rsidR="001835AF">
        <w:t>LOAEC</w:t>
      </w:r>
      <w:proofErr w:type="spellEnd"/>
      <w:r w:rsidR="001835AF">
        <w:t xml:space="preserve"> </w:t>
      </w:r>
      <w:r w:rsidR="001D3B2E">
        <w:t xml:space="preserve">of </w:t>
      </w:r>
      <w:r w:rsidR="001835AF">
        <w:t>5 </w:t>
      </w:r>
      <w:r w:rsidR="001D3B2E">
        <w:t>ppm in a sub</w:t>
      </w:r>
      <w:r w:rsidR="001835AF">
        <w:t>-</w:t>
      </w:r>
      <w:r w:rsidR="001D3B2E">
        <w:t xml:space="preserve">chronic inhalation study </w:t>
      </w:r>
      <w:r w:rsidR="001835AF">
        <w:t xml:space="preserve">in </w:t>
      </w:r>
      <w:r w:rsidR="001D3B2E">
        <w:t>rats</w:t>
      </w:r>
      <w:r w:rsidR="002418AB">
        <w:t xml:space="preserve"> (</w:t>
      </w:r>
      <w:proofErr w:type="spellStart"/>
      <w:r w:rsidR="002418AB">
        <w:t>ACGIH</w:t>
      </w:r>
      <w:proofErr w:type="spellEnd"/>
      <w:r w:rsidR="002418AB">
        <w:t>, 2018)</w:t>
      </w:r>
      <w:r w:rsidR="001D3B2E">
        <w:t xml:space="preserve">. </w:t>
      </w:r>
      <w:r w:rsidR="000D186A">
        <w:t xml:space="preserve">Based on these studies, </w:t>
      </w:r>
      <w:proofErr w:type="spellStart"/>
      <w:r w:rsidR="00065086">
        <w:t>ACGIH</w:t>
      </w:r>
      <w:proofErr w:type="spellEnd"/>
      <w:r w:rsidR="00065086">
        <w:t xml:space="preserve"> assigned a TLV-TWA of 2 ppm </w:t>
      </w:r>
      <w:r w:rsidR="000D186A">
        <w:t>and a TLV-STEL of 4 ppm (</w:t>
      </w:r>
      <w:proofErr w:type="spellStart"/>
      <w:r w:rsidR="000D186A">
        <w:t>ACGIH</w:t>
      </w:r>
      <w:proofErr w:type="spellEnd"/>
      <w:r w:rsidR="000D186A">
        <w:t>, 2018)</w:t>
      </w:r>
      <w:r w:rsidR="00065086">
        <w:t xml:space="preserve">. </w:t>
      </w:r>
    </w:p>
    <w:p w14:paraId="66370A3E" w14:textId="194FADC0" w:rsidR="000F128C" w:rsidRDefault="00304FCD" w:rsidP="00014631">
      <w:r>
        <w:t xml:space="preserve">A TWA of 2 ppm is recommended as assigned by </w:t>
      </w:r>
      <w:proofErr w:type="spellStart"/>
      <w:r>
        <w:t>ACGIH</w:t>
      </w:r>
      <w:proofErr w:type="spellEnd"/>
      <w:r>
        <w:t xml:space="preserve">. </w:t>
      </w:r>
      <w:r w:rsidR="000D186A">
        <w:t xml:space="preserve">Applying a </w:t>
      </w:r>
      <w:r w:rsidR="001D3B2E">
        <w:t xml:space="preserve">factor of </w:t>
      </w:r>
      <w:r w:rsidR="00FC02B1">
        <w:t xml:space="preserve">two to these </w:t>
      </w:r>
      <w:proofErr w:type="spellStart"/>
      <w:r w:rsidR="001835AF">
        <w:t>LOAEC</w:t>
      </w:r>
      <w:proofErr w:type="spellEnd"/>
      <w:r w:rsidR="001835AF">
        <w:t xml:space="preserve"> </w:t>
      </w:r>
      <w:r w:rsidR="00FC02B1">
        <w:t xml:space="preserve">to account for the absence of a </w:t>
      </w:r>
      <w:proofErr w:type="spellStart"/>
      <w:r w:rsidR="001835AF">
        <w:t>NOAEC</w:t>
      </w:r>
      <w:proofErr w:type="spellEnd"/>
      <w:r w:rsidR="001835AF">
        <w:t xml:space="preserve"> </w:t>
      </w:r>
      <w:r w:rsidR="002B4839">
        <w:t>in</w:t>
      </w:r>
      <w:r w:rsidR="00FC02B1">
        <w:t xml:space="preserve"> both studies and </w:t>
      </w:r>
      <w:r w:rsidR="000D186A">
        <w:t xml:space="preserve">rounding </w:t>
      </w:r>
      <w:r w:rsidR="00FC02B1">
        <w:t xml:space="preserve">down </w:t>
      </w:r>
      <w:r w:rsidR="000D186A">
        <w:t>results in a</w:t>
      </w:r>
      <w:r w:rsidR="00FC02B1">
        <w:t xml:space="preserve"> </w:t>
      </w:r>
      <w:r w:rsidR="00A027FE">
        <w:t xml:space="preserve">value </w:t>
      </w:r>
      <w:r w:rsidR="00FC02B1">
        <w:t>of 2 ppm</w:t>
      </w:r>
      <w:r w:rsidR="00A027FE">
        <w:t xml:space="preserve"> and supports the recommend</w:t>
      </w:r>
      <w:r w:rsidR="00B92EF7">
        <w:t>ed TWA</w:t>
      </w:r>
      <w:r w:rsidR="002B4839">
        <w:t xml:space="preserve">. </w:t>
      </w:r>
      <w:r w:rsidR="009471DB">
        <w:t xml:space="preserve">The recommended </w:t>
      </w:r>
      <w:r w:rsidR="002B4839">
        <w:t>TWA</w:t>
      </w:r>
      <w:r w:rsidR="00FC02B1">
        <w:t xml:space="preserve"> is considered sufficiently protective of transient signs of irritation described at the </w:t>
      </w:r>
      <w:proofErr w:type="spellStart"/>
      <w:r w:rsidR="00FC02B1">
        <w:t>LOAELs</w:t>
      </w:r>
      <w:proofErr w:type="spellEnd"/>
      <w:r w:rsidR="00FC02B1">
        <w:t xml:space="preserve"> in both humans and animals. </w:t>
      </w:r>
    </w:p>
    <w:p w14:paraId="074873B3" w14:textId="77C7A8E0" w:rsidR="0026124B" w:rsidRDefault="003304F7" w:rsidP="00014631">
      <w:r>
        <w:rPr>
          <w:rFonts w:cs="Arial"/>
        </w:rPr>
        <w:t>A STEL of 4 ppm (20 mg/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3</w:t>
      </w:r>
      <w:proofErr w:type="spellEnd"/>
      <w:r>
        <w:rPr>
          <w:rFonts w:cs="Arial"/>
        </w:rPr>
        <w:t xml:space="preserve">) is recommended </w:t>
      </w:r>
      <w:r w:rsidR="00FC02B1">
        <w:rPr>
          <w:rFonts w:cs="Arial"/>
        </w:rPr>
        <w:t xml:space="preserve">in place of the previous peak limitation </w:t>
      </w:r>
      <w:r>
        <w:rPr>
          <w:rFonts w:cs="Arial"/>
        </w:rPr>
        <w:t>to protect for upper respiratory tract and eye irritation from acute exposures</w:t>
      </w:r>
      <w:r w:rsidR="00FC02B1">
        <w:rPr>
          <w:rFonts w:cs="Arial"/>
        </w:rPr>
        <w:t xml:space="preserve">; a </w:t>
      </w:r>
      <w:r w:rsidR="00FC4DD1">
        <w:t xml:space="preserve">peak limitation is not considered </w:t>
      </w:r>
      <w:r w:rsidR="00FC4DD1">
        <w:lastRenderedPageBreak/>
        <w:t>necessary as</w:t>
      </w:r>
      <w:r w:rsidR="002B4839">
        <w:t xml:space="preserve"> the</w:t>
      </w:r>
      <w:r w:rsidR="00FC4DD1">
        <w:t xml:space="preserve"> critical effects are transient and </w:t>
      </w:r>
      <w:r w:rsidR="002B4839">
        <w:t>mild</w:t>
      </w:r>
      <w:r w:rsidR="00FC02B1">
        <w:t>. T</w:t>
      </w:r>
      <w:r w:rsidR="00FC4DD1">
        <w:t>h</w:t>
      </w:r>
      <w:r w:rsidR="002B4839">
        <w:t xml:space="preserve">is combination of WES parameters </w:t>
      </w:r>
      <w:r w:rsidR="00FC02B1">
        <w:t xml:space="preserve">agrees with the recommendations </w:t>
      </w:r>
      <w:r w:rsidR="005519C2">
        <w:t>of the</w:t>
      </w:r>
      <w:r w:rsidR="00FC02B1">
        <w:t xml:space="preserve"> </w:t>
      </w:r>
      <w:proofErr w:type="spellStart"/>
      <w:r w:rsidR="00803B13">
        <w:t>ACGIH</w:t>
      </w:r>
      <w:proofErr w:type="spellEnd"/>
      <w:r w:rsidR="00803B13">
        <w:t xml:space="preserve"> </w:t>
      </w:r>
      <w:r w:rsidR="00FC02B1">
        <w:t>(2018</w:t>
      </w:r>
      <w:proofErr w:type="gramStart"/>
      <w:r w:rsidR="00FC02B1">
        <w:t>)</w:t>
      </w:r>
      <w:r w:rsidR="002B4839">
        <w:t>,</w:t>
      </w:r>
      <w:r w:rsidR="00FC02B1">
        <w:t xml:space="preserve"> and</w:t>
      </w:r>
      <w:proofErr w:type="gramEnd"/>
      <w:r w:rsidR="00FC02B1">
        <w:t xml:space="preserve"> is considered more protective than those </w:t>
      </w:r>
      <w:r w:rsidR="001835AF">
        <w:t xml:space="preserve">published </w:t>
      </w:r>
      <w:r w:rsidR="00FC02B1">
        <w:t xml:space="preserve">by the </w:t>
      </w:r>
      <w:r w:rsidR="0026124B">
        <w:t>ECHA (2019).</w:t>
      </w:r>
    </w:p>
    <w:p w14:paraId="6AEF11A6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694A6A04" w14:textId="44908AC2" w:rsidR="00720DD0" w:rsidRPr="00720DD0" w:rsidRDefault="00720DD0" w:rsidP="00720DD0">
      <w:pPr>
        <w:rPr>
          <w:rFonts w:cs="Arial"/>
        </w:rPr>
      </w:pPr>
      <w:r w:rsidRPr="00720DD0">
        <w:rPr>
          <w:rFonts w:cs="Arial"/>
        </w:rPr>
        <w:t>Not classified as a carcinogen according to the Globally Harmonized System of</w:t>
      </w:r>
      <w:r w:rsidR="00C245B0">
        <w:rPr>
          <w:rFonts w:cs="Arial"/>
        </w:rPr>
        <w:t xml:space="preserve"> Classification and Labelling of</w:t>
      </w:r>
      <w:r w:rsidRPr="00720DD0">
        <w:rPr>
          <w:rFonts w:cs="Arial"/>
        </w:rPr>
        <w:t xml:space="preserve"> Chemicals (GHS). </w:t>
      </w:r>
    </w:p>
    <w:p w14:paraId="66D213F0" w14:textId="14C2E8E7" w:rsidR="00720DD0" w:rsidRDefault="00720DD0" w:rsidP="00720DD0">
      <w:pPr>
        <w:rPr>
          <w:rFonts w:cs="Arial"/>
        </w:rPr>
      </w:pPr>
      <w:r w:rsidRPr="00720DD0">
        <w:rPr>
          <w:rFonts w:cs="Arial"/>
        </w:rPr>
        <w:t xml:space="preserve">Not classified as a skin </w:t>
      </w:r>
      <w:r w:rsidR="00C245B0" w:rsidRPr="00720DD0">
        <w:rPr>
          <w:rFonts w:cs="Arial"/>
        </w:rPr>
        <w:t xml:space="preserve">sensitiser </w:t>
      </w:r>
      <w:r w:rsidRPr="00720DD0">
        <w:rPr>
          <w:rFonts w:cs="Arial"/>
        </w:rPr>
        <w:t>or respiratory sensitiser according to the GHS.</w:t>
      </w:r>
    </w:p>
    <w:p w14:paraId="3BC5C194" w14:textId="5D40C7FA" w:rsidR="0025734A" w:rsidRPr="004C23F4" w:rsidRDefault="00C245B0" w:rsidP="00720DD0">
      <w:pPr>
        <w:rPr>
          <w:rFonts w:cs="Arial"/>
        </w:rPr>
      </w:pPr>
      <w:r>
        <w:rPr>
          <w:rFonts w:cs="Arial"/>
        </w:rPr>
        <w:t xml:space="preserve">There </w:t>
      </w:r>
      <w:r w:rsidR="007229AC">
        <w:rPr>
          <w:rFonts w:cs="Arial"/>
        </w:rPr>
        <w:t>are</w:t>
      </w:r>
      <w:r>
        <w:rPr>
          <w:rFonts w:cs="Arial"/>
        </w:rPr>
        <w:t xml:space="preserve"> i</w:t>
      </w:r>
      <w:r w:rsidR="00720DD0" w:rsidRPr="00720DD0">
        <w:rPr>
          <w:rFonts w:cs="Arial"/>
        </w:rPr>
        <w:t xml:space="preserve">nsufficient </w:t>
      </w:r>
      <w:r w:rsidR="007229AC">
        <w:rPr>
          <w:rFonts w:cs="Arial"/>
        </w:rPr>
        <w:t>data</w:t>
      </w:r>
      <w:r w:rsidR="00720DD0" w:rsidRPr="00720DD0">
        <w:rPr>
          <w:rFonts w:cs="Arial"/>
        </w:rPr>
        <w:t xml:space="preserve"> to recommend a skin notation.</w:t>
      </w:r>
    </w:p>
    <w:p w14:paraId="729B2141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4457B92B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4677884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1D1AF1D" w14:textId="77777777" w:rsidTr="00C245B0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0874E3F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68AA7BEB" w14:textId="77777777" w:rsidTr="00C245B0">
        <w:tc>
          <w:tcPr>
            <w:tcW w:w="5000" w:type="pct"/>
            <w:gridSpan w:val="2"/>
            <w:shd w:val="clear" w:color="auto" w:fill="F2F2F2" w:themeFill="background1" w:themeFillShade="F2"/>
          </w:tcPr>
          <w:p w14:paraId="0437B86A" w14:textId="55F82339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720DD0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720DD0" w:rsidRPr="00720DD0">
                  <w:t>Peak limitation</w:t>
                </w:r>
                <w:r w:rsidR="00720DD0">
                  <w:t>:</w:t>
                </w:r>
                <w:r w:rsidR="00A2691B">
                  <w:t xml:space="preserve"> 5 ppm (25 mg/</w:t>
                </w:r>
                <w:proofErr w:type="spellStart"/>
                <w:r w:rsidR="00A2691B">
                  <w:t>m</w:t>
                </w:r>
                <w:r w:rsidR="00A2691B" w:rsidRPr="00A2691B">
                  <w:rPr>
                    <w:vertAlign w:val="superscript"/>
                  </w:rPr>
                  <w:t>3</w:t>
                </w:r>
                <w:proofErr w:type="spellEnd"/>
                <w:r w:rsidR="00A2691B">
                  <w:t>)</w:t>
                </w:r>
              </w:sdtContent>
            </w:sdt>
          </w:p>
        </w:tc>
      </w:tr>
      <w:tr w:rsidR="00C978F0" w:rsidRPr="00DA352E" w14:paraId="7104E365" w14:textId="77777777" w:rsidTr="00C245B0">
        <w:trPr>
          <w:gridAfter w:val="1"/>
          <w:wAfter w:w="8" w:type="pct"/>
        </w:trPr>
        <w:tc>
          <w:tcPr>
            <w:tcW w:w="4992" w:type="pct"/>
          </w:tcPr>
          <w:p w14:paraId="6F60D629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5417D803" w14:textId="77777777" w:rsidTr="00C245B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394874F" w14:textId="23F02B1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A2691B">
                  <w:t>2014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A2691B">
                  <w:t>TLV-TWA: 2 ppm (10 mg/</w:t>
                </w:r>
                <w:proofErr w:type="spellStart"/>
                <w:r w:rsidR="00A2691B">
                  <w:t>m</w:t>
                </w:r>
                <w:r w:rsidR="00A2691B" w:rsidRPr="00A2691B">
                  <w:rPr>
                    <w:vertAlign w:val="superscript"/>
                  </w:rPr>
                  <w:t>3</w:t>
                </w:r>
                <w:proofErr w:type="spellEnd"/>
                <w:r w:rsidR="00A2691B">
                  <w:t>); TLV-STEL: 4 ppm (20 mg/</w:t>
                </w:r>
                <w:proofErr w:type="spellStart"/>
                <w:r w:rsidR="00A2691B">
                  <w:t>m</w:t>
                </w:r>
                <w:r w:rsidR="00A2691B" w:rsidRPr="00A2691B">
                  <w:rPr>
                    <w:vertAlign w:val="superscript"/>
                  </w:rPr>
                  <w:t>3</w:t>
                </w:r>
                <w:proofErr w:type="spellEnd"/>
                <w:r w:rsidR="00A2691B">
                  <w:t>)</w:t>
                </w:r>
              </w:sdtContent>
            </w:sdt>
          </w:p>
        </w:tc>
      </w:tr>
      <w:tr w:rsidR="00C978F0" w:rsidRPr="00DA352E" w14:paraId="3066DCAE" w14:textId="77777777" w:rsidTr="00C245B0">
        <w:trPr>
          <w:gridAfter w:val="1"/>
          <w:wAfter w:w="8" w:type="pct"/>
        </w:trPr>
        <w:tc>
          <w:tcPr>
            <w:tcW w:w="4992" w:type="pct"/>
          </w:tcPr>
          <w:p w14:paraId="34D3BBE5" w14:textId="7AD4F618" w:rsidR="00C978F0" w:rsidRDefault="00E0700F" w:rsidP="003365A5">
            <w:pPr>
              <w:pStyle w:val="Tabletextprimarysource"/>
            </w:pPr>
            <w:r>
              <w:t>TLV-TWA and TLV-STE</w:t>
            </w:r>
            <w:r w:rsidR="00D44E14">
              <w:t>L</w:t>
            </w:r>
            <w:r>
              <w:t xml:space="preserve"> recommended to minimise the potential for upper respiratory tract and eye irritation in exposed workers</w:t>
            </w:r>
            <w:r w:rsidR="000A665A">
              <w:t xml:space="preserve"> based on a </w:t>
            </w:r>
            <w:proofErr w:type="spellStart"/>
            <w:r w:rsidR="00B37C77">
              <w:t>LO</w:t>
            </w:r>
            <w:r w:rsidR="00DE0766">
              <w:t>AEC</w:t>
            </w:r>
            <w:proofErr w:type="spellEnd"/>
            <w:r w:rsidR="000A665A">
              <w:t xml:space="preserve"> of 5.6 ppm from a controlled </w:t>
            </w:r>
            <w:r w:rsidR="00D44E14">
              <w:t xml:space="preserve">exposure </w:t>
            </w:r>
            <w:r w:rsidR="000A665A">
              <w:t>study</w:t>
            </w:r>
            <w:r w:rsidR="00DE0766">
              <w:t xml:space="preserve"> (no further explanation on the derivation of TLV-TWA)</w:t>
            </w:r>
            <w:r>
              <w:t>.</w:t>
            </w:r>
          </w:p>
          <w:p w14:paraId="4BFB0215" w14:textId="30B8783A" w:rsidR="000A665A" w:rsidRDefault="00600956" w:rsidP="003365A5">
            <w:pPr>
              <w:pStyle w:val="Tabletextprimarysource"/>
            </w:pPr>
            <w:r>
              <w:t>Summary of data:</w:t>
            </w:r>
          </w:p>
          <w:p w14:paraId="13861028" w14:textId="5F22EF52" w:rsidR="00600956" w:rsidRDefault="00600956" w:rsidP="003365A5">
            <w:pPr>
              <w:pStyle w:val="Tabletextprimarysource"/>
            </w:pPr>
            <w:r>
              <w:t>Human data:</w:t>
            </w:r>
          </w:p>
          <w:p w14:paraId="5A44047D" w14:textId="60764FB5" w:rsidR="00600956" w:rsidRDefault="00C105CF" w:rsidP="0001463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Reported </w:t>
            </w:r>
            <w:r w:rsidR="006C19CC">
              <w:t xml:space="preserve">transitory </w:t>
            </w:r>
            <w:r>
              <w:t xml:space="preserve">upper respiratory tract </w:t>
            </w:r>
            <w:r w:rsidR="006C19CC">
              <w:t>and</w:t>
            </w:r>
            <w:r w:rsidR="00D44E14">
              <w:t>/or</w:t>
            </w:r>
            <w:r w:rsidR="006C19CC">
              <w:t xml:space="preserve"> eye </w:t>
            </w:r>
            <w:r>
              <w:t>irritation</w:t>
            </w:r>
            <w:r w:rsidR="006C19CC">
              <w:t xml:space="preserve"> in exposed vo</w:t>
            </w:r>
            <w:r w:rsidR="000164B5">
              <w:t xml:space="preserve">lunteers </w:t>
            </w:r>
            <w:r w:rsidR="00E52008">
              <w:br/>
            </w:r>
            <w:r w:rsidR="000164B5">
              <w:t>(5.6</w:t>
            </w:r>
            <w:r w:rsidR="00E52008">
              <w:t>–</w:t>
            </w:r>
            <w:r w:rsidR="000164B5">
              <w:t>11.2 ppm, 30 min).</w:t>
            </w:r>
          </w:p>
          <w:p w14:paraId="48AE0B94" w14:textId="1DB6B858" w:rsidR="00340DD4" w:rsidRDefault="00340DD4" w:rsidP="00340DD4">
            <w:pPr>
              <w:pStyle w:val="ListBullet"/>
              <w:numPr>
                <w:ilvl w:val="0"/>
                <w:numId w:val="0"/>
              </w:numPr>
            </w:pPr>
          </w:p>
          <w:p w14:paraId="3A47940F" w14:textId="452D3875" w:rsidR="00600956" w:rsidRDefault="00600956" w:rsidP="003365A5">
            <w:pPr>
              <w:pStyle w:val="Tabletextprimarysource"/>
            </w:pPr>
            <w:r>
              <w:t>Animal data:</w:t>
            </w:r>
          </w:p>
          <w:p w14:paraId="00C89C7A" w14:textId="6ED5E961" w:rsidR="00D57803" w:rsidRDefault="00FB7FB1" w:rsidP="0001463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Death of 5</w:t>
            </w:r>
            <w:r w:rsidR="00C245B0">
              <w:t>/6</w:t>
            </w:r>
            <w:r>
              <w:t xml:space="preserve"> rats at 4</w:t>
            </w:r>
            <w:r w:rsidR="007229AC">
              <w:t>,</w:t>
            </w:r>
            <w:r>
              <w:t>000 ppm (4 h)</w:t>
            </w:r>
          </w:p>
          <w:p w14:paraId="0C1D32EE" w14:textId="1FA76572" w:rsidR="00E0700F" w:rsidRDefault="00D57803" w:rsidP="00014631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LC</w:t>
            </w:r>
            <w:r w:rsidRPr="00EB6E1D">
              <w:rPr>
                <w:vertAlign w:val="subscript"/>
              </w:rPr>
              <w:t>50</w:t>
            </w:r>
            <w:proofErr w:type="spellEnd"/>
            <w:r w:rsidR="007229AC">
              <w:t>: 732–</w:t>
            </w:r>
            <w:r>
              <w:t>3</w:t>
            </w:r>
            <w:r w:rsidR="007229AC">
              <w:t>,</w:t>
            </w:r>
            <w:r>
              <w:t xml:space="preserve">104 ppm; </w:t>
            </w:r>
            <w:r w:rsidR="00547691">
              <w:t>mice</w:t>
            </w:r>
            <w:r>
              <w:t xml:space="preserve"> and rabbits, 4 h</w:t>
            </w:r>
            <w:r w:rsidR="00647504">
              <w:t>, single exposure</w:t>
            </w:r>
            <w:r>
              <w:t xml:space="preserve"> </w:t>
            </w:r>
          </w:p>
          <w:p w14:paraId="032A30AC" w14:textId="4811A714" w:rsidR="00547691" w:rsidRDefault="00547691" w:rsidP="0001463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Effect on blood cells count observed in</w:t>
            </w:r>
            <w:r w:rsidR="00FC5D30">
              <w:t xml:space="preserve"> a</w:t>
            </w:r>
            <w:r>
              <w:t xml:space="preserve"> subacute inhalation study at 350 ppm (</w:t>
            </w:r>
            <w:r w:rsidR="00FC5D30">
              <w:t>rats, 10</w:t>
            </w:r>
            <w:r w:rsidR="00FD45CD">
              <w:t> </w:t>
            </w:r>
            <w:r w:rsidR="00FC5D30">
              <w:t xml:space="preserve">animals/sex; </w:t>
            </w:r>
            <w:r>
              <w:t>5</w:t>
            </w:r>
            <w:r w:rsidR="00C245B0">
              <w:t>/2/4 d</w:t>
            </w:r>
            <w:r>
              <w:t xml:space="preserve"> </w:t>
            </w:r>
            <w:r w:rsidR="00C245B0">
              <w:t>(exposure/rest/</w:t>
            </w:r>
            <w:r>
              <w:t>exposure)</w:t>
            </w:r>
          </w:p>
          <w:p w14:paraId="3ADE2C62" w14:textId="51233CC4" w:rsidR="00576039" w:rsidRDefault="00345CE0" w:rsidP="0001463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Thyroid follicle defects observed in a </w:t>
            </w:r>
            <w:r w:rsidR="00BA1047">
              <w:t xml:space="preserve">9-day </w:t>
            </w:r>
            <w:r>
              <w:t xml:space="preserve">subacute inhalation study at 50–350 ppm (rats, 10 animals/sex; </w:t>
            </w:r>
            <w:r w:rsidR="00C245B0">
              <w:t>5/2/4 d (exposure/rest/exposure)</w:t>
            </w:r>
          </w:p>
          <w:p w14:paraId="3E500678" w14:textId="4B1B27DA" w:rsidR="00EF12EC" w:rsidRDefault="00576039" w:rsidP="0001463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</w:t>
            </w:r>
            <w:r w:rsidR="007C38DD">
              <w:t>o death or gross lesions observed</w:t>
            </w:r>
            <w:r w:rsidR="009C423A">
              <w:t xml:space="preserve"> </w:t>
            </w:r>
            <w:r w:rsidR="007229AC">
              <w:rPr>
                <w:rFonts w:cs="Arial"/>
              </w:rPr>
              <w:t>≤</w:t>
            </w:r>
            <w:r w:rsidR="009C423A">
              <w:t>150 ppm</w:t>
            </w:r>
            <w:r w:rsidR="007229AC">
              <w:t xml:space="preserve"> in 14-</w:t>
            </w:r>
            <w:proofErr w:type="spellStart"/>
            <w:r w:rsidR="007229AC">
              <w:t>w</w:t>
            </w:r>
            <w:r w:rsidR="00BA1047">
              <w:t>k</w:t>
            </w:r>
            <w:proofErr w:type="spellEnd"/>
            <w:r w:rsidR="00BA1047">
              <w:t xml:space="preserve"> s</w:t>
            </w:r>
            <w:r w:rsidR="007C38DD">
              <w:t>ub</w:t>
            </w:r>
            <w:r w:rsidR="001835AF">
              <w:t>-</w:t>
            </w:r>
            <w:r w:rsidR="007C38DD">
              <w:t>chronic study</w:t>
            </w:r>
            <w:r w:rsidR="009C423A">
              <w:t xml:space="preserve"> (rats; 15</w:t>
            </w:r>
            <w:r w:rsidR="00FD45CD">
              <w:t> </w:t>
            </w:r>
            <w:r w:rsidR="009C423A">
              <w:t>animals/sex; 6 h/d, 5 d/</w:t>
            </w:r>
            <w:proofErr w:type="spellStart"/>
            <w:r w:rsidR="009C423A">
              <w:t>wk</w:t>
            </w:r>
            <w:proofErr w:type="spellEnd"/>
            <w:r w:rsidR="009C423A">
              <w:t>)</w:t>
            </w:r>
            <w:r w:rsidR="00E52008">
              <w:t>:</w:t>
            </w:r>
          </w:p>
          <w:p w14:paraId="02CD1B09" w14:textId="6A963754" w:rsidR="00EF12EC" w:rsidRDefault="007229AC" w:rsidP="00014631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t</w:t>
            </w:r>
            <w:r w:rsidR="00FC24E4">
              <w:t>ransient periocular swellin</w:t>
            </w:r>
            <w:r w:rsidR="003853FC">
              <w:t>g observed from 5 ppm in female animals</w:t>
            </w:r>
          </w:p>
          <w:p w14:paraId="27E1DBB1" w14:textId="3A7ED801" w:rsidR="00613A68" w:rsidRDefault="007229AC" w:rsidP="00014631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d</w:t>
            </w:r>
            <w:r w:rsidR="00FC24E4">
              <w:t xml:space="preserve">ecreased </w:t>
            </w:r>
            <w:r w:rsidR="001835AF">
              <w:t xml:space="preserve">body weight </w:t>
            </w:r>
            <w:r w:rsidR="00FC24E4">
              <w:t xml:space="preserve">gain, </w:t>
            </w:r>
            <w:r w:rsidR="00255310">
              <w:t>haematological effects</w:t>
            </w:r>
            <w:r w:rsidR="006A79BA">
              <w:t xml:space="preserve">, hypertrophic </w:t>
            </w:r>
            <w:r w:rsidR="00576039">
              <w:t>response in thyroid follicular cells</w:t>
            </w:r>
            <w:r w:rsidR="00FC24E4">
              <w:t xml:space="preserve"> and/or mild </w:t>
            </w:r>
            <w:r w:rsidR="003853FC">
              <w:t>anaemia</w:t>
            </w:r>
            <w:r w:rsidR="00FC24E4">
              <w:t xml:space="preserve"> in </w:t>
            </w:r>
            <w:r>
              <w:t>males at concentrations of 25–</w:t>
            </w:r>
            <w:r w:rsidR="00FC24E4">
              <w:t xml:space="preserve">150 ppm. </w:t>
            </w:r>
          </w:p>
          <w:p w14:paraId="4115561A" w14:textId="4EB6D3C4" w:rsidR="00547691" w:rsidRDefault="007229AC" w:rsidP="00014631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a</w:t>
            </w:r>
            <w:r w:rsidR="003853FC">
              <w:t xml:space="preserve">ll effects resolved after 4 </w:t>
            </w:r>
            <w:proofErr w:type="spellStart"/>
            <w:r w:rsidR="003853FC">
              <w:t>wk</w:t>
            </w:r>
            <w:proofErr w:type="spellEnd"/>
            <w:r w:rsidR="003853FC">
              <w:t xml:space="preserve"> recovery</w:t>
            </w:r>
          </w:p>
          <w:p w14:paraId="2DC07359" w14:textId="7F27112F" w:rsidR="00355E7A" w:rsidRDefault="00576039" w:rsidP="00014631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NOAEL</w:t>
            </w:r>
            <w:proofErr w:type="spellEnd"/>
            <w:r>
              <w:t xml:space="preserve">: 61 ppm for female rats (12 animals/sex/dose, </w:t>
            </w:r>
            <w:proofErr w:type="spellStart"/>
            <w:r>
              <w:t>7h</w:t>
            </w:r>
            <w:proofErr w:type="spellEnd"/>
            <w:r>
              <w:t>/d, 5 d/w; 89</w:t>
            </w:r>
            <w:r w:rsidR="00613A68">
              <w:t xml:space="preserve"> d</w:t>
            </w:r>
            <w:r>
              <w:t>)</w:t>
            </w:r>
          </w:p>
          <w:p w14:paraId="3EBC2605" w14:textId="38D1742E" w:rsidR="00EF12EC" w:rsidRDefault="00576039" w:rsidP="00014631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LC</w:t>
            </w:r>
            <w:r>
              <w:rPr>
                <w:vertAlign w:val="subscript"/>
              </w:rPr>
              <w:t>50</w:t>
            </w:r>
            <w:proofErr w:type="spellEnd"/>
            <w:r w:rsidR="000164B5">
              <w:t>: 150–</w:t>
            </w:r>
            <w:r>
              <w:t>237 ppm based on two sub</w:t>
            </w:r>
            <w:r w:rsidR="00E52008">
              <w:t>-</w:t>
            </w:r>
            <w:r>
              <w:t xml:space="preserve">chronic studies </w:t>
            </w:r>
            <w:r w:rsidR="003853FC">
              <w:t xml:space="preserve">(rats, 89–98 </w:t>
            </w:r>
            <w:r w:rsidR="00613A68">
              <w:t>d</w:t>
            </w:r>
            <w:r w:rsidR="003853FC">
              <w:t>)</w:t>
            </w:r>
            <w:r w:rsidR="00E52008">
              <w:t>:</w:t>
            </w:r>
          </w:p>
          <w:p w14:paraId="405FB145" w14:textId="0CCD61AD" w:rsidR="00613A68" w:rsidRDefault="000164B5" w:rsidP="00014631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h</w:t>
            </w:r>
            <w:r w:rsidR="00613A68">
              <w:t>epatic</w:t>
            </w:r>
            <w:r w:rsidR="004C2894">
              <w:t xml:space="preserve"> and </w:t>
            </w:r>
            <w:r w:rsidR="00613A68">
              <w:t>renal</w:t>
            </w:r>
            <w:r w:rsidR="004C2894">
              <w:t xml:space="preserve"> lesions evident </w:t>
            </w:r>
            <w:r w:rsidR="003853FC">
              <w:t>observed at autopsy</w:t>
            </w:r>
          </w:p>
          <w:p w14:paraId="65B2925E" w14:textId="5C101E6D" w:rsidR="00576039" w:rsidRDefault="000164B5" w:rsidP="00014631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t</w:t>
            </w:r>
            <w:r w:rsidR="004C2894">
              <w:t xml:space="preserve">esticular atrophy </w:t>
            </w:r>
            <w:r w:rsidR="00613A68">
              <w:t xml:space="preserve">observed </w:t>
            </w:r>
            <w:r w:rsidR="004C2894">
              <w:t>in males</w:t>
            </w:r>
            <w:r w:rsidR="00613A68">
              <w:t xml:space="preserve"> at 237 ppm</w:t>
            </w:r>
          </w:p>
          <w:p w14:paraId="4BCB2BA1" w14:textId="43E38B20" w:rsidR="00EF12EC" w:rsidRDefault="00EF12EC" w:rsidP="00014631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NOAEL</w:t>
            </w:r>
            <w:proofErr w:type="spellEnd"/>
            <w:r>
              <w:t>: 22 ppm in dogs</w:t>
            </w:r>
            <w:r w:rsidR="00613A68">
              <w:t xml:space="preserve"> (3 animals/dose, </w:t>
            </w:r>
            <w:proofErr w:type="spellStart"/>
            <w:r w:rsidR="00613A68">
              <w:t>7h</w:t>
            </w:r>
            <w:proofErr w:type="spellEnd"/>
            <w:r w:rsidR="00613A68">
              <w:t>/d, 89 d)</w:t>
            </w:r>
            <w:r w:rsidR="00E52008">
              <w:t>:</w:t>
            </w:r>
          </w:p>
          <w:p w14:paraId="243474D5" w14:textId="4B299321" w:rsidR="00613A68" w:rsidRDefault="000164B5" w:rsidP="00014631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h</w:t>
            </w:r>
            <w:r w:rsidR="00EF12EC">
              <w:t>epatic lesions, blood changes</w:t>
            </w:r>
            <w:r w:rsidR="00613A68">
              <w:t xml:space="preserve"> observed</w:t>
            </w:r>
          </w:p>
          <w:p w14:paraId="008661E4" w14:textId="43F57826" w:rsidR="00EF12EC" w:rsidRDefault="000164B5" w:rsidP="00014631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t</w:t>
            </w:r>
            <w:r w:rsidR="00EF12EC">
              <w:t>esticular atrophy</w:t>
            </w:r>
            <w:r w:rsidR="00613A68">
              <w:t xml:space="preserve"> observed at 93 ppm</w:t>
            </w:r>
          </w:p>
          <w:p w14:paraId="71CD236E" w14:textId="300223AC" w:rsidR="00613A68" w:rsidRDefault="00613A68" w:rsidP="00014631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NO</w:t>
            </w:r>
            <w:r w:rsidR="002E150C">
              <w:t>A</w:t>
            </w:r>
            <w:r>
              <w:t>E</w:t>
            </w:r>
            <w:r w:rsidR="002E150C">
              <w:t>C</w:t>
            </w:r>
            <w:proofErr w:type="spellEnd"/>
            <w:r w:rsidR="000164B5">
              <w:t>: 25 ppm for pregnant rats (0–</w:t>
            </w:r>
            <w:r>
              <w:t>354 ppm, 10 d)</w:t>
            </w:r>
            <w:r w:rsidR="00E52008">
              <w:t>:</w:t>
            </w:r>
          </w:p>
          <w:p w14:paraId="72DA382E" w14:textId="5AC0EB24" w:rsidR="00613A68" w:rsidRDefault="000164B5" w:rsidP="00014631">
            <w:pPr>
              <w:pStyle w:val="ListBullet"/>
              <w:numPr>
                <w:ilvl w:val="0"/>
                <w:numId w:val="5"/>
              </w:numPr>
              <w:ind w:left="1094" w:hanging="357"/>
            </w:pPr>
            <w:r>
              <w:t>h</w:t>
            </w:r>
            <w:r w:rsidR="002E150C">
              <w:t>ypertrophic response in thyroid follicular cells</w:t>
            </w:r>
          </w:p>
          <w:p w14:paraId="162BEE09" w14:textId="28020AC5" w:rsidR="00547691" w:rsidRDefault="001024C7" w:rsidP="0001463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reproductive, gestational or lethal effects observed suggesting no testicular toxicity (rats; 20 animals/dose; 0–254 ppm; 6</w:t>
            </w:r>
            <w:r w:rsidR="003853FC">
              <w:t xml:space="preserve"> </w:t>
            </w:r>
            <w:r>
              <w:t>h/d, 5</w:t>
            </w:r>
            <w:r w:rsidR="003853FC">
              <w:t xml:space="preserve"> </w:t>
            </w:r>
            <w:r>
              <w:t>d)</w:t>
            </w:r>
          </w:p>
          <w:p w14:paraId="4721FE7C" w14:textId="7163F9D6" w:rsidR="00FB7FB1" w:rsidRDefault="00DB2EF7" w:rsidP="00014631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LD</w:t>
            </w:r>
            <w:r w:rsidR="00647504">
              <w:rPr>
                <w:vertAlign w:val="subscript"/>
              </w:rPr>
              <w:t>50</w:t>
            </w:r>
            <w:proofErr w:type="spellEnd"/>
            <w:r w:rsidR="00647504">
              <w:t>: 5</w:t>
            </w:r>
            <w:r w:rsidR="00DC7C9B">
              <w:t>,</w:t>
            </w:r>
            <w:r w:rsidR="00647504">
              <w:t>66</w:t>
            </w:r>
            <w:r w:rsidR="00DC7C9B">
              <w:t>0</w:t>
            </w:r>
            <w:r w:rsidR="003853FC">
              <w:t>–</w:t>
            </w:r>
            <w:r w:rsidR="00647504">
              <w:t>9</w:t>
            </w:r>
            <w:r w:rsidR="00DC7C9B">
              <w:t>,</w:t>
            </w:r>
            <w:r w:rsidR="00647504">
              <w:t>17</w:t>
            </w:r>
            <w:r w:rsidR="00DC7C9B">
              <w:t>0</w:t>
            </w:r>
            <w:r w:rsidR="00647504">
              <w:t xml:space="preserve"> m</w:t>
            </w:r>
            <w:r w:rsidR="00DC7C9B">
              <w:t>g</w:t>
            </w:r>
            <w:r w:rsidR="003853FC">
              <w:t>/kg (rabbits, dermal)</w:t>
            </w:r>
          </w:p>
          <w:p w14:paraId="4F332126" w14:textId="23747184" w:rsidR="00647504" w:rsidRDefault="00647504" w:rsidP="00014631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 w:rsidR="003853FC">
              <w:t>: 2.54–5.66 mL/kg</w:t>
            </w:r>
            <w:r>
              <w:t xml:space="preserve"> </w:t>
            </w:r>
            <w:r w:rsidR="003853FC">
              <w:t>(</w:t>
            </w:r>
            <w:r>
              <w:t>rats</w:t>
            </w:r>
            <w:r w:rsidR="003853FC">
              <w:t>, oral)</w:t>
            </w:r>
          </w:p>
          <w:p w14:paraId="1A72BBB0" w14:textId="1B088B00" w:rsidR="00163D6A" w:rsidRDefault="007C38DD" w:rsidP="0001463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Nephropathy and thyroid effects observed in rodents not considered relevant to humans</w:t>
            </w:r>
            <w:r w:rsidR="002E150C">
              <w:t xml:space="preserve"> in several studies</w:t>
            </w:r>
          </w:p>
          <w:p w14:paraId="430BFB9F" w14:textId="1A78B836" w:rsidR="00D57803" w:rsidRDefault="00163D6A" w:rsidP="0001463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clastogenic activity observed in hamster ovary cells</w:t>
            </w:r>
            <w:r w:rsidR="000164B5">
              <w:t>.</w:t>
            </w:r>
          </w:p>
          <w:p w14:paraId="6221DD08" w14:textId="77777777" w:rsidR="00E52008" w:rsidRDefault="00E52008" w:rsidP="007229AC">
            <w:pPr>
              <w:pStyle w:val="Tabletextprimarysource"/>
            </w:pPr>
          </w:p>
          <w:p w14:paraId="3373C56A" w14:textId="25166B67" w:rsidR="00D57803" w:rsidRDefault="00163D6A" w:rsidP="000164B5">
            <w:pPr>
              <w:pStyle w:val="Tabletextprimarysource"/>
            </w:pPr>
            <w:r>
              <w:lastRenderedPageBreak/>
              <w:t xml:space="preserve">No mutagenic activity observed in </w:t>
            </w:r>
            <w:r>
              <w:rPr>
                <w:i/>
              </w:rPr>
              <w:t xml:space="preserve">in vitro </w:t>
            </w:r>
            <w:proofErr w:type="gramStart"/>
            <w:r>
              <w:t>Ames</w:t>
            </w:r>
            <w:proofErr w:type="gramEnd"/>
            <w:r>
              <w:t xml:space="preserve"> test without metabolic activation (S</w:t>
            </w:r>
            <w:r>
              <w:rPr>
                <w:i/>
              </w:rPr>
              <w:t>almonella</w:t>
            </w:r>
            <w:r w:rsidR="00E52008">
              <w:rPr>
                <w:i/>
              </w:rPr>
              <w:t> </w:t>
            </w:r>
            <w:r>
              <w:rPr>
                <w:i/>
              </w:rPr>
              <w:t>typhimurium</w:t>
            </w:r>
            <w:r>
              <w:t>)</w:t>
            </w:r>
            <w:r w:rsidR="00E52008">
              <w:t>.</w:t>
            </w:r>
            <w:r w:rsidR="007229AC" w:rsidRPr="00DA6C91">
              <w:t xml:space="preserve"> Insufficient data available to recommend Skin</w:t>
            </w:r>
            <w:r w:rsidR="007229AC">
              <w:t>,</w:t>
            </w:r>
            <w:r w:rsidR="007229AC" w:rsidRPr="00DA6C91">
              <w:t xml:space="preserve"> </w:t>
            </w:r>
            <w:proofErr w:type="spellStart"/>
            <w:r w:rsidR="007229AC">
              <w:t>R</w:t>
            </w:r>
            <w:r w:rsidR="007229AC" w:rsidRPr="00DA6C91">
              <w:t>SEN</w:t>
            </w:r>
            <w:proofErr w:type="spellEnd"/>
            <w:r w:rsidR="007229AC">
              <w:t xml:space="preserve">, </w:t>
            </w:r>
            <w:proofErr w:type="spellStart"/>
            <w:r w:rsidR="007229AC">
              <w:t>DSEN</w:t>
            </w:r>
            <w:proofErr w:type="spellEnd"/>
            <w:r w:rsidR="007229AC">
              <w:t xml:space="preserve"> or carcinogenicity notations.</w:t>
            </w:r>
          </w:p>
          <w:p w14:paraId="31C6BDA9" w14:textId="0B0E021D" w:rsidR="00B24B56" w:rsidRPr="00DA352E" w:rsidRDefault="00B24B56" w:rsidP="000164B5">
            <w:pPr>
              <w:pStyle w:val="Tabletextprimarysource"/>
            </w:pPr>
          </w:p>
        </w:tc>
      </w:tr>
      <w:tr w:rsidR="00C978F0" w:rsidRPr="00DA352E" w14:paraId="5128A094" w14:textId="77777777" w:rsidTr="00C245B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52CC258" w14:textId="3095B1D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A2691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proofErr w:type="spellStart"/>
                <w:r w:rsidR="00A2691B">
                  <w:t>NA</w:t>
                </w:r>
                <w:proofErr w:type="spellEnd"/>
              </w:sdtContent>
            </w:sdt>
          </w:p>
        </w:tc>
      </w:tr>
      <w:tr w:rsidR="00C978F0" w:rsidRPr="00DA352E" w14:paraId="44069349" w14:textId="77777777" w:rsidTr="00C245B0">
        <w:trPr>
          <w:gridAfter w:val="1"/>
          <w:wAfter w:w="8" w:type="pct"/>
        </w:trPr>
        <w:tc>
          <w:tcPr>
            <w:tcW w:w="4992" w:type="pct"/>
          </w:tcPr>
          <w:p w14:paraId="1EA53C4A" w14:textId="0E25FA53" w:rsidR="00C978F0" w:rsidRPr="00DA352E" w:rsidRDefault="00A2691B" w:rsidP="003365A5">
            <w:pPr>
              <w:pStyle w:val="Tabletextprimarysource"/>
            </w:pPr>
            <w:r>
              <w:t>No report</w:t>
            </w:r>
            <w:r w:rsidR="003853FC">
              <w:t>.</w:t>
            </w:r>
          </w:p>
        </w:tc>
      </w:tr>
      <w:tr w:rsidR="00C978F0" w:rsidRPr="00DA352E" w14:paraId="6D5F9197" w14:textId="77777777" w:rsidTr="00C245B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B4D3E65" w14:textId="6CA34E5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A2691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proofErr w:type="spellStart"/>
                <w:r w:rsidR="00A2691B">
                  <w:t>NA</w:t>
                </w:r>
                <w:proofErr w:type="spellEnd"/>
              </w:sdtContent>
            </w:sdt>
          </w:p>
        </w:tc>
      </w:tr>
      <w:tr w:rsidR="00C978F0" w:rsidRPr="00DA352E" w14:paraId="59F195C1" w14:textId="77777777" w:rsidTr="00C245B0">
        <w:trPr>
          <w:gridAfter w:val="1"/>
          <w:wAfter w:w="8" w:type="pct"/>
        </w:trPr>
        <w:tc>
          <w:tcPr>
            <w:tcW w:w="4992" w:type="pct"/>
          </w:tcPr>
          <w:p w14:paraId="06613316" w14:textId="53637379" w:rsidR="00C978F0" w:rsidRPr="00DA352E" w:rsidRDefault="00A2691B" w:rsidP="003365A5">
            <w:pPr>
              <w:pStyle w:val="Tabletextprimarysource"/>
            </w:pPr>
            <w:r>
              <w:t>No report</w:t>
            </w:r>
            <w:r w:rsidR="003853FC">
              <w:t>.</w:t>
            </w:r>
          </w:p>
        </w:tc>
      </w:tr>
      <w:tr w:rsidR="00DA352E" w:rsidRPr="00DA352E" w14:paraId="50621ACA" w14:textId="77777777" w:rsidTr="00C245B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40AE0E3" w14:textId="0EAD518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A2691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proofErr w:type="spellStart"/>
                <w:r w:rsidR="00A2691B">
                  <w:t>NA</w:t>
                </w:r>
                <w:proofErr w:type="spellEnd"/>
              </w:sdtContent>
            </w:sdt>
          </w:p>
        </w:tc>
      </w:tr>
      <w:tr w:rsidR="00DA352E" w:rsidRPr="00DA352E" w14:paraId="4EC8FDF1" w14:textId="77777777" w:rsidTr="00C245B0">
        <w:trPr>
          <w:gridAfter w:val="1"/>
          <w:wAfter w:w="8" w:type="pct"/>
        </w:trPr>
        <w:tc>
          <w:tcPr>
            <w:tcW w:w="4992" w:type="pct"/>
          </w:tcPr>
          <w:p w14:paraId="5EAA854F" w14:textId="5A6BBD3D" w:rsidR="00DA352E" w:rsidRPr="00DA352E" w:rsidRDefault="00A2691B" w:rsidP="003365A5">
            <w:pPr>
              <w:pStyle w:val="Tabletextprimarysource"/>
            </w:pPr>
            <w:r>
              <w:t>No report</w:t>
            </w:r>
            <w:r w:rsidR="003853FC">
              <w:t>.</w:t>
            </w:r>
          </w:p>
        </w:tc>
      </w:tr>
      <w:tr w:rsidR="00DA352E" w:rsidRPr="00DA352E" w14:paraId="428BC979" w14:textId="77777777" w:rsidTr="00C245B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FC2E304" w14:textId="44493A91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A2691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proofErr w:type="spellStart"/>
                <w:r w:rsidR="00A2691B">
                  <w:t>NA</w:t>
                </w:r>
                <w:proofErr w:type="spellEnd"/>
              </w:sdtContent>
            </w:sdt>
          </w:p>
        </w:tc>
      </w:tr>
      <w:tr w:rsidR="00DA352E" w:rsidRPr="00DA352E" w14:paraId="7A24B4A6" w14:textId="77777777" w:rsidTr="00C245B0">
        <w:trPr>
          <w:gridAfter w:val="1"/>
          <w:wAfter w:w="8" w:type="pct"/>
        </w:trPr>
        <w:tc>
          <w:tcPr>
            <w:tcW w:w="4992" w:type="pct"/>
          </w:tcPr>
          <w:p w14:paraId="07BD0991" w14:textId="24E86DBA" w:rsidR="00DA352E" w:rsidRPr="00DA352E" w:rsidRDefault="00A2691B" w:rsidP="003365A5">
            <w:pPr>
              <w:pStyle w:val="Tabletextprimarysource"/>
            </w:pPr>
            <w:r>
              <w:t>No report</w:t>
            </w:r>
            <w:r w:rsidR="003853FC">
              <w:t>.</w:t>
            </w:r>
          </w:p>
        </w:tc>
      </w:tr>
    </w:tbl>
    <w:p w14:paraId="6D332E40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2"/>
        <w:gridCol w:w="661"/>
        <w:gridCol w:w="6445"/>
      </w:tblGrid>
      <w:tr w:rsidR="004966BF" w:rsidRPr="00263255" w14:paraId="40683916" w14:textId="77777777" w:rsidTr="003853FC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5F824775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23FC373C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DDFC99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5" w:type="dxa"/>
            <w:shd w:val="clear" w:color="auto" w:fill="BFBFBF" w:themeFill="background1" w:themeFillShade="BF"/>
            <w:vAlign w:val="center"/>
          </w:tcPr>
          <w:p w14:paraId="2D44B889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28AC4521" w14:textId="77777777" w:rsidTr="003853FC">
        <w:trPr>
          <w:cantSplit/>
        </w:trPr>
        <w:tc>
          <w:tcPr>
            <w:tcW w:w="1498" w:type="dxa"/>
          </w:tcPr>
          <w:p w14:paraId="3755C7C8" w14:textId="77777777" w:rsidR="004966BF" w:rsidRPr="004C23F4" w:rsidRDefault="004966BF" w:rsidP="00224EE2">
            <w:pPr>
              <w:pStyle w:val="Tablefont"/>
            </w:pPr>
            <w:proofErr w:type="spellStart"/>
            <w:r>
              <w:t>NTP</w:t>
            </w:r>
            <w:proofErr w:type="spellEnd"/>
          </w:p>
        </w:tc>
        <w:tc>
          <w:tcPr>
            <w:tcW w:w="422" w:type="dxa"/>
          </w:tcPr>
          <w:p w14:paraId="70DE0537" w14:textId="724B3434" w:rsidR="004966BF" w:rsidRPr="00CE617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954586092"/>
                <w:placeholder>
                  <w:docPart w:val="0599BE4318CD4CC0836196E577CC2921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71696B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07B0CB7" w14:textId="073727A3" w:rsidR="004966BF" w:rsidRPr="004C23F4" w:rsidRDefault="0085529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2018</w:t>
            </w:r>
          </w:p>
        </w:tc>
        <w:tc>
          <w:tcPr>
            <w:tcW w:w="6445" w:type="dxa"/>
          </w:tcPr>
          <w:p w14:paraId="5BA3742A" w14:textId="345094CC" w:rsidR="004966BF" w:rsidRPr="004C23F4" w:rsidRDefault="00855295" w:rsidP="00014631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Ames test negative in </w:t>
            </w:r>
            <w:r w:rsidR="008A55C2">
              <w:rPr>
                <w:rStyle w:val="checkbox"/>
                <w:rFonts w:ascii="Arial" w:hAnsi="Arial" w:cs="Arial"/>
                <w:i/>
              </w:rPr>
              <w:t>S. typhimurium</w:t>
            </w:r>
            <w:r w:rsidR="008A55C2">
              <w:rPr>
                <w:rStyle w:val="checkbox"/>
                <w:rFonts w:ascii="Arial" w:hAnsi="Arial" w:cs="Arial"/>
              </w:rPr>
              <w:t xml:space="preserve"> strains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proofErr w:type="spellStart"/>
            <w:r>
              <w:rPr>
                <w:rStyle w:val="checkbox"/>
                <w:rFonts w:ascii="Arial" w:hAnsi="Arial" w:cs="Arial"/>
              </w:rPr>
              <w:t>TA100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, </w:t>
            </w:r>
            <w:proofErr w:type="spellStart"/>
            <w:r>
              <w:rPr>
                <w:rStyle w:val="checkbox"/>
                <w:rFonts w:ascii="Arial" w:hAnsi="Arial" w:cs="Arial"/>
              </w:rPr>
              <w:t>TA1535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, </w:t>
            </w:r>
            <w:proofErr w:type="spellStart"/>
            <w:r>
              <w:rPr>
                <w:rStyle w:val="checkbox"/>
                <w:rFonts w:ascii="Arial" w:hAnsi="Arial" w:cs="Arial"/>
              </w:rPr>
              <w:t>TA1537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, </w:t>
            </w:r>
            <w:proofErr w:type="spellStart"/>
            <w:r>
              <w:rPr>
                <w:rStyle w:val="checkbox"/>
                <w:rFonts w:ascii="Arial" w:hAnsi="Arial" w:cs="Arial"/>
              </w:rPr>
              <w:t>TA98</w:t>
            </w:r>
            <w:proofErr w:type="spellEnd"/>
            <w:r w:rsidR="000164B5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6F723342" w14:textId="77777777" w:rsidTr="003853FC">
        <w:trPr>
          <w:cantSplit/>
        </w:trPr>
        <w:tc>
          <w:tcPr>
            <w:tcW w:w="1498" w:type="dxa"/>
          </w:tcPr>
          <w:p w14:paraId="6AE9199B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2" w:type="dxa"/>
          </w:tcPr>
          <w:p w14:paraId="0B883D28" w14:textId="454E1206" w:rsidR="004966BF" w:rsidRPr="00CE617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71696B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49EE61A" w14:textId="1E47589B" w:rsidR="004966BF" w:rsidRPr="004C23F4" w:rsidRDefault="003853F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45" w:type="dxa"/>
          </w:tcPr>
          <w:p w14:paraId="5CB2E9B5" w14:textId="5B194B96" w:rsidR="004966BF" w:rsidRDefault="003A19D3" w:rsidP="00014631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Long term d</w:t>
            </w:r>
            <w:r w:rsidR="008A55C2">
              <w:rPr>
                <w:rStyle w:val="checkbox"/>
                <w:rFonts w:ascii="Arial" w:hAnsi="Arial" w:cs="Arial"/>
              </w:rPr>
              <w:t xml:space="preserve">erived no effect level </w:t>
            </w:r>
            <w:r w:rsidR="00250668">
              <w:rPr>
                <w:rStyle w:val="checkbox"/>
                <w:rFonts w:ascii="Arial" w:hAnsi="Arial" w:cs="Arial"/>
              </w:rPr>
              <w:t>(</w:t>
            </w:r>
            <w:proofErr w:type="spellStart"/>
            <w:r w:rsidR="00250668">
              <w:rPr>
                <w:rStyle w:val="checkbox"/>
                <w:rFonts w:ascii="Arial" w:hAnsi="Arial" w:cs="Arial"/>
              </w:rPr>
              <w:t>DNEL</w:t>
            </w:r>
            <w:proofErr w:type="spellEnd"/>
            <w:r w:rsidR="00250668">
              <w:rPr>
                <w:rStyle w:val="checkbox"/>
                <w:rFonts w:ascii="Arial" w:hAnsi="Arial" w:cs="Arial"/>
              </w:rPr>
              <w:t xml:space="preserve">) </w:t>
            </w:r>
            <w:r>
              <w:rPr>
                <w:rStyle w:val="checkbox"/>
                <w:rFonts w:ascii="Arial" w:hAnsi="Arial" w:cs="Arial"/>
              </w:rPr>
              <w:t>for workers:</w:t>
            </w:r>
            <w:r w:rsidR="008A55C2">
              <w:rPr>
                <w:rStyle w:val="checkbox"/>
                <w:rFonts w:ascii="Arial" w:hAnsi="Arial" w:cs="Arial"/>
              </w:rPr>
              <w:t xml:space="preserve"> 4 ppm based on a </w:t>
            </w:r>
            <w:proofErr w:type="spellStart"/>
            <w:r w:rsidR="008A55C2">
              <w:rPr>
                <w:rStyle w:val="checkbox"/>
                <w:rFonts w:ascii="Arial" w:hAnsi="Arial" w:cs="Arial"/>
              </w:rPr>
              <w:t>NOAEC</w:t>
            </w:r>
            <w:proofErr w:type="spellEnd"/>
            <w:r w:rsidR="008A55C2">
              <w:rPr>
                <w:rStyle w:val="checkbox"/>
                <w:rFonts w:ascii="Arial" w:hAnsi="Arial" w:cs="Arial"/>
              </w:rPr>
              <w:t xml:space="preserve"> of 25 ppm in rats</w:t>
            </w:r>
            <w:r>
              <w:rPr>
                <w:rStyle w:val="checkbox"/>
                <w:rFonts w:ascii="Arial" w:hAnsi="Arial" w:cs="Arial"/>
              </w:rPr>
              <w:t>.</w:t>
            </w:r>
          </w:p>
          <w:p w14:paraId="04AEFF5C" w14:textId="2789A576" w:rsidR="00CF258F" w:rsidRDefault="003A19D3" w:rsidP="00014631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Acute </w:t>
            </w:r>
            <w:proofErr w:type="spellStart"/>
            <w:r w:rsidR="00250668">
              <w:rPr>
                <w:rStyle w:val="checkbox"/>
                <w:rFonts w:ascii="Arial" w:hAnsi="Arial" w:cs="Arial"/>
              </w:rPr>
              <w:t>DNEL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for workers: 10 ppm extrapolated from long term </w:t>
            </w:r>
            <w:proofErr w:type="spellStart"/>
            <w:r>
              <w:rPr>
                <w:rStyle w:val="checkbox"/>
                <w:rFonts w:ascii="Arial" w:hAnsi="Arial" w:cs="Arial"/>
              </w:rPr>
              <w:t>DNEL</w:t>
            </w:r>
            <w:proofErr w:type="spellEnd"/>
            <w:r w:rsidR="00CF258F">
              <w:rPr>
                <w:rStyle w:val="checkbox"/>
                <w:rFonts w:ascii="Arial" w:hAnsi="Arial" w:cs="Arial"/>
              </w:rPr>
              <w:t xml:space="preserve"> </w:t>
            </w:r>
          </w:p>
          <w:p w14:paraId="5EEE1A42" w14:textId="14447694" w:rsidR="00CF258F" w:rsidRPr="004C23F4" w:rsidRDefault="00CF258F" w:rsidP="00014631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Classified as </w:t>
            </w:r>
            <w:r w:rsidR="001260AF">
              <w:rPr>
                <w:rStyle w:val="checkbox"/>
                <w:rFonts w:ascii="Arial" w:hAnsi="Arial" w:cs="Arial"/>
              </w:rPr>
              <w:t xml:space="preserve">a </w:t>
            </w:r>
            <w:r>
              <w:rPr>
                <w:rStyle w:val="checkbox"/>
                <w:rFonts w:ascii="Arial" w:hAnsi="Arial" w:cs="Arial"/>
              </w:rPr>
              <w:t xml:space="preserve">Skin Sensitiser </w:t>
            </w:r>
            <w:proofErr w:type="spellStart"/>
            <w:r>
              <w:rPr>
                <w:rStyle w:val="checkbox"/>
                <w:rFonts w:ascii="Arial" w:hAnsi="Arial" w:cs="Arial"/>
              </w:rPr>
              <w:t>1B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</w:t>
            </w:r>
            <w:r w:rsidR="001260AF">
              <w:rPr>
                <w:rStyle w:val="checkbox"/>
                <w:rFonts w:ascii="Arial" w:hAnsi="Arial" w:cs="Arial"/>
              </w:rPr>
              <w:t xml:space="preserve">based on a positive </w:t>
            </w:r>
            <w:r w:rsidR="001260AF" w:rsidRPr="001260AF">
              <w:rPr>
                <w:rStyle w:val="checkbox"/>
                <w:rFonts w:ascii="Arial" w:hAnsi="Arial" w:cs="Arial"/>
              </w:rPr>
              <w:t>mouse local lymph node assay</w:t>
            </w:r>
            <w:r w:rsidR="000164B5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789DBB30" w14:textId="77777777" w:rsidTr="003853FC">
        <w:trPr>
          <w:cantSplit/>
        </w:trPr>
        <w:tc>
          <w:tcPr>
            <w:tcW w:w="1498" w:type="dxa"/>
          </w:tcPr>
          <w:p w14:paraId="0B2570A7" w14:textId="77777777" w:rsidR="004966BF" w:rsidRPr="004C23F4" w:rsidRDefault="004966BF" w:rsidP="00224EE2">
            <w:pPr>
              <w:pStyle w:val="Tablefont"/>
            </w:pPr>
            <w:r>
              <w:t>OECD</w:t>
            </w:r>
          </w:p>
        </w:tc>
        <w:tc>
          <w:tcPr>
            <w:tcW w:w="422" w:type="dxa"/>
          </w:tcPr>
          <w:p w14:paraId="365F6BF1" w14:textId="17245267" w:rsidR="004966BF" w:rsidRPr="00CE617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320A77D155374054996F168A20882C2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71696B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5BCDC03" w14:textId="48916D6A" w:rsidR="004966BF" w:rsidRPr="004C23F4" w:rsidRDefault="008A55C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2002</w:t>
            </w:r>
          </w:p>
        </w:tc>
        <w:tc>
          <w:tcPr>
            <w:tcW w:w="6445" w:type="dxa"/>
          </w:tcPr>
          <w:p w14:paraId="3951224D" w14:textId="5ED65EAD" w:rsidR="004966BF" w:rsidRPr="004C23F4" w:rsidRDefault="00D50F98" w:rsidP="00014631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Mild irritant to skin. No data on skin sensitisation.</w:t>
            </w:r>
          </w:p>
        </w:tc>
      </w:tr>
    </w:tbl>
    <w:bookmarkEnd w:id="0"/>
    <w:p w14:paraId="29B58E11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13"/>
        <w:gridCol w:w="2413"/>
      </w:tblGrid>
      <w:tr w:rsidR="002E0D61" w14:paraId="305A4FBC" w14:textId="77777777" w:rsidTr="00D50F98">
        <w:trPr>
          <w:trHeight w:val="454"/>
          <w:tblHeader/>
        </w:trPr>
        <w:tc>
          <w:tcPr>
            <w:tcW w:w="6613" w:type="dxa"/>
            <w:vAlign w:val="center"/>
          </w:tcPr>
          <w:p w14:paraId="3517F978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13" w:type="dxa"/>
                <w:vAlign w:val="center"/>
              </w:tcPr>
              <w:p w14:paraId="73CA3B85" w14:textId="3748B9D0" w:rsidR="002E0D61" w:rsidRDefault="00D50F98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343760B9" w14:textId="77777777" w:rsidTr="00D50F98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6613" w:type="dxa"/>
                <w:vAlign w:val="center"/>
              </w:tcPr>
              <w:p w14:paraId="208CAF97" w14:textId="17F78F5A" w:rsidR="008A36CF" w:rsidRPr="006901A2" w:rsidRDefault="00D50F98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13" w:type="dxa"/>
            <w:vAlign w:val="center"/>
          </w:tcPr>
          <w:p w14:paraId="5038F5B7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0C58B8CE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3640DF3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2B65B41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8D7A1B8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1362628" w14:textId="77777777" w:rsidTr="00812887">
        <w:trPr>
          <w:cantSplit/>
        </w:trPr>
        <w:tc>
          <w:tcPr>
            <w:tcW w:w="3227" w:type="dxa"/>
          </w:tcPr>
          <w:p w14:paraId="2077F1A8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47E6D5C" w14:textId="76C1B2F0" w:rsidR="00687890" w:rsidRPr="00DD2F9B" w:rsidRDefault="00A2691B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6D9C34F6" w14:textId="77777777" w:rsidTr="00812887">
        <w:trPr>
          <w:cantSplit/>
        </w:trPr>
        <w:tc>
          <w:tcPr>
            <w:tcW w:w="3227" w:type="dxa"/>
          </w:tcPr>
          <w:p w14:paraId="4562AE2A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75C04ECE" w14:textId="39E93067" w:rsidR="007925F0" w:rsidRPr="00DD2F9B" w:rsidRDefault="00A2691B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0C2B7840" w14:textId="77777777" w:rsidTr="00812887">
        <w:trPr>
          <w:cantSplit/>
        </w:trPr>
        <w:tc>
          <w:tcPr>
            <w:tcW w:w="3227" w:type="dxa"/>
          </w:tcPr>
          <w:p w14:paraId="1CA8B296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0ED7E9A8" w14:textId="28DD82DC" w:rsidR="00AF483F" w:rsidRPr="00DD2F9B" w:rsidRDefault="00A2691B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6DB6F33F" w14:textId="77777777" w:rsidTr="00812887">
        <w:trPr>
          <w:cantSplit/>
        </w:trPr>
        <w:tc>
          <w:tcPr>
            <w:tcW w:w="3227" w:type="dxa"/>
          </w:tcPr>
          <w:p w14:paraId="7AB0D4C9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CE0234B" w14:textId="7CE2A411" w:rsidR="00687890" w:rsidRPr="00DD2F9B" w:rsidRDefault="00A2691B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0207205E" w14:textId="77777777" w:rsidTr="00812887">
        <w:trPr>
          <w:cantSplit/>
        </w:trPr>
        <w:tc>
          <w:tcPr>
            <w:tcW w:w="3227" w:type="dxa"/>
          </w:tcPr>
          <w:p w14:paraId="1E9EB398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495CA3DD" w14:textId="5293EBA4" w:rsidR="00E41A26" w:rsidRPr="00DD2F9B" w:rsidRDefault="00A2691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AC88648" w14:textId="77777777" w:rsidTr="00812887">
        <w:trPr>
          <w:cantSplit/>
        </w:trPr>
        <w:tc>
          <w:tcPr>
            <w:tcW w:w="3227" w:type="dxa"/>
          </w:tcPr>
          <w:p w14:paraId="667169C6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27F3B08B" w14:textId="15938E68" w:rsidR="002E0D61" w:rsidRPr="00DD2F9B" w:rsidRDefault="00A2691B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6DFCF230" w14:textId="77777777" w:rsidTr="00812887">
        <w:trPr>
          <w:cantSplit/>
        </w:trPr>
        <w:tc>
          <w:tcPr>
            <w:tcW w:w="3227" w:type="dxa"/>
          </w:tcPr>
          <w:p w14:paraId="09D4646E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341D957F" w14:textId="13675155" w:rsidR="002E0D61" w:rsidRPr="00DD2F9B" w:rsidRDefault="00A2691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FBF2CCD" w14:textId="77777777" w:rsidTr="00812887">
        <w:trPr>
          <w:cantSplit/>
        </w:trPr>
        <w:tc>
          <w:tcPr>
            <w:tcW w:w="3227" w:type="dxa"/>
          </w:tcPr>
          <w:p w14:paraId="1BE41F77" w14:textId="77777777" w:rsidR="004079B4" w:rsidRPr="004C23F4" w:rsidRDefault="002E0D61" w:rsidP="00F4402E">
            <w:pPr>
              <w:pStyle w:val="Tablefont"/>
            </w:pPr>
            <w:proofErr w:type="spellStart"/>
            <w:r>
              <w:lastRenderedPageBreak/>
              <w:t>SCOEL</w:t>
            </w:r>
            <w:proofErr w:type="spellEnd"/>
          </w:p>
        </w:tc>
        <w:tc>
          <w:tcPr>
            <w:tcW w:w="6015" w:type="dxa"/>
          </w:tcPr>
          <w:p w14:paraId="1997CDCF" w14:textId="0143FFC5" w:rsidR="002E0D61" w:rsidRPr="00DD2F9B" w:rsidRDefault="00A2691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AF1DEAC" w14:textId="77777777" w:rsidTr="00812887">
        <w:trPr>
          <w:cantSplit/>
        </w:trPr>
        <w:tc>
          <w:tcPr>
            <w:tcW w:w="3227" w:type="dxa"/>
          </w:tcPr>
          <w:p w14:paraId="1426B3EE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2BD163E4" w14:textId="23758CCC" w:rsidR="002E0D61" w:rsidRPr="00DD2F9B" w:rsidRDefault="00A2691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187F78" w14:textId="77777777" w:rsidTr="00812887">
        <w:trPr>
          <w:cantSplit/>
        </w:trPr>
        <w:tc>
          <w:tcPr>
            <w:tcW w:w="3227" w:type="dxa"/>
          </w:tcPr>
          <w:p w14:paraId="4BF832D7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BC35174" w14:textId="27BAC3F6" w:rsidR="00386093" w:rsidRPr="00DD2F9B" w:rsidRDefault="00A2691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D68102B" w14:textId="77777777" w:rsidTr="00812887">
        <w:trPr>
          <w:cantSplit/>
        </w:trPr>
        <w:tc>
          <w:tcPr>
            <w:tcW w:w="3227" w:type="dxa"/>
          </w:tcPr>
          <w:p w14:paraId="49DEFE80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0AD66186" w14:textId="0871A5DB" w:rsidR="00386093" w:rsidRPr="00DD2F9B" w:rsidRDefault="00A2691B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7C412E30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B95EF35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3AF47AD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206A32F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7827A99E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765D663A" w14:textId="1ABD9BF9" w:rsidR="00932DCE" w:rsidRPr="004C23F4" w:rsidRDefault="00DC7C9B" w:rsidP="00F9496B">
            <w:pPr>
              <w:pStyle w:val="Tablefont"/>
            </w:pPr>
            <w:r>
              <w:t>Insufficient data to assign a skin notation</w:t>
            </w:r>
          </w:p>
        </w:tc>
      </w:tr>
    </w:tbl>
    <w:bookmarkEnd w:id="3"/>
    <w:p w14:paraId="24A2F7A1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4BC88981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B029E41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4E7DD105" w14:textId="632D9330" w:rsidR="00EB3D1B" w:rsidRDefault="00A2691B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674FE7C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1217CE0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F7C069F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54170496" w14:textId="521E7B33" w:rsidR="001B79E5" w:rsidRDefault="00A2691B" w:rsidP="001B79E5">
                <w:pPr>
                  <w:pStyle w:val="Tablefont"/>
                </w:pPr>
                <w:r>
                  <w:t>120.20</w:t>
                </w:r>
              </w:p>
            </w:tc>
          </w:sdtContent>
        </w:sdt>
      </w:tr>
      <w:tr w:rsidR="00A31D99" w:rsidRPr="004C23F4" w14:paraId="59DD5CA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647ACB9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76BA084D" w14:textId="7AE0674D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Content>
                <w:r w:rsidR="00A2691B">
                  <w:t>4.91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A2691B">
                  <w:t>0.204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1D3CB44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C38FF23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51A0B496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0555250" w14:textId="77777777" w:rsidTr="00EA6243">
        <w:trPr>
          <w:cantSplit/>
        </w:trPr>
        <w:tc>
          <w:tcPr>
            <w:tcW w:w="4077" w:type="dxa"/>
            <w:vAlign w:val="center"/>
          </w:tcPr>
          <w:p w14:paraId="3CDD2D89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0C28B285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64E9034" w14:textId="77777777" w:rsidTr="00EA6243">
        <w:trPr>
          <w:cantSplit/>
        </w:trPr>
        <w:tc>
          <w:tcPr>
            <w:tcW w:w="4077" w:type="dxa"/>
            <w:vAlign w:val="center"/>
          </w:tcPr>
          <w:p w14:paraId="3443912B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1F24EAC0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A40AC96" w14:textId="77777777" w:rsidTr="00EA6243">
        <w:trPr>
          <w:cantSplit/>
        </w:trPr>
        <w:tc>
          <w:tcPr>
            <w:tcW w:w="4077" w:type="dxa"/>
            <w:vAlign w:val="center"/>
          </w:tcPr>
          <w:p w14:paraId="6EFF0D87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9B6F0CC" w14:textId="77777777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6E29AE3D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D3008DE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00E3965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CBCAC6F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418A183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36D13817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361A58C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5FF8D429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7F02439" w14:textId="5EEA37B0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0DC29F12" w14:textId="72AB13D5" w:rsidR="004606FC" w:rsidRDefault="004606FC" w:rsidP="004606FC">
      <w:r>
        <w:t xml:space="preserve">European Chemicals Agency (ECHA) (2019) </w:t>
      </w:r>
      <w:r w:rsidRPr="004606FC">
        <w:t>Ethylidene norbornene</w:t>
      </w:r>
      <w:r>
        <w:t xml:space="preserve"> – REACH assessment.</w:t>
      </w:r>
    </w:p>
    <w:p w14:paraId="24BE51C3" w14:textId="310A6A6E" w:rsidR="004606FC" w:rsidRDefault="004606FC" w:rsidP="004606FC">
      <w:r>
        <w:t>National Toxicology Program (</w:t>
      </w:r>
      <w:proofErr w:type="spellStart"/>
      <w:r>
        <w:t>NTP</w:t>
      </w:r>
      <w:proofErr w:type="spellEnd"/>
      <w:r>
        <w:t xml:space="preserve">) (1999) </w:t>
      </w:r>
      <w:proofErr w:type="spellStart"/>
      <w:r>
        <w:t>NTP-RoC</w:t>
      </w:r>
      <w:proofErr w:type="spellEnd"/>
      <w:r>
        <w:t xml:space="preserve">: Ethylidene </w:t>
      </w:r>
      <w:proofErr w:type="spellStart"/>
      <w:r>
        <w:t>norborene</w:t>
      </w:r>
      <w:proofErr w:type="spellEnd"/>
      <w:r>
        <w:t>.</w:t>
      </w:r>
    </w:p>
    <w:p w14:paraId="326711A8" w14:textId="69651DD0" w:rsidR="00A2691B" w:rsidRPr="00351FE0" w:rsidRDefault="00F1083A" w:rsidP="00E11EDA">
      <w:r w:rsidRPr="00F1083A">
        <w:t xml:space="preserve">Organisation for Economic Co-operation and Development </w:t>
      </w:r>
      <w:r w:rsidR="004606FC">
        <w:t xml:space="preserve">(OECD) </w:t>
      </w:r>
      <w:r>
        <w:t xml:space="preserve">(2002) OECD Cooperative Chemicals Assessment Program SIDS Initial Assessment Profile - </w:t>
      </w:r>
      <w:r w:rsidRPr="00F1083A">
        <w:t>5-Ethylidene-2-norbornene</w:t>
      </w:r>
      <w:r w:rsidR="00E11EDA">
        <w:t>.</w:t>
      </w:r>
    </w:p>
    <w:sectPr w:rsidR="00A2691B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B4A2F9" w14:textId="77777777" w:rsidR="00086B14" w:rsidRDefault="00086B14" w:rsidP="00F43AD5">
      <w:pPr>
        <w:spacing w:after="0" w:line="240" w:lineRule="auto"/>
      </w:pPr>
      <w:r>
        <w:separator/>
      </w:r>
    </w:p>
  </w:endnote>
  <w:endnote w:type="continuationSeparator" w:id="0">
    <w:p w14:paraId="623D48D6" w14:textId="77777777" w:rsidR="00086B14" w:rsidRDefault="00086B14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C30CD" w14:textId="77777777" w:rsidR="00D33184" w:rsidRDefault="00D331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652F8C0" w14:textId="6E59C9FB" w:rsidR="00221751" w:rsidRDefault="00221751" w:rsidP="0034744C">
        <w:pPr>
          <w:pStyle w:val="Footer"/>
          <w:rPr>
            <w:sz w:val="18"/>
            <w:szCs w:val="18"/>
          </w:rPr>
        </w:pPr>
        <w:r w:rsidRPr="00720DD0">
          <w:rPr>
            <w:b/>
            <w:sz w:val="18"/>
            <w:szCs w:val="18"/>
          </w:rPr>
          <w:t>Ethylidene norbornene</w:t>
        </w:r>
        <w:r>
          <w:rPr>
            <w:b/>
            <w:sz w:val="18"/>
            <w:szCs w:val="18"/>
          </w:rPr>
          <w:t xml:space="preserve"> (</w:t>
        </w:r>
        <w:r w:rsidRPr="00720DD0">
          <w:rPr>
            <w:b/>
            <w:sz w:val="18"/>
            <w:szCs w:val="18"/>
          </w:rPr>
          <w:t>16219-75-3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081D999F" w14:textId="2C0ADF6E" w:rsidR="00221751" w:rsidRPr="00F43AD5" w:rsidRDefault="00221751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D33184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B14F3" w14:textId="77777777" w:rsidR="00D33184" w:rsidRDefault="00D331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E658B" w14:textId="77777777" w:rsidR="00086B14" w:rsidRDefault="00086B14" w:rsidP="00F43AD5">
      <w:pPr>
        <w:spacing w:after="0" w:line="240" w:lineRule="auto"/>
      </w:pPr>
      <w:r>
        <w:separator/>
      </w:r>
    </w:p>
  </w:footnote>
  <w:footnote w:type="continuationSeparator" w:id="0">
    <w:p w14:paraId="0A374FB7" w14:textId="77777777" w:rsidR="00086B14" w:rsidRDefault="00086B14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29311" w14:textId="51BC620C" w:rsidR="00D33184" w:rsidRDefault="00D331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5FFCC" w14:textId="430A587A" w:rsidR="00221751" w:rsidRDefault="00221751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1A8CE" w14:textId="3E189FEF" w:rsidR="00D33184" w:rsidRDefault="00D3318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8289F" w14:textId="0071A07F" w:rsidR="00D33184" w:rsidRDefault="00D3318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2639C" w14:textId="2226D65F" w:rsidR="00221751" w:rsidRDefault="00221751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87F0A" w14:textId="7EF10C4B" w:rsidR="00D33184" w:rsidRDefault="00D331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1487EB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5482036"/>
    <w:multiLevelType w:val="hybridMultilevel"/>
    <w:tmpl w:val="F1DC3CB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5480E8E"/>
    <w:multiLevelType w:val="hybridMultilevel"/>
    <w:tmpl w:val="28EEB3E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D574AA9"/>
    <w:multiLevelType w:val="hybridMultilevel"/>
    <w:tmpl w:val="0C24315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8641CBD"/>
    <w:multiLevelType w:val="hybridMultilevel"/>
    <w:tmpl w:val="48B6003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14403408">
    <w:abstractNumId w:val="0"/>
  </w:num>
  <w:num w:numId="2" w16cid:durableId="1396273773">
    <w:abstractNumId w:val="4"/>
  </w:num>
  <w:num w:numId="3" w16cid:durableId="549540972">
    <w:abstractNumId w:val="3"/>
  </w:num>
  <w:num w:numId="4" w16cid:durableId="1432896247">
    <w:abstractNumId w:val="2"/>
  </w:num>
  <w:num w:numId="5" w16cid:durableId="9067202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631"/>
    <w:rsid w:val="00014C3F"/>
    <w:rsid w:val="000164B5"/>
    <w:rsid w:val="00017C82"/>
    <w:rsid w:val="00032B88"/>
    <w:rsid w:val="00046DF5"/>
    <w:rsid w:val="00052060"/>
    <w:rsid w:val="0005574A"/>
    <w:rsid w:val="00055FE1"/>
    <w:rsid w:val="00056EC2"/>
    <w:rsid w:val="00060B48"/>
    <w:rsid w:val="00065086"/>
    <w:rsid w:val="00067F32"/>
    <w:rsid w:val="00071807"/>
    <w:rsid w:val="000803E1"/>
    <w:rsid w:val="00084513"/>
    <w:rsid w:val="00084859"/>
    <w:rsid w:val="00086B14"/>
    <w:rsid w:val="00092D94"/>
    <w:rsid w:val="000A665A"/>
    <w:rsid w:val="000B0868"/>
    <w:rsid w:val="000B3E12"/>
    <w:rsid w:val="000B3E78"/>
    <w:rsid w:val="000B7B48"/>
    <w:rsid w:val="000C096D"/>
    <w:rsid w:val="000C139A"/>
    <w:rsid w:val="000C2053"/>
    <w:rsid w:val="000C248C"/>
    <w:rsid w:val="000D186A"/>
    <w:rsid w:val="000D291C"/>
    <w:rsid w:val="000E5A54"/>
    <w:rsid w:val="000E63D3"/>
    <w:rsid w:val="000E67CF"/>
    <w:rsid w:val="000F128C"/>
    <w:rsid w:val="001024C7"/>
    <w:rsid w:val="0010461E"/>
    <w:rsid w:val="00106FAA"/>
    <w:rsid w:val="00113443"/>
    <w:rsid w:val="001260AF"/>
    <w:rsid w:val="001269A7"/>
    <w:rsid w:val="00131092"/>
    <w:rsid w:val="00140E6A"/>
    <w:rsid w:val="00146545"/>
    <w:rsid w:val="00146B75"/>
    <w:rsid w:val="00147789"/>
    <w:rsid w:val="0015266D"/>
    <w:rsid w:val="0015288A"/>
    <w:rsid w:val="00160F47"/>
    <w:rsid w:val="00163D6A"/>
    <w:rsid w:val="0016592D"/>
    <w:rsid w:val="00177CA1"/>
    <w:rsid w:val="001835AF"/>
    <w:rsid w:val="00183823"/>
    <w:rsid w:val="00183942"/>
    <w:rsid w:val="001A009E"/>
    <w:rsid w:val="001A0ED5"/>
    <w:rsid w:val="001A1287"/>
    <w:rsid w:val="001A3859"/>
    <w:rsid w:val="001A3C9D"/>
    <w:rsid w:val="001A43F8"/>
    <w:rsid w:val="001A7E5B"/>
    <w:rsid w:val="001B79E5"/>
    <w:rsid w:val="001D3B2E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1751"/>
    <w:rsid w:val="00222533"/>
    <w:rsid w:val="00222F30"/>
    <w:rsid w:val="00224EE2"/>
    <w:rsid w:val="00227EC7"/>
    <w:rsid w:val="002418AB"/>
    <w:rsid w:val="00244AD1"/>
    <w:rsid w:val="002463BC"/>
    <w:rsid w:val="002465CE"/>
    <w:rsid w:val="00247796"/>
    <w:rsid w:val="00250668"/>
    <w:rsid w:val="00255310"/>
    <w:rsid w:val="0025734A"/>
    <w:rsid w:val="0026124B"/>
    <w:rsid w:val="00262F52"/>
    <w:rsid w:val="00263255"/>
    <w:rsid w:val="0027458B"/>
    <w:rsid w:val="00276494"/>
    <w:rsid w:val="00277B0C"/>
    <w:rsid w:val="002A0D72"/>
    <w:rsid w:val="002B1A2C"/>
    <w:rsid w:val="002B4839"/>
    <w:rsid w:val="002C34F2"/>
    <w:rsid w:val="002C58FF"/>
    <w:rsid w:val="002C7AFE"/>
    <w:rsid w:val="002D05D2"/>
    <w:rsid w:val="002E0D61"/>
    <w:rsid w:val="002E150C"/>
    <w:rsid w:val="002E4C7B"/>
    <w:rsid w:val="00304FCD"/>
    <w:rsid w:val="0030740C"/>
    <w:rsid w:val="00315833"/>
    <w:rsid w:val="003215EE"/>
    <w:rsid w:val="003224BF"/>
    <w:rsid w:val="003241A8"/>
    <w:rsid w:val="003253F0"/>
    <w:rsid w:val="003304F7"/>
    <w:rsid w:val="003337DA"/>
    <w:rsid w:val="00334EFB"/>
    <w:rsid w:val="00335CDE"/>
    <w:rsid w:val="003365A5"/>
    <w:rsid w:val="00340DD4"/>
    <w:rsid w:val="003415DF"/>
    <w:rsid w:val="00345CE0"/>
    <w:rsid w:val="00347192"/>
    <w:rsid w:val="0034744C"/>
    <w:rsid w:val="00351FE0"/>
    <w:rsid w:val="00352615"/>
    <w:rsid w:val="0035412B"/>
    <w:rsid w:val="00355E7A"/>
    <w:rsid w:val="003567A8"/>
    <w:rsid w:val="00362895"/>
    <w:rsid w:val="00370DBF"/>
    <w:rsid w:val="003853FC"/>
    <w:rsid w:val="00386093"/>
    <w:rsid w:val="003904A4"/>
    <w:rsid w:val="00390A22"/>
    <w:rsid w:val="00391841"/>
    <w:rsid w:val="00391B6D"/>
    <w:rsid w:val="00394922"/>
    <w:rsid w:val="003A0E32"/>
    <w:rsid w:val="003A19D3"/>
    <w:rsid w:val="003A2B94"/>
    <w:rsid w:val="003B387D"/>
    <w:rsid w:val="003C0D58"/>
    <w:rsid w:val="003C38C5"/>
    <w:rsid w:val="003D4FA3"/>
    <w:rsid w:val="003E0807"/>
    <w:rsid w:val="003E51FB"/>
    <w:rsid w:val="003E6B39"/>
    <w:rsid w:val="003F07E1"/>
    <w:rsid w:val="004030BC"/>
    <w:rsid w:val="00403F7D"/>
    <w:rsid w:val="00405FA8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566CF"/>
    <w:rsid w:val="004606FC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289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2444"/>
    <w:rsid w:val="005272E2"/>
    <w:rsid w:val="0053108F"/>
    <w:rsid w:val="00532B56"/>
    <w:rsid w:val="00534B10"/>
    <w:rsid w:val="005446A2"/>
    <w:rsid w:val="00544D2F"/>
    <w:rsid w:val="00547691"/>
    <w:rsid w:val="005519C2"/>
    <w:rsid w:val="00551BD8"/>
    <w:rsid w:val="00576039"/>
    <w:rsid w:val="005769BE"/>
    <w:rsid w:val="00581055"/>
    <w:rsid w:val="00591E38"/>
    <w:rsid w:val="005A19C5"/>
    <w:rsid w:val="005A3034"/>
    <w:rsid w:val="005A462D"/>
    <w:rsid w:val="005B253B"/>
    <w:rsid w:val="005B6276"/>
    <w:rsid w:val="005B771D"/>
    <w:rsid w:val="005C59B3"/>
    <w:rsid w:val="005C5D16"/>
    <w:rsid w:val="005D3193"/>
    <w:rsid w:val="005D4A6E"/>
    <w:rsid w:val="005E6979"/>
    <w:rsid w:val="005E75CB"/>
    <w:rsid w:val="00600956"/>
    <w:rsid w:val="006011C8"/>
    <w:rsid w:val="006013C1"/>
    <w:rsid w:val="00603EF4"/>
    <w:rsid w:val="0060669E"/>
    <w:rsid w:val="00610F2E"/>
    <w:rsid w:val="00611399"/>
    <w:rsid w:val="00613A68"/>
    <w:rsid w:val="00624C4E"/>
    <w:rsid w:val="00625200"/>
    <w:rsid w:val="006363A8"/>
    <w:rsid w:val="00636DB7"/>
    <w:rsid w:val="00641879"/>
    <w:rsid w:val="00647504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5B0"/>
    <w:rsid w:val="00677D9B"/>
    <w:rsid w:val="006867F3"/>
    <w:rsid w:val="00686E40"/>
    <w:rsid w:val="00687890"/>
    <w:rsid w:val="006901A2"/>
    <w:rsid w:val="00690368"/>
    <w:rsid w:val="0069079C"/>
    <w:rsid w:val="00690B53"/>
    <w:rsid w:val="00695B72"/>
    <w:rsid w:val="006A79BA"/>
    <w:rsid w:val="006B160A"/>
    <w:rsid w:val="006B4E6C"/>
    <w:rsid w:val="006B50B6"/>
    <w:rsid w:val="006C19CC"/>
    <w:rsid w:val="006D79EA"/>
    <w:rsid w:val="006E5D05"/>
    <w:rsid w:val="00701053"/>
    <w:rsid w:val="00701507"/>
    <w:rsid w:val="00703D8F"/>
    <w:rsid w:val="00714021"/>
    <w:rsid w:val="0071696B"/>
    <w:rsid w:val="00716A0F"/>
    <w:rsid w:val="00717D45"/>
    <w:rsid w:val="007208F7"/>
    <w:rsid w:val="00720DD0"/>
    <w:rsid w:val="007218AF"/>
    <w:rsid w:val="007229AC"/>
    <w:rsid w:val="00730437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B42F1"/>
    <w:rsid w:val="007C30EB"/>
    <w:rsid w:val="007C38DD"/>
    <w:rsid w:val="007D1DBC"/>
    <w:rsid w:val="007E063C"/>
    <w:rsid w:val="007E2A4B"/>
    <w:rsid w:val="007E307D"/>
    <w:rsid w:val="007E6A4E"/>
    <w:rsid w:val="007E6C94"/>
    <w:rsid w:val="007F1005"/>
    <w:rsid w:val="007F25E0"/>
    <w:rsid w:val="007F5328"/>
    <w:rsid w:val="00803B13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47DFD"/>
    <w:rsid w:val="00855295"/>
    <w:rsid w:val="00857A8A"/>
    <w:rsid w:val="008630EE"/>
    <w:rsid w:val="00864D13"/>
    <w:rsid w:val="00871CD5"/>
    <w:rsid w:val="008745A2"/>
    <w:rsid w:val="008768A8"/>
    <w:rsid w:val="00877858"/>
    <w:rsid w:val="0088798F"/>
    <w:rsid w:val="00887E4B"/>
    <w:rsid w:val="008915C8"/>
    <w:rsid w:val="008A36CF"/>
    <w:rsid w:val="008A3BC4"/>
    <w:rsid w:val="008A55C2"/>
    <w:rsid w:val="008B0CC6"/>
    <w:rsid w:val="008B403C"/>
    <w:rsid w:val="008B7983"/>
    <w:rsid w:val="008C2511"/>
    <w:rsid w:val="008D026D"/>
    <w:rsid w:val="008D23AB"/>
    <w:rsid w:val="008D4B8B"/>
    <w:rsid w:val="008D5A78"/>
    <w:rsid w:val="008E7B64"/>
    <w:rsid w:val="008F064A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46F92"/>
    <w:rsid w:val="009471DB"/>
    <w:rsid w:val="0095260E"/>
    <w:rsid w:val="009578DD"/>
    <w:rsid w:val="00961124"/>
    <w:rsid w:val="009621B6"/>
    <w:rsid w:val="00974F2D"/>
    <w:rsid w:val="00977524"/>
    <w:rsid w:val="00977BC8"/>
    <w:rsid w:val="00977E88"/>
    <w:rsid w:val="00984920"/>
    <w:rsid w:val="0099303A"/>
    <w:rsid w:val="009971C2"/>
    <w:rsid w:val="009A1254"/>
    <w:rsid w:val="009A4497"/>
    <w:rsid w:val="009B2FF2"/>
    <w:rsid w:val="009B380C"/>
    <w:rsid w:val="009B4843"/>
    <w:rsid w:val="009B6543"/>
    <w:rsid w:val="009C199D"/>
    <w:rsid w:val="009C278F"/>
    <w:rsid w:val="009C2B94"/>
    <w:rsid w:val="009C423A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27FE"/>
    <w:rsid w:val="00A0643F"/>
    <w:rsid w:val="00A067EE"/>
    <w:rsid w:val="00A10FCE"/>
    <w:rsid w:val="00A16D91"/>
    <w:rsid w:val="00A174CC"/>
    <w:rsid w:val="00A2073D"/>
    <w:rsid w:val="00A20751"/>
    <w:rsid w:val="00A2691B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D3B4C"/>
    <w:rsid w:val="00AE2745"/>
    <w:rsid w:val="00AE2F64"/>
    <w:rsid w:val="00AE473D"/>
    <w:rsid w:val="00AF42CB"/>
    <w:rsid w:val="00AF483F"/>
    <w:rsid w:val="00AF5E07"/>
    <w:rsid w:val="00AF5F06"/>
    <w:rsid w:val="00B00A25"/>
    <w:rsid w:val="00B1422A"/>
    <w:rsid w:val="00B1765C"/>
    <w:rsid w:val="00B213C4"/>
    <w:rsid w:val="00B24B56"/>
    <w:rsid w:val="00B37C77"/>
    <w:rsid w:val="00B40C60"/>
    <w:rsid w:val="00B479A9"/>
    <w:rsid w:val="00B52EDF"/>
    <w:rsid w:val="00B6416D"/>
    <w:rsid w:val="00B71188"/>
    <w:rsid w:val="00B76A41"/>
    <w:rsid w:val="00B87D4C"/>
    <w:rsid w:val="00B92EF7"/>
    <w:rsid w:val="00B93646"/>
    <w:rsid w:val="00BA0B38"/>
    <w:rsid w:val="00BA1047"/>
    <w:rsid w:val="00BA1DBB"/>
    <w:rsid w:val="00BA4510"/>
    <w:rsid w:val="00BA529A"/>
    <w:rsid w:val="00BB612A"/>
    <w:rsid w:val="00BD499F"/>
    <w:rsid w:val="00BD56DE"/>
    <w:rsid w:val="00BE666E"/>
    <w:rsid w:val="00BF2406"/>
    <w:rsid w:val="00BF333C"/>
    <w:rsid w:val="00C06E43"/>
    <w:rsid w:val="00C105CF"/>
    <w:rsid w:val="00C136E3"/>
    <w:rsid w:val="00C16315"/>
    <w:rsid w:val="00C245B0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2845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C27EE"/>
    <w:rsid w:val="00CD2BFD"/>
    <w:rsid w:val="00CE5AD6"/>
    <w:rsid w:val="00CE617F"/>
    <w:rsid w:val="00CE78EF"/>
    <w:rsid w:val="00CF258F"/>
    <w:rsid w:val="00D048F7"/>
    <w:rsid w:val="00D0517E"/>
    <w:rsid w:val="00D140FC"/>
    <w:rsid w:val="00D21D8C"/>
    <w:rsid w:val="00D25F9D"/>
    <w:rsid w:val="00D31357"/>
    <w:rsid w:val="00D33184"/>
    <w:rsid w:val="00D33220"/>
    <w:rsid w:val="00D334D1"/>
    <w:rsid w:val="00D44C89"/>
    <w:rsid w:val="00D44E14"/>
    <w:rsid w:val="00D50F98"/>
    <w:rsid w:val="00D516CD"/>
    <w:rsid w:val="00D51857"/>
    <w:rsid w:val="00D57803"/>
    <w:rsid w:val="00D64245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B2EF7"/>
    <w:rsid w:val="00DB662D"/>
    <w:rsid w:val="00DC7694"/>
    <w:rsid w:val="00DC7C9B"/>
    <w:rsid w:val="00DD0A30"/>
    <w:rsid w:val="00DD1BF6"/>
    <w:rsid w:val="00DD2F9B"/>
    <w:rsid w:val="00DD7627"/>
    <w:rsid w:val="00DE0766"/>
    <w:rsid w:val="00DE2513"/>
    <w:rsid w:val="00DE26E8"/>
    <w:rsid w:val="00DF6F36"/>
    <w:rsid w:val="00E0084C"/>
    <w:rsid w:val="00E025AB"/>
    <w:rsid w:val="00E02B23"/>
    <w:rsid w:val="00E06F40"/>
    <w:rsid w:val="00E0700F"/>
    <w:rsid w:val="00E07CE8"/>
    <w:rsid w:val="00E11EDA"/>
    <w:rsid w:val="00E26A07"/>
    <w:rsid w:val="00E32595"/>
    <w:rsid w:val="00E37CFD"/>
    <w:rsid w:val="00E41A26"/>
    <w:rsid w:val="00E46BCB"/>
    <w:rsid w:val="00E51CAF"/>
    <w:rsid w:val="00E52008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E54ED"/>
    <w:rsid w:val="00EE7A2B"/>
    <w:rsid w:val="00EF12EC"/>
    <w:rsid w:val="00EF1638"/>
    <w:rsid w:val="00EF233A"/>
    <w:rsid w:val="00EF303E"/>
    <w:rsid w:val="00EF3A40"/>
    <w:rsid w:val="00EF7F78"/>
    <w:rsid w:val="00F01B08"/>
    <w:rsid w:val="00F01C4D"/>
    <w:rsid w:val="00F053FA"/>
    <w:rsid w:val="00F1083A"/>
    <w:rsid w:val="00F10C97"/>
    <w:rsid w:val="00F11C71"/>
    <w:rsid w:val="00F16019"/>
    <w:rsid w:val="00F20E68"/>
    <w:rsid w:val="00F22093"/>
    <w:rsid w:val="00F236DF"/>
    <w:rsid w:val="00F27121"/>
    <w:rsid w:val="00F4055C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B7FB1"/>
    <w:rsid w:val="00FC02B1"/>
    <w:rsid w:val="00FC1337"/>
    <w:rsid w:val="00FC24E4"/>
    <w:rsid w:val="00FC4DD1"/>
    <w:rsid w:val="00FC5D30"/>
    <w:rsid w:val="00FC60A2"/>
    <w:rsid w:val="00FD1871"/>
    <w:rsid w:val="00FD3110"/>
    <w:rsid w:val="00FD45CD"/>
    <w:rsid w:val="00FD47FB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600956"/>
    <w:pPr>
      <w:numPr>
        <w:numId w:val="1"/>
      </w:numPr>
      <w:contextualSpacing/>
    </w:pPr>
  </w:style>
  <w:style w:type="paragraph" w:styleId="ListParagraph">
    <w:name w:val="List Paragraph"/>
    <w:basedOn w:val="Normal"/>
    <w:uiPriority w:val="34"/>
    <w:qFormat/>
    <w:rsid w:val="0054769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520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200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2008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20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2008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94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599BE4318CD4CC0836196E577CC29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A569F-48FE-4FF8-8C03-2D2A8FB34A20}"/>
      </w:docPartPr>
      <w:docPartBody>
        <w:p w:rsidR="00D21A9F" w:rsidRDefault="00D21A9F">
          <w:pPr>
            <w:pStyle w:val="0599BE4318CD4CC0836196E577CC2921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320A77D155374054996F168A20882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C0181-19B2-490D-83F0-D85D1689E2A9}"/>
      </w:docPartPr>
      <w:docPartBody>
        <w:p w:rsidR="00D21A9F" w:rsidRDefault="00D21A9F">
          <w:pPr>
            <w:pStyle w:val="320A77D155374054996F168A20882C2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A87D92513EF144DCB0E1EB1A93748C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1B09AA-58EB-4C76-BB58-D5FA3D9C90D7}"/>
      </w:docPartPr>
      <w:docPartBody>
        <w:p w:rsidR="00B72617" w:rsidRDefault="003D09ED" w:rsidP="003D09ED">
          <w:pPr>
            <w:pStyle w:val="A87D92513EF144DCB0E1EB1A93748CE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775BB"/>
    <w:rsid w:val="003415DF"/>
    <w:rsid w:val="003D09ED"/>
    <w:rsid w:val="00501F9A"/>
    <w:rsid w:val="00686E40"/>
    <w:rsid w:val="00AC71CA"/>
    <w:rsid w:val="00B72617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D09ED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599BE4318CD4CC0836196E577CC2921">
    <w:name w:val="0599BE4318CD4CC0836196E577CC2921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A87D92513EF144DCB0E1EB1A93748CEC">
    <w:name w:val="A87D92513EF144DCB0E1EB1A93748CEC"/>
    <w:rsid w:val="003D09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B11FCD-E0D3-43DD-B853-19681F62BC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28910E-C54A-4D38-BF41-D9733D8944E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F89EF9-0B4C-4769-A6A3-76DDE13B0D2D}">
  <ds:schemaRefs>
    <ds:schemaRef ds:uri="http://schemas.microsoft.com/office/2006/metadata/properties"/>
    <ds:schemaRef ds:uri="http://schemas.microsoft.com/office/infopath/2007/PartnerControls"/>
    <ds:schemaRef ds:uri="1c567317-0c4d-4a62-8516-c22afd1b5354"/>
    <ds:schemaRef ds:uri="a0509f21-ed56-4150-9955-96be669e5f2d"/>
  </ds:schemaRefs>
</ds:datastoreItem>
</file>

<file path=customXml/itemProps4.xml><?xml version="1.0" encoding="utf-8"?>
<ds:datastoreItem xmlns:ds="http://schemas.openxmlformats.org/officeDocument/2006/customXml" ds:itemID="{15E814C1-2B77-45B6-8CB5-D82E60075E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1120</Words>
  <Characters>6087</Characters>
  <Application>Microsoft Office Word</Application>
  <DocSecurity>0</DocSecurity>
  <Lines>200</Lines>
  <Paragraphs>145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2019-11-13T02:17:00Z</dcterms:created>
  <dcterms:modified xsi:type="dcterms:W3CDTF">2026-01-09T00:00:00Z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2025-12-23T00:35:38Z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f460af97-4b66-4392-b716-b3a57de31f65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