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4EAF8F" w14:textId="735AFAB8" w:rsidR="00BD499F" w:rsidRPr="004C23F4" w:rsidRDefault="00A222A5" w:rsidP="00B40C60">
          <w:pPr>
            <w:pStyle w:val="Heading1"/>
            <w:jc w:val="center"/>
            <w:rPr>
              <w:rFonts w:ascii="Arial" w:hAnsi="Arial" w:cs="Arial"/>
            </w:rPr>
          </w:pPr>
          <w:r w:rsidRPr="00A222A5">
            <w:rPr>
              <w:rFonts w:ascii="Arial" w:hAnsi="Arial" w:cs="Arial"/>
            </w:rPr>
            <w:t>Ethylenimine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5C85FC0B" w14:textId="77777777" w:rsidTr="00B76A41">
        <w:trPr>
          <w:cantSplit/>
          <w:tblHeader/>
        </w:trPr>
        <w:tc>
          <w:tcPr>
            <w:tcW w:w="4077" w:type="dxa"/>
          </w:tcPr>
          <w:p w14:paraId="1FB1A2E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CC2E988" w14:textId="24639313" w:rsidR="00F43AD5" w:rsidRPr="00717D45" w:rsidRDefault="003F2B35" w:rsidP="00B76A41">
            <w:pPr>
              <w:pStyle w:val="Tablefont"/>
            </w:pPr>
            <w:r w:rsidRPr="003F2B35">
              <w:t>151-56-4</w:t>
            </w:r>
          </w:p>
        </w:tc>
      </w:tr>
      <w:tr w:rsidR="00F43AD5" w:rsidRPr="004C23F4" w14:paraId="280DE3D7" w14:textId="77777777" w:rsidTr="00B76A41">
        <w:trPr>
          <w:cantSplit/>
        </w:trPr>
        <w:tc>
          <w:tcPr>
            <w:tcW w:w="4077" w:type="dxa"/>
          </w:tcPr>
          <w:p w14:paraId="1B2312B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B925685" w14:textId="56C06326" w:rsidR="00F43AD5" w:rsidRPr="00717D45" w:rsidRDefault="003F2B35" w:rsidP="00B76A41">
            <w:pPr>
              <w:pStyle w:val="Tablefont"/>
            </w:pPr>
            <w:proofErr w:type="spellStart"/>
            <w:r>
              <w:t>Aminoethylene</w:t>
            </w:r>
            <w:proofErr w:type="spellEnd"/>
            <w:r>
              <w:t xml:space="preserve">, aziridine, </w:t>
            </w:r>
            <w:proofErr w:type="spellStart"/>
            <w:r>
              <w:t>dimethyleneimine</w:t>
            </w:r>
            <w:proofErr w:type="spellEnd"/>
          </w:p>
        </w:tc>
      </w:tr>
      <w:tr w:rsidR="00F43AD5" w:rsidRPr="004C23F4" w14:paraId="1FB31D84" w14:textId="77777777" w:rsidTr="00B76A41">
        <w:trPr>
          <w:cantSplit/>
        </w:trPr>
        <w:tc>
          <w:tcPr>
            <w:tcW w:w="4077" w:type="dxa"/>
          </w:tcPr>
          <w:p w14:paraId="37EA796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941785B" w14:textId="305EC71D" w:rsidR="00F43AD5" w:rsidRPr="00717D45" w:rsidRDefault="003F2B35" w:rsidP="00B76A41">
            <w:pPr>
              <w:pStyle w:val="Tablefont"/>
            </w:pPr>
            <w:proofErr w:type="spellStart"/>
            <w:r>
              <w:t>C</w:t>
            </w:r>
            <w:r w:rsidRPr="003F2B35">
              <w:rPr>
                <w:vertAlign w:val="subscript"/>
              </w:rPr>
              <w:t>2</w:t>
            </w:r>
            <w:r>
              <w:t>H</w:t>
            </w:r>
            <w:r w:rsidRPr="003F2B35">
              <w:rPr>
                <w:vertAlign w:val="subscript"/>
              </w:rPr>
              <w:t>5</w:t>
            </w:r>
            <w:r>
              <w:t>N</w:t>
            </w:r>
            <w:proofErr w:type="spellEnd"/>
          </w:p>
        </w:tc>
      </w:tr>
      <w:tr w:rsidR="00F43AD5" w:rsidRPr="004C23F4" w14:paraId="59DA5B69" w14:textId="77777777" w:rsidTr="00B76A41">
        <w:trPr>
          <w:cantSplit/>
        </w:trPr>
        <w:tc>
          <w:tcPr>
            <w:tcW w:w="4077" w:type="dxa"/>
          </w:tcPr>
          <w:p w14:paraId="35801E5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F1954E4" w14:textId="429466AC" w:rsidR="00F43AD5" w:rsidRPr="003F2B35" w:rsidRDefault="003F2B35" w:rsidP="00B76A41">
            <w:pPr>
              <w:pStyle w:val="Tablerowheading"/>
              <w:rPr>
                <w:b w:val="0"/>
              </w:rPr>
            </w:pPr>
            <w:r w:rsidRPr="003F2B35">
              <w:rPr>
                <w:b w:val="0"/>
              </w:rPr>
              <w:t>—</w:t>
            </w:r>
          </w:p>
        </w:tc>
      </w:tr>
    </w:tbl>
    <w:p w14:paraId="28F1A7E8" w14:textId="308F21A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45A1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381E8C6E" w14:textId="77777777" w:rsidTr="008914DB">
        <w:trPr>
          <w:cantSplit/>
          <w:tblHeader/>
        </w:trPr>
        <w:tc>
          <w:tcPr>
            <w:tcW w:w="4007" w:type="dxa"/>
            <w:vAlign w:val="center"/>
          </w:tcPr>
          <w:p w14:paraId="59C3442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331B4478" w14:textId="681BB003" w:rsidR="002C7AFE" w:rsidRPr="00EB3D1B" w:rsidRDefault="00545A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ppb</w:t>
            </w:r>
          </w:p>
        </w:tc>
      </w:tr>
      <w:tr w:rsidR="002C7AFE" w:rsidRPr="004C23F4" w14:paraId="488E2AE1" w14:textId="77777777" w:rsidTr="008914DB">
        <w:trPr>
          <w:cantSplit/>
        </w:trPr>
        <w:tc>
          <w:tcPr>
            <w:tcW w:w="4007" w:type="dxa"/>
            <w:vAlign w:val="center"/>
          </w:tcPr>
          <w:p w14:paraId="06FE33D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6116F3A7" w14:textId="2C47FD38" w:rsidR="002C7AFE" w:rsidRPr="00467C03" w:rsidRDefault="00467C03" w:rsidP="00017C82">
            <w:pPr>
              <w:pStyle w:val="Tablefont"/>
              <w:rPr>
                <w:b/>
              </w:rPr>
            </w:pPr>
            <w:r>
              <w:rPr>
                <w:rFonts w:ascii="Calibri" w:hAnsi="Calibri" w:cs="Calibri"/>
                <w:b/>
              </w:rPr>
              <w:t>—</w:t>
            </w:r>
          </w:p>
        </w:tc>
      </w:tr>
      <w:tr w:rsidR="002C7AFE" w:rsidRPr="004C23F4" w14:paraId="0C61AA44" w14:textId="77777777" w:rsidTr="008914DB">
        <w:trPr>
          <w:cantSplit/>
        </w:trPr>
        <w:tc>
          <w:tcPr>
            <w:tcW w:w="4007" w:type="dxa"/>
            <w:vAlign w:val="center"/>
          </w:tcPr>
          <w:p w14:paraId="110FD21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26FB2907" w14:textId="43E9C34B" w:rsidR="002C7AFE" w:rsidRPr="00EB3D1B" w:rsidRDefault="00467C03" w:rsidP="00017C82">
            <w:pPr>
              <w:pStyle w:val="Tablefont"/>
              <w:rPr>
                <w:b/>
              </w:rPr>
            </w:pPr>
            <w:r>
              <w:rPr>
                <w:rFonts w:ascii="Calibri" w:hAnsi="Calibri" w:cs="Calibri"/>
                <w:b/>
              </w:rPr>
              <w:t>—</w:t>
            </w:r>
          </w:p>
        </w:tc>
      </w:tr>
      <w:tr w:rsidR="002C7AFE" w:rsidRPr="004C23F4" w14:paraId="02FE4AE5" w14:textId="77777777" w:rsidTr="008914DB">
        <w:trPr>
          <w:cantSplit/>
        </w:trPr>
        <w:tc>
          <w:tcPr>
            <w:tcW w:w="4007" w:type="dxa"/>
          </w:tcPr>
          <w:p w14:paraId="19CDB97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044FC326" w14:textId="4DC340E1" w:rsidR="002C7AFE" w:rsidRPr="00EB3D1B" w:rsidRDefault="00545A11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, Sk.</w:t>
            </w:r>
          </w:p>
        </w:tc>
      </w:tr>
      <w:tr w:rsidR="002C7AFE" w:rsidRPr="004C23F4" w14:paraId="16B5D7A0" w14:textId="77777777" w:rsidTr="008914DB">
        <w:trPr>
          <w:cantSplit/>
        </w:trPr>
        <w:tc>
          <w:tcPr>
            <w:tcW w:w="4007" w:type="dxa"/>
            <w:vAlign w:val="center"/>
          </w:tcPr>
          <w:p w14:paraId="708BEE9B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9" w:type="dxa"/>
          </w:tcPr>
          <w:p w14:paraId="434DB216" w14:textId="72C8BFA8" w:rsidR="002C7AFE" w:rsidRPr="00EB3D1B" w:rsidRDefault="008914DB" w:rsidP="00017C82">
            <w:pPr>
              <w:pStyle w:val="Tablefont"/>
              <w:rPr>
                <w:b/>
              </w:rPr>
            </w:pPr>
            <w:r>
              <w:rPr>
                <w:rFonts w:ascii="Calibri" w:hAnsi="Calibri" w:cs="Calibri"/>
                <w:b/>
              </w:rPr>
              <w:t>—</w:t>
            </w:r>
          </w:p>
        </w:tc>
      </w:tr>
      <w:tr w:rsidR="008914DB" w:rsidRPr="004C23F4" w14:paraId="71A847D8" w14:textId="77777777" w:rsidTr="002A237E">
        <w:trPr>
          <w:cantSplit/>
          <w:trHeight w:val="187"/>
        </w:trPr>
        <w:tc>
          <w:tcPr>
            <w:tcW w:w="9026" w:type="dxa"/>
            <w:gridSpan w:val="2"/>
            <w:vAlign w:val="center"/>
          </w:tcPr>
          <w:p w14:paraId="6A8B00BD" w14:textId="37BF4130" w:rsidR="008914DB" w:rsidRPr="00EB3D1B" w:rsidRDefault="008914DB" w:rsidP="00017C82">
            <w:pPr>
              <w:pStyle w:val="Tablefont"/>
              <w:rPr>
                <w:b/>
              </w:rPr>
            </w:pPr>
            <w:r w:rsidRPr="002A237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673AE5C0B6A4D538CC45C3EE13AE9D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A237E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5FD92CF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0570469" w14:textId="29F366DB" w:rsidR="00545A11" w:rsidRDefault="00545A11" w:rsidP="00545A11">
      <w:pPr>
        <w:rPr>
          <w:rFonts w:cs="Arial"/>
        </w:rPr>
      </w:pPr>
      <w:r>
        <w:rPr>
          <w:rFonts w:cs="Arial"/>
        </w:rPr>
        <w:t>A</w:t>
      </w:r>
      <w:r w:rsidR="00A83187">
        <w:rPr>
          <w:rFonts w:cs="Arial"/>
        </w:rPr>
        <w:t>n interim</w:t>
      </w:r>
      <w:r>
        <w:rPr>
          <w:rFonts w:cs="Arial"/>
        </w:rPr>
        <w:t xml:space="preserve"> TWA of 5 ppb is recommended to protect for cancer in exposed workers.</w:t>
      </w:r>
    </w:p>
    <w:p w14:paraId="4550EB7D" w14:textId="1617B9DF" w:rsidR="00545A11" w:rsidRPr="004C23F4" w:rsidRDefault="00CD5649" w:rsidP="00CD5649">
      <w:pPr>
        <w:rPr>
          <w:rFonts w:cs="Arial"/>
        </w:rPr>
      </w:pPr>
      <w:r>
        <w:rPr>
          <w:rFonts w:cs="Arial"/>
        </w:rPr>
        <w:t xml:space="preserve">Due to </w:t>
      </w:r>
      <w:r>
        <w:t>uncertainty regarding the data, it</w:t>
      </w:r>
      <w:r>
        <w:rPr>
          <w:rFonts w:cs="Arial"/>
        </w:rPr>
        <w:t xml:space="preserve"> is recommended </w:t>
      </w:r>
      <w:r w:rsidRPr="00CD5649">
        <w:rPr>
          <w:rFonts w:cs="Arial"/>
        </w:rPr>
        <w:t>a further, in-depth asse</w:t>
      </w:r>
      <w:r>
        <w:rPr>
          <w:rFonts w:cs="Arial"/>
        </w:rPr>
        <w:t xml:space="preserve">ssment of the toxicological and </w:t>
      </w:r>
      <w:r w:rsidRPr="00CD5649">
        <w:rPr>
          <w:rFonts w:cs="Arial"/>
        </w:rPr>
        <w:t>epidemiological data for the chemical</w:t>
      </w:r>
      <w:r>
        <w:rPr>
          <w:rFonts w:cs="Arial"/>
        </w:rPr>
        <w:t xml:space="preserve"> </w:t>
      </w:r>
      <w:r w:rsidR="00BF5536">
        <w:rPr>
          <w:rFonts w:cs="Arial"/>
        </w:rPr>
        <w:t>be</w:t>
      </w:r>
      <w:r>
        <w:rPr>
          <w:rFonts w:cs="Arial"/>
        </w:rPr>
        <w:t xml:space="preserve"> undertaken.</w:t>
      </w:r>
    </w:p>
    <w:p w14:paraId="528B53F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FEC9D72" w14:textId="22596D69" w:rsidR="008222AF" w:rsidRDefault="00EC5D43" w:rsidP="00EC5D43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 w:rsidRPr="00EC5D4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Ethylenimine is used as an intermediate and monomer for oil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  <w:r w:rsidRPr="00EC5D4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additive compounds, ion exchange resins, coating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  <w:r w:rsidRPr="00EC5D4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resins, pharmaceuticals, </w:t>
      </w:r>
      <w:r w:rsidR="008914DB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adhesives, polymer stabilis</w:t>
      </w:r>
      <w:r w:rsidRPr="00EC5D43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ers and surfactants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.</w:t>
      </w:r>
      <w:r w:rsidR="002A237E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</w:p>
    <w:p w14:paraId="466F6100" w14:textId="06EE662F" w:rsidR="008222AF" w:rsidRDefault="002A237E" w:rsidP="009E7D51">
      <w:pPr>
        <w:pStyle w:val="ListBullet"/>
        <w:numPr>
          <w:ilvl w:val="0"/>
          <w:numId w:val="0"/>
        </w:numPr>
        <w:spacing w:before="60" w:after="60"/>
        <w:contextualSpacing w:val="0"/>
      </w:pPr>
      <w:r>
        <w:t>Critical effects</w:t>
      </w:r>
      <w:r w:rsidR="00A83187">
        <w:t xml:space="preserve"> of exposure</w:t>
      </w:r>
      <w:r>
        <w:t xml:space="preserve"> include </w:t>
      </w:r>
      <w:r w:rsidRPr="002A237E">
        <w:t>upper respiratory tract irritation</w:t>
      </w:r>
      <w:r w:rsidR="00A83187">
        <w:t xml:space="preserve">, </w:t>
      </w:r>
      <w:r>
        <w:t>damage to the liver and kidney</w:t>
      </w:r>
      <w:r w:rsidR="00C379BC">
        <w:t xml:space="preserve"> </w:t>
      </w:r>
      <w:r w:rsidR="00404E3A">
        <w:t xml:space="preserve">and systemic tumour formation. </w:t>
      </w:r>
      <w:r w:rsidR="00545A11">
        <w:t>Based on evidence in animals</w:t>
      </w:r>
      <w:r w:rsidR="000E7FD8">
        <w:t xml:space="preserve"> of tumour formation in different sites following oral, subcutaneous and intragastrical administration,</w:t>
      </w:r>
      <w:r w:rsidR="00545A11">
        <w:t xml:space="preserve"> it is considered </w:t>
      </w:r>
      <w:r w:rsidR="000E7FD8">
        <w:t>a confirmed animal carcinogen and possible human carcinogen</w:t>
      </w:r>
      <w:r w:rsidR="00545A11">
        <w:t xml:space="preserve"> (</w:t>
      </w:r>
      <w:proofErr w:type="spellStart"/>
      <w:r w:rsidR="000E7FD8">
        <w:t>ACGIH</w:t>
      </w:r>
      <w:proofErr w:type="spellEnd"/>
      <w:r w:rsidR="000E7FD8">
        <w:t>, 2018</w:t>
      </w:r>
      <w:r w:rsidR="00651BE0">
        <w:t>;</w:t>
      </w:r>
      <w:r w:rsidR="000E7FD8">
        <w:t xml:space="preserve"> </w:t>
      </w:r>
      <w:proofErr w:type="spellStart"/>
      <w:r w:rsidR="000E7FD8">
        <w:t>DFG</w:t>
      </w:r>
      <w:proofErr w:type="spellEnd"/>
      <w:r w:rsidR="000E7FD8">
        <w:t>, 2003</w:t>
      </w:r>
      <w:r w:rsidR="00545A11">
        <w:t xml:space="preserve">; </w:t>
      </w:r>
      <w:proofErr w:type="spellStart"/>
      <w:r w:rsidR="00545A11">
        <w:t>NICNAS</w:t>
      </w:r>
      <w:proofErr w:type="spellEnd"/>
      <w:r w:rsidR="00545A11">
        <w:t>, 201</w:t>
      </w:r>
      <w:r w:rsidR="000E7FD8">
        <w:t>4</w:t>
      </w:r>
      <w:r w:rsidR="00545A11">
        <w:t xml:space="preserve">). </w:t>
      </w:r>
      <w:r w:rsidR="000E7FD8">
        <w:t xml:space="preserve">It is also reported </w:t>
      </w:r>
      <w:r w:rsidR="005A7B6B">
        <w:t xml:space="preserve">to have </w:t>
      </w:r>
      <w:r w:rsidR="000E7FD8">
        <w:t>high degree of mutagenic activity in a wide variety of systems</w:t>
      </w:r>
      <w:r w:rsidR="005A7B6B">
        <w:t xml:space="preserve"> (</w:t>
      </w:r>
      <w:proofErr w:type="spellStart"/>
      <w:r w:rsidR="005A7B6B">
        <w:t>ACGIH</w:t>
      </w:r>
      <w:proofErr w:type="spellEnd"/>
      <w:r w:rsidR="005A7B6B">
        <w:t>, 2018)</w:t>
      </w:r>
      <w:r w:rsidR="000E7FD8">
        <w:t xml:space="preserve">. </w:t>
      </w:r>
      <w:r w:rsidR="0056480A">
        <w:t xml:space="preserve">There are </w:t>
      </w:r>
      <w:r w:rsidR="0056480A" w:rsidRPr="0056480A">
        <w:t xml:space="preserve">insufficient data to ascertain mechanism of tumour formation and </w:t>
      </w:r>
      <w:r w:rsidR="0056480A">
        <w:t xml:space="preserve">therefore for the purpose of this assessment, </w:t>
      </w:r>
      <w:r w:rsidR="0056480A" w:rsidRPr="0056480A">
        <w:t>ethylenimine</w:t>
      </w:r>
      <w:r w:rsidR="0056480A">
        <w:t xml:space="preserve"> is considered a non-threshold-based genotoxic carcinogen </w:t>
      </w:r>
      <w:r w:rsidR="0056480A" w:rsidRPr="0056480A">
        <w:t xml:space="preserve">until </w:t>
      </w:r>
      <w:r w:rsidR="00C402EB">
        <w:t>further</w:t>
      </w:r>
      <w:r w:rsidR="0056480A" w:rsidRPr="0056480A">
        <w:t xml:space="preserve"> data </w:t>
      </w:r>
      <w:r w:rsidR="003948D1">
        <w:t>are</w:t>
      </w:r>
      <w:r w:rsidR="0056480A" w:rsidRPr="0056480A">
        <w:t xml:space="preserve"> available</w:t>
      </w:r>
      <w:r w:rsidR="0056480A">
        <w:t xml:space="preserve">. </w:t>
      </w:r>
    </w:p>
    <w:p w14:paraId="2ECF72A1" w14:textId="3BFBDCF8" w:rsidR="00545A11" w:rsidRDefault="00545A11" w:rsidP="008222AF">
      <w:r>
        <w:t xml:space="preserve">At present, </w:t>
      </w:r>
      <w:r w:rsidR="00730341">
        <w:t xml:space="preserve">an </w:t>
      </w:r>
      <w:r>
        <w:t xml:space="preserve">Inhalation Unit Risk or Oral Slope Factors could not be identified to derive a TWA. </w:t>
      </w:r>
      <w:r w:rsidR="00E94A15">
        <w:t>As such</w:t>
      </w:r>
      <w:r w:rsidR="00873991">
        <w:t>,</w:t>
      </w:r>
      <w:r w:rsidR="00E94A15">
        <w:t xml:space="preserve"> the</w:t>
      </w:r>
      <w:r>
        <w:t xml:space="preserve"> </w:t>
      </w:r>
      <w:r w:rsidR="00F66538">
        <w:t xml:space="preserve">current </w:t>
      </w:r>
      <w:r>
        <w:t>TWA of 0.5 ppm</w:t>
      </w:r>
      <w:r w:rsidR="00E94A15">
        <w:t xml:space="preserve"> is consider</w:t>
      </w:r>
      <w:r w:rsidR="00A305E5">
        <w:t>ed</w:t>
      </w:r>
      <w:r w:rsidR="00E94A15">
        <w:t xml:space="preserve"> a suitable </w:t>
      </w:r>
      <w:r>
        <w:t>starting point</w:t>
      </w:r>
      <w:r w:rsidR="00E94A15">
        <w:t>.</w:t>
      </w:r>
      <w:r>
        <w:t xml:space="preserve"> </w:t>
      </w:r>
      <w:r w:rsidR="00F12316">
        <w:t xml:space="preserve">Dividing this starting point by compound uncertainty </w:t>
      </w:r>
      <w:r w:rsidR="00F12316" w:rsidRPr="00C402EB">
        <w:t xml:space="preserve">factor </w:t>
      </w:r>
      <w:r w:rsidR="003948D1">
        <w:t xml:space="preserve">of </w:t>
      </w:r>
      <w:r w:rsidR="00F12316" w:rsidRPr="00C402EB">
        <w:t>100 as a precautionary measure, for interspecies uncertainty and severity of potential eff</w:t>
      </w:r>
      <w:r w:rsidR="003948D1">
        <w:t xml:space="preserve">ects and </w:t>
      </w:r>
      <w:r w:rsidR="00F12316" w:rsidRPr="00C402EB">
        <w:t xml:space="preserve">to provide an adequate margin of safety </w:t>
      </w:r>
      <w:r w:rsidR="003948D1">
        <w:t xml:space="preserve">results in a recommended </w:t>
      </w:r>
      <w:r w:rsidR="00F12316" w:rsidRPr="00C402EB">
        <w:t>TWA of 5</w:t>
      </w:r>
      <w:r w:rsidR="00F12316">
        <w:t> </w:t>
      </w:r>
      <w:r w:rsidR="00F12316" w:rsidRPr="00C402EB">
        <w:t xml:space="preserve">ppb. </w:t>
      </w:r>
      <w:r w:rsidR="00670B7C" w:rsidRPr="00C402EB">
        <w:t xml:space="preserve">This TWA is recommended in interim to protect </w:t>
      </w:r>
      <w:r w:rsidR="00670B7C" w:rsidRPr="00536E00">
        <w:t xml:space="preserve">for </w:t>
      </w:r>
      <w:r w:rsidR="000F29AC" w:rsidRPr="00536E00">
        <w:t>adverse</w:t>
      </w:r>
      <w:r w:rsidR="00670B7C" w:rsidRPr="00C402EB">
        <w:t xml:space="preserve"> effects</w:t>
      </w:r>
      <w:r w:rsidR="00670B7C">
        <w:t xml:space="preserve"> in exposed workers. </w:t>
      </w:r>
      <w:r w:rsidR="00CD5649">
        <w:t>A STEL is not recommended as the TWA is sufficiently low to protect for acute effects from short-term concentration excursions.</w:t>
      </w:r>
    </w:p>
    <w:p w14:paraId="34C0B9D9" w14:textId="53B4EF59" w:rsidR="00CD5649" w:rsidRDefault="00CD5649" w:rsidP="008222AF">
      <w:r>
        <w:rPr>
          <w:rFonts w:cs="Arial"/>
        </w:rPr>
        <w:lastRenderedPageBreak/>
        <w:t xml:space="preserve">Due to </w:t>
      </w:r>
      <w:r w:rsidR="005A4FA9">
        <w:t>the</w:t>
      </w:r>
      <w:r>
        <w:t xml:space="preserve"> </w:t>
      </w:r>
      <w:r w:rsidRPr="00C402EB">
        <w:t xml:space="preserve">uncertainty </w:t>
      </w:r>
      <w:r w:rsidR="005A4FA9" w:rsidRPr="00536E00">
        <w:t>associated with the limited information available in the primary sources</w:t>
      </w:r>
      <w:r w:rsidRPr="00C402EB">
        <w:t>, it</w:t>
      </w:r>
      <w:r>
        <w:rPr>
          <w:rFonts w:cs="Arial"/>
        </w:rPr>
        <w:t xml:space="preserve"> is recommended </w:t>
      </w:r>
      <w:r w:rsidRPr="00CD5649">
        <w:rPr>
          <w:rFonts w:cs="Arial"/>
        </w:rPr>
        <w:t>a further, more in-depth asse</w:t>
      </w:r>
      <w:r>
        <w:rPr>
          <w:rFonts w:cs="Arial"/>
        </w:rPr>
        <w:t xml:space="preserve">ssment of the toxicological and </w:t>
      </w:r>
      <w:r w:rsidRPr="00CD5649">
        <w:rPr>
          <w:rFonts w:cs="Arial"/>
        </w:rPr>
        <w:t>epidemiological data for the chemical</w:t>
      </w:r>
      <w:r>
        <w:rPr>
          <w:rFonts w:cs="Arial"/>
        </w:rPr>
        <w:t xml:space="preserve"> </w:t>
      </w:r>
      <w:r w:rsidR="00BF5536">
        <w:rPr>
          <w:rFonts w:cs="Arial"/>
        </w:rPr>
        <w:t>be</w:t>
      </w:r>
      <w:r>
        <w:rPr>
          <w:rFonts w:cs="Arial"/>
        </w:rPr>
        <w:t xml:space="preserve"> undertaken</w:t>
      </w:r>
      <w:r w:rsidR="00BF5536">
        <w:rPr>
          <w:rFonts w:cs="Arial"/>
        </w:rPr>
        <w:t xml:space="preserve"> a</w:t>
      </w:r>
      <w:r w:rsidR="00812381">
        <w:rPr>
          <w:rFonts w:cs="Arial"/>
        </w:rPr>
        <w:t>t</w:t>
      </w:r>
      <w:r w:rsidR="00BF5536">
        <w:rPr>
          <w:rFonts w:cs="Arial"/>
        </w:rPr>
        <w:t xml:space="preserve"> the next scheduled review</w:t>
      </w:r>
      <w:r>
        <w:rPr>
          <w:rFonts w:cs="Arial"/>
        </w:rPr>
        <w:t>.</w:t>
      </w:r>
    </w:p>
    <w:p w14:paraId="12D4DC90" w14:textId="0488386A" w:rsidR="004529F0" w:rsidRPr="004C23F4" w:rsidRDefault="004529F0" w:rsidP="00EC5D43">
      <w:pPr>
        <w:pStyle w:val="Heading2"/>
      </w:pPr>
      <w:r>
        <w:t>Recommendation for notations</w:t>
      </w:r>
    </w:p>
    <w:p w14:paraId="30B713A1" w14:textId="06E0A120" w:rsidR="003F2B35" w:rsidRDefault="008914DB" w:rsidP="003F2B35">
      <w:pPr>
        <w:rPr>
          <w:rFonts w:cs="Arial"/>
        </w:rPr>
      </w:pPr>
      <w:r>
        <w:rPr>
          <w:rFonts w:cs="Arial"/>
        </w:rPr>
        <w:t>C</w:t>
      </w:r>
      <w:r w:rsidR="003F2B35">
        <w:rPr>
          <w:rFonts w:cs="Arial"/>
        </w:rPr>
        <w:t xml:space="preserve">lassified as a </w:t>
      </w:r>
      <w:r>
        <w:rPr>
          <w:rFonts w:cs="Arial"/>
        </w:rPr>
        <w:t xml:space="preserve">category </w:t>
      </w:r>
      <w:proofErr w:type="spellStart"/>
      <w:r>
        <w:rPr>
          <w:rFonts w:cs="Arial"/>
        </w:rPr>
        <w:t>1B</w:t>
      </w:r>
      <w:proofErr w:type="spellEnd"/>
      <w:r>
        <w:rPr>
          <w:rFonts w:cs="Arial"/>
        </w:rPr>
        <w:t xml:space="preserve"> </w:t>
      </w:r>
      <w:r w:rsidR="003F2B35">
        <w:rPr>
          <w:rFonts w:cs="Arial"/>
        </w:rPr>
        <w:t>carcinogen according to the Globally Harmonized System of</w:t>
      </w:r>
      <w:r>
        <w:rPr>
          <w:rFonts w:cs="Arial"/>
        </w:rPr>
        <w:t xml:space="preserve"> Classification and Labelling of</w:t>
      </w:r>
      <w:r w:rsidR="003F2B35">
        <w:rPr>
          <w:rFonts w:cs="Arial"/>
        </w:rPr>
        <w:t xml:space="preserve"> Chemicals (GHS). </w:t>
      </w:r>
    </w:p>
    <w:p w14:paraId="7A78D5A3" w14:textId="7B16B634" w:rsidR="003F2B35" w:rsidRDefault="003F2B35" w:rsidP="003F2B35">
      <w:pPr>
        <w:rPr>
          <w:rFonts w:cs="Arial"/>
        </w:rPr>
      </w:pPr>
      <w:r>
        <w:rPr>
          <w:rFonts w:cs="Arial"/>
        </w:rPr>
        <w:t>Not classified as a skin</w:t>
      </w:r>
      <w:r w:rsidR="008914DB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1E7D3CFB" w14:textId="3CBD8FF8" w:rsidR="00545A11" w:rsidRDefault="00545A11" w:rsidP="003F2B35">
      <w:pPr>
        <w:rPr>
          <w:rFonts w:cs="Arial"/>
        </w:rPr>
      </w:pPr>
      <w:r>
        <w:rPr>
          <w:rFonts w:cs="Arial"/>
        </w:rPr>
        <w:t>A skin notation is recommended based on evidence of systemic effects following dermal exposure in humans and animals.</w:t>
      </w:r>
    </w:p>
    <w:p w14:paraId="6DB40A5B" w14:textId="018CEB6B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FE475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04697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C191DA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04EDA4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E8652F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A926DAD" w14:textId="1C6A532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F2B3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F2B35">
                  <w:t>TWA: 0.5 ppm (0.88 mg/</w:t>
                </w:r>
                <w:proofErr w:type="spellStart"/>
                <w:r w:rsidR="003F2B35">
                  <w:t>m</w:t>
                </w:r>
                <w:r w:rsidR="003F2B35" w:rsidRPr="003F2B35">
                  <w:rPr>
                    <w:vertAlign w:val="superscript"/>
                  </w:rPr>
                  <w:t>3</w:t>
                </w:r>
                <w:proofErr w:type="spellEnd"/>
                <w:r w:rsidR="003F2B35">
                  <w:t>)</w:t>
                </w:r>
              </w:sdtContent>
            </w:sdt>
          </w:p>
        </w:tc>
      </w:tr>
      <w:tr w:rsidR="00C978F0" w:rsidRPr="00DA352E" w14:paraId="7B884C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290A9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3B94F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F15792" w14:textId="4773EC32" w:rsidR="00C978F0" w:rsidRPr="00DA352E" w:rsidRDefault="00DA352E" w:rsidP="002A336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081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36619">
                  <w:t>2009</w:t>
                </w:r>
              </w:sdtContent>
            </w:sdt>
            <w:r w:rsidR="00A305E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F2B35">
                  <w:t>TLV-TWA: 0.05 ppm (0.09 mg/</w:t>
                </w:r>
                <w:proofErr w:type="spellStart"/>
                <w:r w:rsidR="003F2B35">
                  <w:t>m</w:t>
                </w:r>
                <w:r w:rsidR="003F2B35" w:rsidRPr="003F2B35">
                  <w:rPr>
                    <w:vertAlign w:val="superscript"/>
                  </w:rPr>
                  <w:t>3</w:t>
                </w:r>
                <w:proofErr w:type="spellEnd"/>
                <w:r w:rsidR="003F2B35">
                  <w:t>)</w:t>
                </w:r>
                <w:r w:rsidR="00730341">
                  <w:t xml:space="preserve"> </w:t>
                </w:r>
                <w:r w:rsidR="003F2B35">
                  <w:t>TLV-STEL:</w:t>
                </w:r>
                <w:r w:rsidR="00A305E5">
                  <w:t xml:space="preserve"> </w:t>
                </w:r>
                <w:r w:rsidR="003F2B35">
                  <w:t>0.1 ppm (0.1</w:t>
                </w:r>
                <w:r w:rsidR="00036619">
                  <w:t>8 </w:t>
                </w:r>
                <w:r w:rsidR="003F2B35">
                  <w:t>mg/</w:t>
                </w:r>
                <w:proofErr w:type="spellStart"/>
                <w:r w:rsidR="003F2B35">
                  <w:t>m</w:t>
                </w:r>
                <w:r w:rsidR="003F2B35" w:rsidRPr="003F2B35">
                  <w:rPr>
                    <w:vertAlign w:val="superscript"/>
                  </w:rPr>
                  <w:t>3</w:t>
                </w:r>
                <w:proofErr w:type="spellEnd"/>
                <w:r w:rsidR="003F2B35">
                  <w:t>)</w:t>
                </w:r>
              </w:sdtContent>
            </w:sdt>
          </w:p>
        </w:tc>
      </w:tr>
      <w:tr w:rsidR="00C978F0" w:rsidRPr="00DA352E" w14:paraId="1C112C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FE8F80" w14:textId="3FED39D8" w:rsidR="00C978F0" w:rsidRDefault="00EC5D43" w:rsidP="003365A5">
            <w:pPr>
              <w:pStyle w:val="Tabletextprimarysource"/>
            </w:pPr>
            <w:r>
              <w:t>TLV-TWA recommended to minimise the potential for upper respiratory tract irritation and liver and kidney effects in workers.</w:t>
            </w:r>
          </w:p>
          <w:p w14:paraId="0AD0EE5C" w14:textId="4A1496EE" w:rsidR="00663C5E" w:rsidRDefault="00663C5E" w:rsidP="003365A5">
            <w:pPr>
              <w:pStyle w:val="Tabletextprimarysource"/>
            </w:pPr>
            <w:r>
              <w:t>Derivation of TWA and STEL not provided</w:t>
            </w:r>
            <w:r w:rsidR="000D4BDB">
              <w:t>;</w:t>
            </w:r>
            <w:r w:rsidR="00C402EB">
              <w:t xml:space="preserve"> </w:t>
            </w:r>
            <w:r w:rsidR="00B53142">
              <w:t>this TWA is not substantiated</w:t>
            </w:r>
            <w:r w:rsidR="0001201A">
              <w:t>.</w:t>
            </w:r>
          </w:p>
          <w:p w14:paraId="2303E45E" w14:textId="77777777" w:rsidR="00EC5D43" w:rsidRDefault="00EC5D43" w:rsidP="003365A5">
            <w:pPr>
              <w:pStyle w:val="Tabletextprimarysource"/>
            </w:pPr>
            <w:r>
              <w:t>Summary of data:</w:t>
            </w:r>
          </w:p>
          <w:p w14:paraId="7CFE7319" w14:textId="77777777" w:rsidR="00EC5D43" w:rsidRDefault="00EC5D43" w:rsidP="003365A5">
            <w:pPr>
              <w:pStyle w:val="Tabletextprimarysource"/>
            </w:pPr>
            <w:r>
              <w:t>Human data:</w:t>
            </w:r>
          </w:p>
          <w:p w14:paraId="09591524" w14:textId="54EF3941" w:rsidR="00CA2956" w:rsidRDefault="00EC5D43" w:rsidP="008222AF">
            <w:pPr>
              <w:pStyle w:val="ListBullet"/>
              <w:ind w:left="720"/>
              <w:contextualSpacing w:val="0"/>
            </w:pPr>
            <w:r>
              <w:t xml:space="preserve">Acute accidental </w:t>
            </w:r>
            <w:r w:rsidR="002A237E">
              <w:t>e</w:t>
            </w:r>
            <w:r>
              <w:t xml:space="preserve">xposure of 5 people for </w:t>
            </w:r>
            <w:r w:rsidR="00DA4325">
              <w:rPr>
                <w:rFonts w:cs="Arial"/>
              </w:rPr>
              <w:t>≈</w:t>
            </w:r>
            <w:r>
              <w:t xml:space="preserve">2 h in a poorly ventilated room; effects delayed several hours included: </w:t>
            </w:r>
          </w:p>
          <w:p w14:paraId="0083F807" w14:textId="4A6FBDFD" w:rsidR="00CA2956" w:rsidRDefault="00EC5D43" w:rsidP="008222AF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 xml:space="preserve">throat soreness, severe eye irritation, vomiting and coughing, conjunctivitis, upper and lower respiratory tract inflammation </w:t>
            </w:r>
          </w:p>
          <w:p w14:paraId="4C748197" w14:textId="4A06596E" w:rsidR="00CA2956" w:rsidRDefault="00EC5D43" w:rsidP="008222AF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 xml:space="preserve">transitory </w:t>
            </w:r>
            <w:r w:rsidR="006C495A">
              <w:t>polycythaemia</w:t>
            </w:r>
            <w:r>
              <w:t xml:space="preserve">, </w:t>
            </w:r>
            <w:r w:rsidR="006C495A">
              <w:t>leucocytosis</w:t>
            </w:r>
            <w:r>
              <w:t>, eosinophilia and albuminuria</w:t>
            </w:r>
          </w:p>
          <w:p w14:paraId="430A5134" w14:textId="5A6945FA" w:rsidR="00EC5D43" w:rsidRDefault="00EC5D43" w:rsidP="008222AF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 xml:space="preserve">symptoms subsided within 6 </w:t>
            </w:r>
            <w:proofErr w:type="spellStart"/>
            <w:r>
              <w:t>mo</w:t>
            </w:r>
            <w:proofErr w:type="spellEnd"/>
          </w:p>
          <w:p w14:paraId="4272C3DF" w14:textId="5C753DE1" w:rsidR="00CA2956" w:rsidRDefault="00CA2956" w:rsidP="008222AF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C</w:t>
            </w:r>
            <w:r w:rsidR="00EC5D43">
              <w:t>ase report of several fatalities resulting from combined inhalation and skin contamination</w:t>
            </w:r>
            <w:r>
              <w:t>:</w:t>
            </w:r>
          </w:p>
          <w:p w14:paraId="4C9E4CD9" w14:textId="235ED930" w:rsidR="00CA2956" w:rsidRDefault="00EC5D43" w:rsidP="008222A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pneumonia and pulmo</w:t>
            </w:r>
            <w:r w:rsidR="000864BE">
              <w:t>nary oedema within 2</w:t>
            </w:r>
            <w:r w:rsidR="00CA2956">
              <w:t>–</w:t>
            </w:r>
            <w:r w:rsidR="000864BE">
              <w:t>3 h</w:t>
            </w:r>
            <w:r>
              <w:t xml:space="preserve"> after brief exposures</w:t>
            </w:r>
          </w:p>
          <w:p w14:paraId="79833F5B" w14:textId="740F53A0" w:rsidR="00EC5D43" w:rsidRDefault="00EC5D43" w:rsidP="008222A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 xml:space="preserve">one case 5 min exposure resulted in progressive respiratory obstruction from destruction of the tracheobronchial cartilage over a period of 2 </w:t>
            </w:r>
            <w:proofErr w:type="spellStart"/>
            <w:r>
              <w:t>mo</w:t>
            </w:r>
            <w:proofErr w:type="spellEnd"/>
          </w:p>
          <w:p w14:paraId="0217F396" w14:textId="77501E02" w:rsidR="006D686B" w:rsidRDefault="00CA2956" w:rsidP="008222AF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A</w:t>
            </w:r>
            <w:r w:rsidR="006D686B">
              <w:t>cute inhalation or dermal exposure of workers resulted in CNS effects, excess fluid in the lungs, damage to the liver and kidneys and in some cases, death</w:t>
            </w:r>
            <w:r w:rsidR="005C4C24">
              <w:t xml:space="preserve"> (no further information)</w:t>
            </w:r>
            <w:r w:rsidR="002A237E">
              <w:t>.</w:t>
            </w:r>
          </w:p>
          <w:p w14:paraId="002C1853" w14:textId="77777777" w:rsidR="00EC5D43" w:rsidRDefault="006D686B" w:rsidP="006D686B">
            <w:pPr>
              <w:pStyle w:val="Tabletextprimarysource"/>
            </w:pPr>
            <w:r>
              <w:t>Animal data:</w:t>
            </w:r>
          </w:p>
          <w:p w14:paraId="36AB05B9" w14:textId="296FF0C7" w:rsidR="006D686B" w:rsidRDefault="006C495A" w:rsidP="008222A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0864BE">
              <w:t>:</w:t>
            </w:r>
            <w:r>
              <w:t xml:space="preserve"> 15 ppm </w:t>
            </w:r>
            <w:r w:rsidR="000864BE">
              <w:t>(</w:t>
            </w:r>
            <w:r>
              <w:t>rats</w:t>
            </w:r>
            <w:r w:rsidR="000864BE">
              <w:t>, 8 h)</w:t>
            </w:r>
          </w:p>
          <w:p w14:paraId="18C9D00E" w14:textId="4CEBD19F" w:rsidR="006C495A" w:rsidRDefault="006C495A" w:rsidP="008222A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0864BE">
              <w:t xml:space="preserve">: </w:t>
            </w:r>
            <w:r>
              <w:t xml:space="preserve">13 mg/kg </w:t>
            </w:r>
            <w:r w:rsidR="000864BE">
              <w:t>(</w:t>
            </w:r>
            <w:r>
              <w:t>rabbits</w:t>
            </w:r>
            <w:r w:rsidR="000864BE">
              <w:t>, dermal)</w:t>
            </w:r>
          </w:p>
          <w:p w14:paraId="4DF29D80" w14:textId="19514CF0" w:rsidR="006C495A" w:rsidRDefault="000864BE" w:rsidP="008222A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</w:t>
            </w:r>
            <w:r w:rsidR="006C495A">
              <w:t xml:space="preserve"> </w:t>
            </w:r>
            <w:r w:rsidR="006C495A">
              <w:rPr>
                <w:rFonts w:cs="Arial"/>
              </w:rPr>
              <w:t>≥</w:t>
            </w:r>
            <w:r w:rsidR="006C495A">
              <w:t xml:space="preserve">10 ppm </w:t>
            </w:r>
            <w:r>
              <w:t xml:space="preserve">(guinea pigs and rats, 8 h) </w:t>
            </w:r>
            <w:r w:rsidR="006C495A">
              <w:t>resulted in extreme respiratory difficulty</w:t>
            </w:r>
          </w:p>
          <w:p w14:paraId="67D11708" w14:textId="1CF4312B" w:rsidR="006C495A" w:rsidRDefault="006C495A" w:rsidP="008222A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Daily inhalation of 5 ppm for 1.5 </w:t>
            </w:r>
            <w:proofErr w:type="spellStart"/>
            <w:r>
              <w:t>mo</w:t>
            </w:r>
            <w:proofErr w:type="spellEnd"/>
            <w:r>
              <w:t>; catarrhal bronchitis, diminishing of lymphatic elements in lymph glands and degenerative changes in liver and kidneys of rats</w:t>
            </w:r>
          </w:p>
          <w:p w14:paraId="26FD6244" w14:textId="77777777" w:rsidR="00F466D6" w:rsidRDefault="00DC755A" w:rsidP="008222A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Subcutaneous injection site sarcomas and fibromas in rats</w:t>
            </w:r>
          </w:p>
          <w:p w14:paraId="401C12AD" w14:textId="4C4DA1DA" w:rsidR="00730341" w:rsidRPr="008D5AEE" w:rsidRDefault="00663C5E" w:rsidP="00BF5536">
            <w:pPr>
              <w:pStyle w:val="ListBullet"/>
              <w:spacing w:before="60" w:after="60"/>
              <w:ind w:left="714" w:hanging="357"/>
              <w:contextualSpacing w:val="0"/>
            </w:pPr>
            <w:r w:rsidRPr="008D5AEE">
              <w:t xml:space="preserve">Gavage </w:t>
            </w:r>
            <w:r w:rsidR="00DC755A" w:rsidRPr="008D5AEE">
              <w:t>administration of 4.64 mg/kg</w:t>
            </w:r>
            <w:r w:rsidR="007A1D6D" w:rsidRPr="008D5AEE">
              <w:t>/d</w:t>
            </w:r>
            <w:r w:rsidR="00A00F15" w:rsidRPr="008D5AEE">
              <w:t xml:space="preserve"> </w:t>
            </w:r>
            <w:r w:rsidR="00DC755A" w:rsidRPr="008D5AEE">
              <w:t>for 7</w:t>
            </w:r>
            <w:r w:rsidR="00DA4325" w:rsidRPr="008D5AEE">
              <w:t>–</w:t>
            </w:r>
            <w:r w:rsidR="00DC755A" w:rsidRPr="008D5AEE">
              <w:t>28 d, followed by 13 ppm in the diet</w:t>
            </w:r>
            <w:r w:rsidR="00557B6D" w:rsidRPr="008D5AEE">
              <w:t xml:space="preserve"> </w:t>
            </w:r>
            <w:r w:rsidR="00557B6D" w:rsidRPr="008D5AEE">
              <w:rPr>
                <w:rFonts w:cs="Arial"/>
                <w:shd w:val="clear" w:color="auto" w:fill="FFFFFF"/>
              </w:rPr>
              <w:t>(equivalent dose in mg/kg/d not provided)</w:t>
            </w:r>
            <w:r w:rsidR="00DC755A" w:rsidRPr="008D5AEE">
              <w:t xml:space="preserve"> for 74</w:t>
            </w:r>
            <w:r w:rsidR="00CA2956" w:rsidRPr="008D5AEE">
              <w:t> </w:t>
            </w:r>
            <w:proofErr w:type="spellStart"/>
            <w:r w:rsidR="00DC755A" w:rsidRPr="008D5AEE">
              <w:t>wk</w:t>
            </w:r>
            <w:proofErr w:type="spellEnd"/>
            <w:r w:rsidR="00DC755A" w:rsidRPr="008D5AEE">
              <w:t xml:space="preserve"> resulted in pulmonary and hepatic tumours</w:t>
            </w:r>
            <w:r w:rsidR="00FD7D19">
              <w:t xml:space="preserve"> in mice</w:t>
            </w:r>
            <w:r w:rsidRPr="008D5AEE">
              <w:t>; no further information</w:t>
            </w:r>
          </w:p>
          <w:p w14:paraId="3B0EB301" w14:textId="607A3B33" w:rsidR="00663C5E" w:rsidRDefault="00F748B2" w:rsidP="00BF5536">
            <w:pPr>
              <w:pStyle w:val="ListBullet"/>
              <w:ind w:left="717"/>
              <w:contextualSpacing w:val="0"/>
            </w:pPr>
            <w:r>
              <w:t>Reported high degree of mutagenic activity in a wide variety of systems</w:t>
            </w:r>
            <w:r w:rsidR="00663C5E">
              <w:t>:</w:t>
            </w:r>
          </w:p>
          <w:p w14:paraId="20EE9D83" w14:textId="1AE8B30C" w:rsidR="00663C5E" w:rsidRDefault="00663C5E" w:rsidP="00873991">
            <w:pPr>
              <w:pStyle w:val="ListBullet"/>
              <w:numPr>
                <w:ilvl w:val="0"/>
                <w:numId w:val="13"/>
              </w:numPr>
              <w:spacing w:before="60" w:after="60"/>
              <w:ind w:left="1071" w:hanging="357"/>
              <w:contextualSpacing w:val="0"/>
            </w:pPr>
            <w:r>
              <w:t xml:space="preserve">mutagenic </w:t>
            </w:r>
            <w:r w:rsidRPr="00663C5E">
              <w:t xml:space="preserve">in </w:t>
            </w:r>
            <w:r w:rsidRPr="00BF5536">
              <w:rPr>
                <w:i/>
              </w:rPr>
              <w:t xml:space="preserve">Drosophila melanogaster, Neurospora </w:t>
            </w:r>
            <w:proofErr w:type="spellStart"/>
            <w:r w:rsidRPr="00BF5536">
              <w:rPr>
                <w:i/>
              </w:rPr>
              <w:t>crass</w:t>
            </w:r>
            <w:r w:rsidR="00A83187">
              <w:rPr>
                <w:i/>
              </w:rPr>
              <w:t>a</w:t>
            </w:r>
            <w:proofErr w:type="spellEnd"/>
            <w:r w:rsidRPr="00BF5536">
              <w:rPr>
                <w:i/>
              </w:rPr>
              <w:t xml:space="preserve"> and Saccharomyces cerevisiae</w:t>
            </w:r>
          </w:p>
          <w:p w14:paraId="193F0192" w14:textId="77777777" w:rsidR="00663C5E" w:rsidRDefault="00663C5E" w:rsidP="00873991">
            <w:pPr>
              <w:pStyle w:val="ListBullet"/>
              <w:numPr>
                <w:ilvl w:val="0"/>
                <w:numId w:val="13"/>
              </w:numPr>
              <w:spacing w:before="60" w:after="60"/>
              <w:ind w:left="1071" w:hanging="357"/>
              <w:contextualSpacing w:val="0"/>
            </w:pPr>
            <w:r>
              <w:t xml:space="preserve">reacts with </w:t>
            </w:r>
            <w:r w:rsidRPr="00F748B2">
              <w:rPr>
                <w:i/>
              </w:rPr>
              <w:t>E</w:t>
            </w:r>
            <w:r>
              <w:rPr>
                <w:i/>
              </w:rPr>
              <w:t>. </w:t>
            </w:r>
            <w:r w:rsidRPr="00F748B2">
              <w:rPr>
                <w:i/>
              </w:rPr>
              <w:t>coli</w:t>
            </w:r>
            <w:r>
              <w:t xml:space="preserve"> DNA </w:t>
            </w:r>
            <w:r w:rsidRPr="00F748B2">
              <w:rPr>
                <w:i/>
              </w:rPr>
              <w:t xml:space="preserve">in vitro </w:t>
            </w:r>
            <w:r>
              <w:t xml:space="preserve">to yield mutant forms </w:t>
            </w:r>
          </w:p>
          <w:p w14:paraId="0C0B85DA" w14:textId="0B393D3C" w:rsidR="00663C5E" w:rsidRPr="00BF5536" w:rsidRDefault="00663C5E" w:rsidP="00873991">
            <w:pPr>
              <w:pStyle w:val="ListBullet"/>
              <w:numPr>
                <w:ilvl w:val="0"/>
                <w:numId w:val="13"/>
              </w:numPr>
              <w:spacing w:before="60" w:after="60"/>
              <w:ind w:left="1071" w:hanging="357"/>
              <w:contextualSpacing w:val="0"/>
            </w:pPr>
            <w:r>
              <w:t>s</w:t>
            </w:r>
            <w:r w:rsidRPr="00CA6E80">
              <w:t>trongly mutagenic to Chinese</w:t>
            </w:r>
            <w:r>
              <w:t xml:space="preserve"> </w:t>
            </w:r>
            <w:r w:rsidRPr="00CA6E80">
              <w:t xml:space="preserve">hamster ovary cells </w:t>
            </w:r>
            <w:r w:rsidRPr="00CA6E80">
              <w:rPr>
                <w:i/>
              </w:rPr>
              <w:t>in vitro</w:t>
            </w:r>
            <w:r>
              <w:t xml:space="preserve"> and murine bone marrow cells </w:t>
            </w:r>
            <w:r w:rsidRPr="00BF5536">
              <w:rPr>
                <w:i/>
              </w:rPr>
              <w:t>in vivo</w:t>
            </w:r>
          </w:p>
          <w:p w14:paraId="2DEED15C" w14:textId="4165AEB6" w:rsidR="00663C5E" w:rsidRDefault="00663C5E" w:rsidP="00873991">
            <w:pPr>
              <w:pStyle w:val="ListBullet"/>
              <w:numPr>
                <w:ilvl w:val="0"/>
                <w:numId w:val="13"/>
              </w:numPr>
              <w:spacing w:before="60" w:after="60"/>
              <w:ind w:left="1071" w:hanging="357"/>
              <w:contextualSpacing w:val="0"/>
            </w:pPr>
            <w:r>
              <w:t xml:space="preserve">induced large numbers of chromatid type aberrations </w:t>
            </w:r>
            <w:r w:rsidRPr="00BF5536">
              <w:rPr>
                <w:i/>
              </w:rPr>
              <w:t>in vitro</w:t>
            </w:r>
            <w:r>
              <w:t xml:space="preserve"> in human WI-36 cells and leukocytes</w:t>
            </w:r>
            <w:r w:rsidR="005B786D">
              <w:t>.</w:t>
            </w:r>
          </w:p>
          <w:p w14:paraId="21CB636E" w14:textId="1EE6B140" w:rsidR="005D3A8C" w:rsidRDefault="005D3A8C" w:rsidP="008222AF">
            <w:pPr>
              <w:pStyle w:val="ListBullet"/>
              <w:numPr>
                <w:ilvl w:val="0"/>
                <w:numId w:val="0"/>
              </w:numPr>
              <w:contextualSpacing w:val="0"/>
            </w:pPr>
            <w:r>
              <w:t>Insufficient data to recommended sensitiser notation.</w:t>
            </w:r>
          </w:p>
          <w:p w14:paraId="5734B504" w14:textId="3AE5ED3F" w:rsidR="00CA2956" w:rsidRPr="005D3A8C" w:rsidRDefault="00CA2956" w:rsidP="00BF5536">
            <w:pPr>
              <w:pStyle w:val="ListBullet"/>
              <w:numPr>
                <w:ilvl w:val="0"/>
                <w:numId w:val="0"/>
              </w:numPr>
              <w:contextualSpacing w:val="0"/>
            </w:pPr>
          </w:p>
        </w:tc>
      </w:tr>
      <w:tr w:rsidR="00C978F0" w:rsidRPr="00DA352E" w14:paraId="414BF62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E5005E" w14:textId="332DDF7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17B9C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17B9C">
                  <w:t>Not assigned</w:t>
                </w:r>
              </w:sdtContent>
            </w:sdt>
          </w:p>
        </w:tc>
      </w:tr>
      <w:tr w:rsidR="00C978F0" w:rsidRPr="00DA352E" w14:paraId="7BF2AE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3008A6" w14:textId="7B93A231" w:rsidR="00C978F0" w:rsidRDefault="005D3A8C" w:rsidP="003365A5">
            <w:pPr>
              <w:pStyle w:val="Tabletextprimarysource"/>
            </w:pPr>
            <w:r>
              <w:t>No MAK recommended due to carcinogenic potential</w:t>
            </w:r>
            <w:r w:rsidR="000864BE">
              <w:t>.</w:t>
            </w:r>
          </w:p>
          <w:p w14:paraId="53C0E9AF" w14:textId="77777777" w:rsidR="005D3A8C" w:rsidRDefault="005D3A8C" w:rsidP="003365A5">
            <w:pPr>
              <w:pStyle w:val="Tabletextprimarysource"/>
            </w:pPr>
            <w:r>
              <w:t>Summary of additional data:</w:t>
            </w:r>
          </w:p>
          <w:p w14:paraId="28D03300" w14:textId="3FF090ED" w:rsidR="005D3A8C" w:rsidRPr="00873991" w:rsidRDefault="005D3A8C" w:rsidP="00221E8E">
            <w:pPr>
              <w:pStyle w:val="ListBullet"/>
              <w:spacing w:before="60" w:after="60"/>
              <w:ind w:left="714" w:hanging="357"/>
              <w:contextualSpacing w:val="0"/>
            </w:pPr>
            <w:r w:rsidRPr="00873991">
              <w:rPr>
                <w:rFonts w:cs="Arial"/>
                <w:shd w:val="clear" w:color="auto" w:fill="FFFFFF"/>
              </w:rPr>
              <w:t>Known strong alkylating effect</w:t>
            </w:r>
          </w:p>
          <w:p w14:paraId="01DD0456" w14:textId="186E5155" w:rsidR="005D3A8C" w:rsidRPr="00873991" w:rsidRDefault="00C33123" w:rsidP="00506117">
            <w:pPr>
              <w:pStyle w:val="ListBullet"/>
              <w:spacing w:before="60" w:after="60"/>
              <w:ind w:left="714" w:hanging="357"/>
              <w:contextualSpacing w:val="0"/>
            </w:pPr>
            <w:r w:rsidRPr="00506117">
              <w:rPr>
                <w:rFonts w:cs="Arial"/>
                <w:shd w:val="clear" w:color="auto" w:fill="FFFFFF"/>
              </w:rPr>
              <w:t>C</w:t>
            </w:r>
            <w:r w:rsidR="00515C5D" w:rsidRPr="00506117">
              <w:rPr>
                <w:rFonts w:cs="Arial"/>
                <w:shd w:val="clear" w:color="auto" w:fill="FFFFFF"/>
              </w:rPr>
              <w:t xml:space="preserve">aused </w:t>
            </w:r>
            <w:r w:rsidR="00404E3A" w:rsidRPr="00506117">
              <w:rPr>
                <w:rFonts w:cs="Arial"/>
                <w:shd w:val="clear" w:color="auto" w:fill="FFFFFF"/>
              </w:rPr>
              <w:t>liver and lung tumours in two different mouse strains</w:t>
            </w:r>
            <w:r w:rsidR="00506117" w:rsidRPr="00506117">
              <w:rPr>
                <w:rFonts w:cs="Arial"/>
                <w:shd w:val="clear" w:color="auto" w:fill="FFFFFF"/>
              </w:rPr>
              <w:t xml:space="preserve"> in an oral</w:t>
            </w:r>
            <w:r w:rsidR="00506117">
              <w:rPr>
                <w:rFonts w:cs="Arial"/>
                <w:shd w:val="clear" w:color="auto" w:fill="FFFFFF"/>
              </w:rPr>
              <w:t xml:space="preserve"> toxicity study</w:t>
            </w:r>
            <w:r w:rsidR="00506117" w:rsidRPr="00506117">
              <w:rPr>
                <w:rFonts w:cs="Arial"/>
                <w:shd w:val="clear" w:color="auto" w:fill="FFFFFF"/>
              </w:rPr>
              <w:t>;</w:t>
            </w:r>
            <w:r w:rsidR="00506117">
              <w:rPr>
                <w:rFonts w:cs="Arial"/>
                <w:shd w:val="clear" w:color="auto" w:fill="FFFFFF"/>
              </w:rPr>
              <w:t xml:space="preserve"> </w:t>
            </w:r>
            <w:r w:rsidR="00404E3A" w:rsidRPr="00506117">
              <w:rPr>
                <w:rFonts w:cs="Arial"/>
                <w:shd w:val="clear" w:color="auto" w:fill="FFFFFF"/>
              </w:rPr>
              <w:t>gavage in a total amount of 4.64 mg/kg/d from 7 to 28</w:t>
            </w:r>
            <w:r w:rsidR="00670B7C" w:rsidRPr="00506117">
              <w:rPr>
                <w:rFonts w:cs="Arial"/>
                <w:shd w:val="clear" w:color="auto" w:fill="FFFFFF"/>
              </w:rPr>
              <w:t> </w:t>
            </w:r>
            <w:r w:rsidR="00404E3A" w:rsidRPr="00506117">
              <w:rPr>
                <w:rFonts w:cs="Arial"/>
                <w:shd w:val="clear" w:color="auto" w:fill="FFFFFF"/>
              </w:rPr>
              <w:t xml:space="preserve">d of life, then </w:t>
            </w:r>
            <w:r w:rsidR="0056480A" w:rsidRPr="00506117">
              <w:rPr>
                <w:rFonts w:cs="Arial"/>
                <w:shd w:val="clear" w:color="auto" w:fill="FFFFFF"/>
              </w:rPr>
              <w:t xml:space="preserve">13 ppm </w:t>
            </w:r>
            <w:r w:rsidR="00404E3A" w:rsidRPr="00506117">
              <w:rPr>
                <w:rFonts w:cs="Arial"/>
                <w:shd w:val="clear" w:color="auto" w:fill="FFFFFF"/>
              </w:rPr>
              <w:t>in diet</w:t>
            </w:r>
            <w:r w:rsidR="0056480A" w:rsidRPr="00506117">
              <w:rPr>
                <w:rFonts w:cs="Arial"/>
                <w:shd w:val="clear" w:color="auto" w:fill="FFFFFF"/>
              </w:rPr>
              <w:t xml:space="preserve"> (equivalent dose in mg/kg/d not provided)</w:t>
            </w:r>
            <w:r w:rsidR="00404E3A" w:rsidRPr="00506117">
              <w:rPr>
                <w:rFonts w:cs="Arial"/>
                <w:shd w:val="clear" w:color="auto" w:fill="FFFFFF"/>
              </w:rPr>
              <w:t xml:space="preserve"> for 74 </w:t>
            </w:r>
            <w:proofErr w:type="spellStart"/>
            <w:r w:rsidR="00404E3A" w:rsidRPr="00506117">
              <w:rPr>
                <w:rFonts w:cs="Arial"/>
                <w:shd w:val="clear" w:color="auto" w:fill="FFFFFF"/>
              </w:rPr>
              <w:t>wk</w:t>
            </w:r>
            <w:proofErr w:type="spellEnd"/>
            <w:r w:rsidR="00404E3A" w:rsidRPr="00506117">
              <w:rPr>
                <w:rFonts w:cs="Arial"/>
                <w:shd w:val="clear" w:color="auto" w:fill="FFFFFF"/>
              </w:rPr>
              <w:t xml:space="preserve"> (cited by </w:t>
            </w:r>
            <w:proofErr w:type="spellStart"/>
            <w:r w:rsidR="00404E3A" w:rsidRPr="00506117">
              <w:rPr>
                <w:rFonts w:cs="Arial"/>
                <w:shd w:val="clear" w:color="auto" w:fill="FFFFFF"/>
              </w:rPr>
              <w:t>ACGIH</w:t>
            </w:r>
            <w:proofErr w:type="spellEnd"/>
            <w:r w:rsidR="00404E3A" w:rsidRPr="00506117">
              <w:rPr>
                <w:rFonts w:cs="Arial"/>
                <w:shd w:val="clear" w:color="auto" w:fill="FFFFFF"/>
              </w:rPr>
              <w:t>, 2018)</w:t>
            </w:r>
            <w:r w:rsidR="00506117">
              <w:rPr>
                <w:rFonts w:cs="Arial"/>
                <w:shd w:val="clear" w:color="auto" w:fill="FFFFFF"/>
              </w:rPr>
              <w:t>:</w:t>
            </w:r>
          </w:p>
          <w:p w14:paraId="203B257C" w14:textId="6A31A672" w:rsidR="00404E3A" w:rsidRPr="00873991" w:rsidRDefault="00513E0A" w:rsidP="00DA3148">
            <w:pPr>
              <w:pStyle w:val="ListBullet"/>
              <w:numPr>
                <w:ilvl w:val="0"/>
                <w:numId w:val="14"/>
              </w:numPr>
              <w:spacing w:before="60" w:after="60"/>
              <w:ind w:left="1071" w:hanging="357"/>
              <w:contextualSpacing w:val="0"/>
            </w:pPr>
            <w:r w:rsidRPr="00873991">
              <w:t>m</w:t>
            </w:r>
            <w:r w:rsidR="00404E3A" w:rsidRPr="00873991">
              <w:t>ales: 16/17 (15 hepatomas, 15 lung tumours) and 16/16 (9 hepatomas, 12 lung tumours)</w:t>
            </w:r>
          </w:p>
          <w:p w14:paraId="74331FF4" w14:textId="14DC0A09" w:rsidR="00404E3A" w:rsidRDefault="00513E0A" w:rsidP="00DA3148">
            <w:pPr>
              <w:pStyle w:val="ListBullet"/>
              <w:numPr>
                <w:ilvl w:val="0"/>
                <w:numId w:val="14"/>
              </w:numPr>
              <w:spacing w:before="60" w:after="60"/>
              <w:ind w:left="1071" w:hanging="357"/>
              <w:contextualSpacing w:val="0"/>
            </w:pPr>
            <w:r w:rsidRPr="00873991">
              <w:t>f</w:t>
            </w:r>
            <w:r w:rsidR="00404E3A" w:rsidRPr="00873991">
              <w:t>emales: 15/15 (11 hepatomas, 15 lung tumours) and 11/11 (2 hepatomas, 10 lung tumours, 2 lymphomas)</w:t>
            </w:r>
          </w:p>
          <w:p w14:paraId="5879B4E3" w14:textId="6CE64676" w:rsidR="00506117" w:rsidRPr="00873991" w:rsidRDefault="00506117" w:rsidP="00DA3148">
            <w:pPr>
              <w:pStyle w:val="ListBullet"/>
              <w:numPr>
                <w:ilvl w:val="0"/>
                <w:numId w:val="14"/>
              </w:numPr>
              <w:spacing w:before="60" w:after="60"/>
              <w:ind w:left="1071" w:hanging="357"/>
              <w:contextualSpacing w:val="0"/>
            </w:pPr>
            <w:r>
              <w:rPr>
                <w:rFonts w:cs="Arial"/>
                <w:shd w:val="clear" w:color="auto" w:fill="FFFFFF"/>
              </w:rPr>
              <w:t xml:space="preserve">considered development of tumours as result of </w:t>
            </w:r>
            <w:r w:rsidRPr="00873991">
              <w:rPr>
                <w:rFonts w:cs="Arial"/>
                <w:shd w:val="clear" w:color="auto" w:fill="FFFFFF"/>
              </w:rPr>
              <w:t>systemic availability</w:t>
            </w:r>
          </w:p>
          <w:p w14:paraId="096A3617" w14:textId="5B8C9A7A" w:rsidR="000E7FD8" w:rsidRPr="00873991" w:rsidRDefault="000E7FD8" w:rsidP="00221E8E">
            <w:pPr>
              <w:pStyle w:val="ListBullet"/>
              <w:spacing w:before="60" w:after="60"/>
              <w:ind w:left="714" w:hanging="357"/>
              <w:contextualSpacing w:val="0"/>
            </w:pPr>
            <w:r w:rsidRPr="00873991">
              <w:rPr>
                <w:rFonts w:cs="Arial"/>
                <w:shd w:val="clear" w:color="auto" w:fill="FFFFFF"/>
              </w:rPr>
              <w:t>An increased incidence of lung tumours in male rats following single subcutaneous injection</w:t>
            </w:r>
          </w:p>
          <w:p w14:paraId="10DE274A" w14:textId="40B33012" w:rsidR="005D3A8C" w:rsidRPr="00873991" w:rsidRDefault="005D3A8C" w:rsidP="00D34BCE">
            <w:pPr>
              <w:pStyle w:val="ListBullet"/>
              <w:spacing w:before="60" w:after="60"/>
              <w:ind w:left="714" w:hanging="357"/>
              <w:contextualSpacing w:val="0"/>
            </w:pPr>
            <w:r w:rsidRPr="00873991">
              <w:t xml:space="preserve">Mutagenic in the </w:t>
            </w:r>
            <w:r w:rsidR="008222AF" w:rsidRPr="00873991">
              <w:rPr>
                <w:i/>
              </w:rPr>
              <w:t>S.</w:t>
            </w:r>
            <w:r w:rsidRPr="00873991">
              <w:rPr>
                <w:i/>
              </w:rPr>
              <w:t xml:space="preserve"> typhimurium</w:t>
            </w:r>
            <w:r w:rsidRPr="00873991">
              <w:t xml:space="preserve"> test without </w:t>
            </w:r>
            <w:proofErr w:type="spellStart"/>
            <w:r w:rsidRPr="00873991">
              <w:t>S9</w:t>
            </w:r>
            <w:proofErr w:type="spellEnd"/>
            <w:r w:rsidRPr="00873991">
              <w:t xml:space="preserve"> mix</w:t>
            </w:r>
          </w:p>
          <w:p w14:paraId="6510B10D" w14:textId="0518E795" w:rsidR="005D3A8C" w:rsidRPr="00873991" w:rsidRDefault="005D3A8C">
            <w:pPr>
              <w:pStyle w:val="ListBullet"/>
              <w:spacing w:before="60" w:after="60"/>
              <w:ind w:left="714" w:hanging="357"/>
              <w:contextualSpacing w:val="0"/>
            </w:pPr>
            <w:r w:rsidRPr="00873991">
              <w:rPr>
                <w:rFonts w:cs="Arial"/>
                <w:shd w:val="clear" w:color="auto" w:fill="FFFFFF"/>
              </w:rPr>
              <w:t>Carcinogenic</w:t>
            </w:r>
            <w:r w:rsidR="000E7FD8" w:rsidRPr="00873991">
              <w:rPr>
                <w:rFonts w:cs="Arial"/>
                <w:shd w:val="clear" w:color="auto" w:fill="FFFFFF"/>
              </w:rPr>
              <w:t>, mutagenic and DNA damaging effects</w:t>
            </w:r>
            <w:r w:rsidRPr="00873991">
              <w:rPr>
                <w:rFonts w:cs="Arial"/>
                <w:shd w:val="clear" w:color="auto" w:fill="FFFFFF"/>
              </w:rPr>
              <w:t xml:space="preserve"> under conditions comparable to the potential exposure of humans </w:t>
            </w:r>
            <w:r w:rsidR="000864BE" w:rsidRPr="00873991">
              <w:rPr>
                <w:rFonts w:cs="Arial"/>
                <w:shd w:val="clear" w:color="auto" w:fill="FFFFFF"/>
              </w:rPr>
              <w:t>in</w:t>
            </w:r>
            <w:r w:rsidRPr="00873991">
              <w:rPr>
                <w:rFonts w:cs="Arial"/>
                <w:shd w:val="clear" w:color="auto" w:fill="FFFFFF"/>
              </w:rPr>
              <w:t xml:space="preserve"> the workplace</w:t>
            </w:r>
            <w:r w:rsidR="00467C03" w:rsidRPr="00873991">
              <w:rPr>
                <w:rFonts w:cs="Arial"/>
                <w:shd w:val="clear" w:color="auto" w:fill="FFFFFF"/>
              </w:rPr>
              <w:t>.</w:t>
            </w:r>
          </w:p>
          <w:p w14:paraId="1A2E43FB" w14:textId="2429723F" w:rsidR="006E710D" w:rsidRPr="00DA352E" w:rsidRDefault="006E710D" w:rsidP="008222A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28703A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1F442C" w14:textId="7221773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17B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17B9C">
                  <w:t>NA</w:t>
                </w:r>
                <w:proofErr w:type="spellEnd"/>
              </w:sdtContent>
            </w:sdt>
          </w:p>
        </w:tc>
      </w:tr>
      <w:tr w:rsidR="00C978F0" w:rsidRPr="00DA352E" w14:paraId="52DE68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A41C4D" w14:textId="74390969" w:rsidR="00C978F0" w:rsidRPr="00DA352E" w:rsidRDefault="00D17B9C" w:rsidP="003365A5">
            <w:pPr>
              <w:pStyle w:val="Tabletextprimarysource"/>
            </w:pPr>
            <w:r>
              <w:t>No report</w:t>
            </w:r>
            <w:r w:rsidR="000864BE">
              <w:t>.</w:t>
            </w:r>
          </w:p>
        </w:tc>
      </w:tr>
      <w:tr w:rsidR="00DA352E" w:rsidRPr="00DA352E" w14:paraId="7E4274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57F443" w14:textId="09636F8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17B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17B9C">
                  <w:t>NA</w:t>
                </w:r>
                <w:proofErr w:type="spellEnd"/>
              </w:sdtContent>
            </w:sdt>
          </w:p>
        </w:tc>
      </w:tr>
      <w:tr w:rsidR="00DA352E" w:rsidRPr="00DA352E" w14:paraId="1769E3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83C002" w14:textId="20597A93" w:rsidR="00DA352E" w:rsidRPr="00DA352E" w:rsidRDefault="00D17B9C" w:rsidP="003365A5">
            <w:pPr>
              <w:pStyle w:val="Tabletextprimarysource"/>
            </w:pPr>
            <w:r>
              <w:t>No report</w:t>
            </w:r>
            <w:r w:rsidR="000864BE">
              <w:t>.</w:t>
            </w:r>
          </w:p>
        </w:tc>
      </w:tr>
      <w:tr w:rsidR="00DA352E" w:rsidRPr="00DA352E" w14:paraId="0762161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4C1F85" w14:textId="2A1C84F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17B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17B9C">
                  <w:t>NA</w:t>
                </w:r>
                <w:proofErr w:type="spellEnd"/>
              </w:sdtContent>
            </w:sdt>
          </w:p>
        </w:tc>
      </w:tr>
      <w:tr w:rsidR="00DA352E" w:rsidRPr="00DA352E" w14:paraId="030C3B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F67C52" w14:textId="6462911D" w:rsidR="00DA352E" w:rsidRPr="00DA352E" w:rsidRDefault="00D17B9C" w:rsidP="003365A5">
            <w:pPr>
              <w:pStyle w:val="Tabletextprimarysource"/>
            </w:pPr>
            <w:r>
              <w:t>No report</w:t>
            </w:r>
            <w:r w:rsidR="000864BE">
              <w:t>.</w:t>
            </w:r>
          </w:p>
        </w:tc>
      </w:tr>
    </w:tbl>
    <w:p w14:paraId="074C70F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1BE57876" w14:textId="77777777" w:rsidTr="00442369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A97563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AD3E85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E86520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320599A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0452DF9" w14:textId="77777777" w:rsidTr="00442369">
        <w:trPr>
          <w:cantSplit/>
        </w:trPr>
        <w:tc>
          <w:tcPr>
            <w:tcW w:w="1495" w:type="dxa"/>
          </w:tcPr>
          <w:p w14:paraId="753AA36E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659CA4A0" w14:textId="15027A2B" w:rsidR="004966BF" w:rsidRPr="00CE617F" w:rsidRDefault="003076D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236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647D18" w14:textId="4DC5EACB" w:rsidR="004966BF" w:rsidRPr="004C23F4" w:rsidRDefault="0044236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21EC385F" w14:textId="6D905184" w:rsidR="00442369" w:rsidRPr="00795EF1" w:rsidRDefault="00442369" w:rsidP="00692212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2A3365">
              <w:rPr>
                <w:rFonts w:cs="Arial"/>
              </w:rPr>
              <w:t xml:space="preserve">Tumours at several different tumour sites (lung, liver, mammary gland) </w:t>
            </w:r>
            <w:r w:rsidRPr="002A3365">
              <w:rPr>
                <w:rFonts w:cs="Arial"/>
                <w:shd w:val="clear" w:color="auto" w:fill="FFFFFF"/>
              </w:rPr>
              <w:t>in</w:t>
            </w:r>
            <w:r w:rsidRPr="002A3365">
              <w:rPr>
                <w:rFonts w:cs="Arial"/>
              </w:rPr>
              <w:t xml:space="preserve"> rats and/or mice following oral and inhalation exposure and administration by subcutaneous injection</w:t>
            </w:r>
          </w:p>
          <w:p w14:paraId="150CF90C" w14:textId="77777777" w:rsidR="004966BF" w:rsidRPr="00795EF1" w:rsidRDefault="00442369" w:rsidP="00692212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2A3365">
              <w:rPr>
                <w:rFonts w:cs="Arial"/>
                <w:shd w:val="clear" w:color="auto" w:fill="FFFFFF"/>
              </w:rPr>
              <w:t>Formation</w:t>
            </w:r>
            <w:r w:rsidRPr="002A3365">
              <w:rPr>
                <w:rFonts w:cs="Arial"/>
              </w:rPr>
              <w:t xml:space="preserve"> of DNA adducts has been demonstrated </w:t>
            </w:r>
            <w:r w:rsidRPr="002A3365">
              <w:rPr>
                <w:rFonts w:cs="Arial"/>
                <w:i/>
              </w:rPr>
              <w:t>in vitro</w:t>
            </w:r>
          </w:p>
          <w:p w14:paraId="3B1FDBEF" w14:textId="549413A9" w:rsidR="00442369" w:rsidRPr="004C23F4" w:rsidRDefault="00442369" w:rsidP="0069221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A3365">
              <w:rPr>
                <w:rFonts w:cs="Arial"/>
                <w:shd w:val="clear" w:color="auto" w:fill="FFFFFF"/>
              </w:rPr>
              <w:t>Genotoxic</w:t>
            </w:r>
            <w:r w:rsidRPr="002A3365">
              <w:rPr>
                <w:rFonts w:cs="Arial"/>
              </w:rPr>
              <w:t xml:space="preserve"> mode of action for carcinogenicity cannot be excluded.</w:t>
            </w:r>
          </w:p>
        </w:tc>
      </w:tr>
      <w:tr w:rsidR="004966BF" w:rsidRPr="004C23F4" w14:paraId="3E7B143E" w14:textId="77777777" w:rsidTr="00442369">
        <w:trPr>
          <w:cantSplit/>
        </w:trPr>
        <w:tc>
          <w:tcPr>
            <w:tcW w:w="1495" w:type="dxa"/>
          </w:tcPr>
          <w:p w14:paraId="689608C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5EDAFBE0" w14:textId="0945B179" w:rsidR="004966BF" w:rsidRPr="00CE617F" w:rsidRDefault="003076D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D3A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FDB4D1" w14:textId="35107520" w:rsidR="004966BF" w:rsidRPr="004C23F4" w:rsidRDefault="005D3A8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1992</w:t>
            </w:r>
          </w:p>
        </w:tc>
        <w:tc>
          <w:tcPr>
            <w:tcW w:w="6447" w:type="dxa"/>
          </w:tcPr>
          <w:p w14:paraId="7E7AD416" w14:textId="55B8C395" w:rsidR="004966BF" w:rsidRPr="005D3A8C" w:rsidRDefault="005D3A8C" w:rsidP="00692212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Health </w:t>
            </w:r>
            <w:r w:rsidRPr="008914DB">
              <w:rPr>
                <w:color w:val="1C1D1E"/>
                <w:shd w:val="clear" w:color="auto" w:fill="FFFFFF"/>
              </w:rPr>
              <w:t>effects</w:t>
            </w:r>
            <w:r>
              <w:rPr>
                <w:rStyle w:val="checkbox"/>
                <w:rFonts w:ascii="Arial" w:hAnsi="Arial" w:cs="Arial"/>
              </w:rPr>
              <w:t xml:space="preserve"> data </w:t>
            </w:r>
            <w:r>
              <w:t xml:space="preserve">inadequate for an inhalation </w:t>
            </w:r>
            <w:proofErr w:type="spellStart"/>
            <w:r>
              <w:t>RfC</w:t>
            </w:r>
            <w:proofErr w:type="spellEnd"/>
          </w:p>
          <w:p w14:paraId="4D0E73BE" w14:textId="4FC32B03" w:rsidR="005D3A8C" w:rsidRPr="004C23F4" w:rsidRDefault="00467C03" w:rsidP="0069221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</w:t>
            </w:r>
            <w:r w:rsidR="005D3A8C">
              <w:t>ot undergone a complete evaluation and determination for evidence of human carcinogenic potential.</w:t>
            </w:r>
          </w:p>
        </w:tc>
      </w:tr>
    </w:tbl>
    <w:bookmarkEnd w:id="0"/>
    <w:p w14:paraId="3A763E3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E861B31" w14:textId="77777777" w:rsidTr="008914DB">
        <w:trPr>
          <w:trHeight w:val="454"/>
          <w:tblHeader/>
        </w:trPr>
        <w:tc>
          <w:tcPr>
            <w:tcW w:w="6609" w:type="dxa"/>
            <w:vAlign w:val="center"/>
          </w:tcPr>
          <w:p w14:paraId="653C9FF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1D1891D" w14:textId="0736C7F5" w:rsidR="002E0D61" w:rsidRDefault="0044236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4ABD166" w14:textId="77777777" w:rsidTr="008914DB">
        <w:trPr>
          <w:trHeight w:val="454"/>
        </w:trPr>
        <w:tc>
          <w:tcPr>
            <w:tcW w:w="6609" w:type="dxa"/>
            <w:vAlign w:val="center"/>
          </w:tcPr>
          <w:p w14:paraId="39CDF1B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CBF5EFD" w14:textId="341DE0A3" w:rsidR="008A36CF" w:rsidRDefault="0044236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584FA73" w14:textId="77777777" w:rsidTr="008914D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0E8D0675" w14:textId="756D5ACB" w:rsidR="008A36CF" w:rsidRPr="006901A2" w:rsidRDefault="0044236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533D662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3DF6A98A" w14:textId="2840D8DB" w:rsidTr="008914DB">
        <w:trPr>
          <w:trHeight w:val="454"/>
        </w:trPr>
        <w:tc>
          <w:tcPr>
            <w:tcW w:w="6609" w:type="dxa"/>
            <w:vAlign w:val="center"/>
          </w:tcPr>
          <w:p w14:paraId="0988F987" w14:textId="0F868FCF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6D96B4F" w14:textId="67AE640B" w:rsidR="008A36CF" w:rsidRDefault="0044236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7F41C1D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2A39D2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8B5968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95D12B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D1C62B7" w14:textId="77777777" w:rsidTr="00812887">
        <w:trPr>
          <w:cantSplit/>
        </w:trPr>
        <w:tc>
          <w:tcPr>
            <w:tcW w:w="3227" w:type="dxa"/>
          </w:tcPr>
          <w:p w14:paraId="69D063C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A9123EE" w14:textId="69A0215A" w:rsidR="00687890" w:rsidRPr="00DD2F9B" w:rsidRDefault="00D17B9C" w:rsidP="00DD2F9B">
            <w:pPr>
              <w:pStyle w:val="Tablefont"/>
            </w:pPr>
            <w:proofErr w:type="spellStart"/>
            <w:r w:rsidRPr="00D17B9C">
              <w:t>Carc</w:t>
            </w:r>
            <w:proofErr w:type="spellEnd"/>
            <w:r w:rsidRPr="00D17B9C">
              <w:t xml:space="preserve">. </w:t>
            </w:r>
            <w:proofErr w:type="spellStart"/>
            <w:r w:rsidRPr="00D17B9C">
              <w:t>1B</w:t>
            </w:r>
            <w:proofErr w:type="spellEnd"/>
            <w:r>
              <w:t xml:space="preserve">, </w:t>
            </w:r>
            <w:r w:rsidRPr="00D17B9C">
              <w:t>Skin</w:t>
            </w:r>
          </w:p>
        </w:tc>
      </w:tr>
      <w:tr w:rsidR="007925F0" w:rsidRPr="004C23F4" w14:paraId="7798C0A6" w14:textId="77777777" w:rsidTr="00812887">
        <w:trPr>
          <w:cantSplit/>
        </w:trPr>
        <w:tc>
          <w:tcPr>
            <w:tcW w:w="3227" w:type="dxa"/>
          </w:tcPr>
          <w:p w14:paraId="3503C6B2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CEA67B0" w14:textId="1B6CBD2C" w:rsidR="007925F0" w:rsidRPr="00DD2F9B" w:rsidRDefault="00D17B9C" w:rsidP="00DD2F9B">
            <w:pPr>
              <w:pStyle w:val="Tablefont"/>
            </w:pPr>
            <w:r w:rsidRPr="00D17B9C">
              <w:t xml:space="preserve">Carcinogenicity – category </w:t>
            </w:r>
            <w:proofErr w:type="spellStart"/>
            <w:r w:rsidRPr="00D17B9C">
              <w:t>1B</w:t>
            </w:r>
            <w:proofErr w:type="spellEnd"/>
          </w:p>
        </w:tc>
      </w:tr>
      <w:tr w:rsidR="00AF483F" w:rsidRPr="004C23F4" w14:paraId="4A16C0AD" w14:textId="77777777" w:rsidTr="00812887">
        <w:trPr>
          <w:cantSplit/>
        </w:trPr>
        <w:tc>
          <w:tcPr>
            <w:tcW w:w="3227" w:type="dxa"/>
          </w:tcPr>
          <w:p w14:paraId="3A2387EE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0229765" w14:textId="6248E90F" w:rsidR="00AF483F" w:rsidRPr="00DD2F9B" w:rsidRDefault="00D17B9C" w:rsidP="00DD2F9B">
            <w:pPr>
              <w:pStyle w:val="Tablefont"/>
            </w:pPr>
            <w:proofErr w:type="spellStart"/>
            <w:r w:rsidRPr="00D17B9C">
              <w:t>Carc</w:t>
            </w:r>
            <w:proofErr w:type="spellEnd"/>
            <w:r w:rsidRPr="00D17B9C">
              <w:t>. Cat 2</w:t>
            </w:r>
            <w:r>
              <w:t xml:space="preserve">, </w:t>
            </w:r>
            <w:r w:rsidRPr="00D17B9C">
              <w:t>Skin</w:t>
            </w:r>
          </w:p>
        </w:tc>
      </w:tr>
      <w:tr w:rsidR="00687890" w:rsidRPr="004C23F4" w14:paraId="3A560A95" w14:textId="77777777" w:rsidTr="00812887">
        <w:trPr>
          <w:cantSplit/>
        </w:trPr>
        <w:tc>
          <w:tcPr>
            <w:tcW w:w="3227" w:type="dxa"/>
          </w:tcPr>
          <w:p w14:paraId="65EA958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3771463" w14:textId="0A86B093" w:rsidR="00687890" w:rsidRPr="00DD2F9B" w:rsidRDefault="00D17B9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4039629" w14:textId="77777777" w:rsidTr="00812887">
        <w:trPr>
          <w:cantSplit/>
        </w:trPr>
        <w:tc>
          <w:tcPr>
            <w:tcW w:w="3227" w:type="dxa"/>
          </w:tcPr>
          <w:p w14:paraId="11E0D04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8A2AE3F" w14:textId="21EA360B" w:rsidR="00E41A26" w:rsidRPr="00DD2F9B" w:rsidRDefault="00D17B9C" w:rsidP="00DD2F9B">
            <w:pPr>
              <w:pStyle w:val="Tablefont"/>
            </w:pPr>
            <w:proofErr w:type="spellStart"/>
            <w:r w:rsidRPr="00D17B9C">
              <w:t>Carc</w:t>
            </w:r>
            <w:proofErr w:type="spellEnd"/>
            <w:r w:rsidRPr="00D17B9C">
              <w:t xml:space="preserve">. </w:t>
            </w:r>
            <w:proofErr w:type="spellStart"/>
            <w:r w:rsidRPr="00D17B9C">
              <w:t>1B</w:t>
            </w:r>
            <w:proofErr w:type="spellEnd"/>
          </w:p>
        </w:tc>
      </w:tr>
      <w:tr w:rsidR="002E0D61" w:rsidRPr="004C23F4" w14:paraId="65A6131D" w14:textId="77777777" w:rsidTr="00812887">
        <w:trPr>
          <w:cantSplit/>
        </w:trPr>
        <w:tc>
          <w:tcPr>
            <w:tcW w:w="3227" w:type="dxa"/>
          </w:tcPr>
          <w:p w14:paraId="68A44C54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2111D84" w14:textId="3059D265" w:rsidR="002E0D61" w:rsidRPr="00DD2F9B" w:rsidRDefault="00D17B9C" w:rsidP="00DD2F9B">
            <w:pPr>
              <w:pStyle w:val="Tablefont"/>
            </w:pPr>
            <w:r w:rsidRPr="00D17B9C">
              <w:t>Skin</w:t>
            </w:r>
            <w:r>
              <w:t xml:space="preserve">, </w:t>
            </w:r>
            <w:r w:rsidRPr="00D17B9C">
              <w:t xml:space="preserve">Carcinogenicity – </w:t>
            </w:r>
            <w:proofErr w:type="spellStart"/>
            <w:r w:rsidRPr="00D17B9C">
              <w:t>A3</w:t>
            </w:r>
            <w:proofErr w:type="spellEnd"/>
          </w:p>
        </w:tc>
      </w:tr>
      <w:tr w:rsidR="002E0D61" w:rsidRPr="004C23F4" w14:paraId="5E6B21C9" w14:textId="77777777" w:rsidTr="00812887">
        <w:trPr>
          <w:cantSplit/>
        </w:trPr>
        <w:tc>
          <w:tcPr>
            <w:tcW w:w="3227" w:type="dxa"/>
          </w:tcPr>
          <w:p w14:paraId="2F38284A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86E66D1" w14:textId="2CE4B99D" w:rsidR="002E0D61" w:rsidRPr="00DD2F9B" w:rsidRDefault="00D17B9C" w:rsidP="00DD2F9B">
            <w:pPr>
              <w:pStyle w:val="Tablefont"/>
            </w:pPr>
            <w:r w:rsidRPr="00D17B9C">
              <w:t>Carcinogenicity – 2</w:t>
            </w:r>
            <w:r>
              <w:t xml:space="preserve">, </w:t>
            </w:r>
            <w:r w:rsidRPr="00D17B9C">
              <w:t>H (skin)</w:t>
            </w:r>
          </w:p>
        </w:tc>
      </w:tr>
      <w:tr w:rsidR="002E0D61" w:rsidRPr="004C23F4" w14:paraId="208E3B8C" w14:textId="77777777" w:rsidTr="00812887">
        <w:trPr>
          <w:cantSplit/>
        </w:trPr>
        <w:tc>
          <w:tcPr>
            <w:tcW w:w="3227" w:type="dxa"/>
          </w:tcPr>
          <w:p w14:paraId="4EFC0F42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6E23EC1" w14:textId="7B49A5FE" w:rsidR="002E0D61" w:rsidRPr="00DD2F9B" w:rsidRDefault="00D17B9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1EBAF5" w14:textId="77777777" w:rsidTr="00812887">
        <w:trPr>
          <w:cantSplit/>
        </w:trPr>
        <w:tc>
          <w:tcPr>
            <w:tcW w:w="3227" w:type="dxa"/>
          </w:tcPr>
          <w:p w14:paraId="0B8F1DA3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C70BD66" w14:textId="5EB9A5FF" w:rsidR="002E0D61" w:rsidRPr="00DD2F9B" w:rsidRDefault="00D17B9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2725140" w14:textId="77777777" w:rsidTr="00812887">
        <w:trPr>
          <w:cantSplit/>
        </w:trPr>
        <w:tc>
          <w:tcPr>
            <w:tcW w:w="3227" w:type="dxa"/>
          </w:tcPr>
          <w:p w14:paraId="21F73F1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3C3963" w14:textId="775AC633" w:rsidR="00386093" w:rsidRPr="00DD2F9B" w:rsidRDefault="00D17B9C" w:rsidP="00DD2F9B">
            <w:pPr>
              <w:pStyle w:val="Tablefont"/>
            </w:pPr>
            <w:r w:rsidRPr="00D17B9C">
              <w:t xml:space="preserve">Carcinogenicity – Group </w:t>
            </w:r>
            <w:proofErr w:type="spellStart"/>
            <w:r w:rsidRPr="00D17B9C">
              <w:t>2B</w:t>
            </w:r>
            <w:proofErr w:type="spellEnd"/>
          </w:p>
        </w:tc>
      </w:tr>
      <w:tr w:rsidR="00386093" w:rsidRPr="004C23F4" w14:paraId="72265EB3" w14:textId="77777777" w:rsidTr="00812887">
        <w:trPr>
          <w:cantSplit/>
        </w:trPr>
        <w:tc>
          <w:tcPr>
            <w:tcW w:w="3227" w:type="dxa"/>
          </w:tcPr>
          <w:p w14:paraId="46A3C643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3F9D328" w14:textId="538382A4" w:rsidR="00386093" w:rsidRPr="00DD2F9B" w:rsidRDefault="00D17B9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50BE99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50C594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4FF8B4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5CA17C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E7C79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61" w:type="dxa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442369" w:rsidRPr="00442369" w14:paraId="462F56F2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D639CA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573E54F" w14:textId="4F69658D" w:rsidR="00442369" w:rsidRPr="00442369" w:rsidRDefault="001F0E26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</w:t>
                  </w:r>
                  <w:r w:rsidR="00442369" w:rsidRPr="0044236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0C2E5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191B3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42369" w:rsidRPr="00442369" w14:paraId="0883DE0D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27505E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C42E070" w14:textId="7F92C84B" w:rsidR="00442369" w:rsidRPr="00442369" w:rsidRDefault="001F0E26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</w:t>
                  </w:r>
                  <w:r w:rsidR="00442369" w:rsidRPr="0044236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es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A93508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642F9F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42369" w:rsidRPr="00442369" w14:paraId="286F11CF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A52CB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7706D1" w14:textId="77777777" w:rsidR="00442369" w:rsidRPr="00442369" w:rsidRDefault="00442369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D6E4B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8D2271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42369" w:rsidRPr="00442369" w14:paraId="09C31B7E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AF3FC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3EF6D1" w14:textId="77777777" w:rsidR="00442369" w:rsidRPr="00442369" w:rsidRDefault="00442369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8F9BD2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59B6B6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42369" w:rsidRPr="00442369" w14:paraId="02620F5D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026D2B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22CD89" w14:textId="77777777" w:rsidR="00442369" w:rsidRPr="00442369" w:rsidRDefault="00442369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33BC1D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C478FA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42369" w:rsidRPr="00442369" w14:paraId="4B03F991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F41A50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21307" w14:textId="77777777" w:rsidR="00442369" w:rsidRPr="00442369" w:rsidRDefault="00442369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C0EB92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A0A24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42369" w:rsidRPr="00442369" w14:paraId="1BD292B7" w14:textId="77777777" w:rsidTr="00442369">
              <w:trPr>
                <w:trHeight w:val="313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8A1E7E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C0BA6A" w14:textId="77777777" w:rsidR="00442369" w:rsidRPr="00442369" w:rsidRDefault="00442369" w:rsidP="004423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BC4B0C" w14:textId="77777777" w:rsidR="00442369" w:rsidRPr="00442369" w:rsidRDefault="00442369" w:rsidP="004423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9803B3" w14:textId="77777777" w:rsidR="00442369" w:rsidRPr="00442369" w:rsidRDefault="00442369" w:rsidP="0044236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4236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A9010F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DDFFED6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6E92ADE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540269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91465D1" w14:textId="6C498C43" w:rsidR="00EB3D1B" w:rsidRDefault="008914DB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0C278DB5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72602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74112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3C3BC92" w14:textId="7B57C6B1" w:rsidR="001B79E5" w:rsidRDefault="00D17B9C" w:rsidP="001B79E5">
                <w:pPr>
                  <w:pStyle w:val="Tablefont"/>
                </w:pPr>
                <w:r w:rsidRPr="00D17B9C">
                  <w:t>43.07</w:t>
                </w:r>
              </w:p>
            </w:tc>
          </w:sdtContent>
        </w:sdt>
      </w:tr>
      <w:tr w:rsidR="00A31D99" w:rsidRPr="004C23F4" w14:paraId="0B3DDB7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4D3E23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6558E38" w14:textId="63AFAE8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2CE7C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18B43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C5F82B" w14:textId="320B09CC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8ABFD1" w14:textId="77777777" w:rsidTr="00EA6243">
        <w:trPr>
          <w:cantSplit/>
        </w:trPr>
        <w:tc>
          <w:tcPr>
            <w:tcW w:w="4077" w:type="dxa"/>
            <w:vAlign w:val="center"/>
          </w:tcPr>
          <w:p w14:paraId="367F0CD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1D4271" w14:textId="3E3743BA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FD851BE" w14:textId="77777777" w:rsidTr="00EA6243">
        <w:trPr>
          <w:cantSplit/>
        </w:trPr>
        <w:tc>
          <w:tcPr>
            <w:tcW w:w="4077" w:type="dxa"/>
            <w:vAlign w:val="center"/>
          </w:tcPr>
          <w:p w14:paraId="69ED9BC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7EF05F" w14:textId="4CCCC085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5DA8A2D" w14:textId="77777777" w:rsidTr="00EA6243">
        <w:trPr>
          <w:cantSplit/>
        </w:trPr>
        <w:tc>
          <w:tcPr>
            <w:tcW w:w="4077" w:type="dxa"/>
            <w:vAlign w:val="center"/>
          </w:tcPr>
          <w:p w14:paraId="18C4A8B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B891AEB" w14:textId="540C88A9" w:rsidR="00E06F40" w:rsidRPr="00A006A0" w:rsidRDefault="003076D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BF3D44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CB2651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422E81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2F1E8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90C6CB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2DD644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5D86E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CB2549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063BE42" w14:textId="71217825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C0B16E8" w14:textId="3858ACF2" w:rsidR="00AB6AFD" w:rsidRDefault="00AB6AFD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(2003) </w:t>
      </w:r>
      <w:proofErr w:type="spellStart"/>
      <w:r w:rsidRPr="00AB6AFD">
        <w:t>Ethylenimin</w:t>
      </w:r>
      <w:proofErr w:type="spellEnd"/>
      <w:r>
        <w:t xml:space="preserve"> – MAK value documentation.</w:t>
      </w:r>
    </w:p>
    <w:p w14:paraId="223D73BD" w14:textId="77777777" w:rsidR="00467C03" w:rsidRDefault="00467C03" w:rsidP="00467C03">
      <w:r>
        <w:t xml:space="preserve">European Chemicals Agency (ECHA) (2019) </w:t>
      </w:r>
      <w:r w:rsidRPr="00AB6AFD">
        <w:t>Ethylenimine</w:t>
      </w:r>
      <w:r>
        <w:t xml:space="preserve"> – REACH assessment.</w:t>
      </w:r>
    </w:p>
    <w:p w14:paraId="2A8DD887" w14:textId="77777777" w:rsidR="00467C03" w:rsidRDefault="00467C03" w:rsidP="00467C03">
      <w:r w:rsidRPr="002022B6">
        <w:t>International Agency for Research on Cancer</w:t>
      </w:r>
      <w:r>
        <w:t xml:space="preserve"> (IARC) (</w:t>
      </w:r>
      <w:r w:rsidRPr="00AB6AFD">
        <w:t>1999</w:t>
      </w:r>
      <w:r>
        <w:t xml:space="preserve">) </w:t>
      </w:r>
      <w:r w:rsidRPr="00AB6AFD">
        <w:t>Aziridine</w:t>
      </w:r>
      <w:r>
        <w:t>. IARC Monographs on the evaluation of the carcinogenic risk to humans.</w:t>
      </w:r>
    </w:p>
    <w:p w14:paraId="209BD28B" w14:textId="06E899BA" w:rsidR="00AB6AFD" w:rsidRDefault="00AB6AFD" w:rsidP="0008485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AB6AFD">
        <w:t>2014</w:t>
      </w:r>
      <w:r>
        <w:t xml:space="preserve">) </w:t>
      </w:r>
      <w:r w:rsidRPr="00AB6AFD">
        <w:t>Aziridines</w:t>
      </w:r>
      <w:r w:rsidRPr="0071660C">
        <w:t xml:space="preserve">: Human health </w:t>
      </w:r>
      <w:r w:rsidRPr="00AB6AFD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34CCAFD9" w14:textId="77777777" w:rsidR="00AB6AFD" w:rsidRPr="00351FE0" w:rsidRDefault="00AB6AFD" w:rsidP="00084859"/>
    <w:sectPr w:rsidR="00AB6AF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1335C" w14:textId="77777777" w:rsidR="00FC7BE9" w:rsidRDefault="00FC7BE9" w:rsidP="00F43AD5">
      <w:pPr>
        <w:spacing w:after="0" w:line="240" w:lineRule="auto"/>
      </w:pPr>
      <w:r>
        <w:separator/>
      </w:r>
    </w:p>
  </w:endnote>
  <w:endnote w:type="continuationSeparator" w:id="0">
    <w:p w14:paraId="693F9F73" w14:textId="77777777" w:rsidR="00FC7BE9" w:rsidRDefault="00FC7BE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BE35" w14:textId="77777777" w:rsidR="00F15083" w:rsidRDefault="00F150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212BF21" w14:textId="1182242C" w:rsidR="00F84805" w:rsidRDefault="00F84805" w:rsidP="0034744C">
        <w:pPr>
          <w:pStyle w:val="Footer"/>
          <w:rPr>
            <w:sz w:val="18"/>
            <w:szCs w:val="18"/>
          </w:rPr>
        </w:pPr>
        <w:r w:rsidRPr="003F2B35">
          <w:rPr>
            <w:b/>
            <w:sz w:val="18"/>
            <w:szCs w:val="18"/>
          </w:rPr>
          <w:t>Ethylenimine</w:t>
        </w:r>
        <w:r>
          <w:rPr>
            <w:b/>
            <w:sz w:val="18"/>
            <w:szCs w:val="18"/>
          </w:rPr>
          <w:t xml:space="preserve"> (</w:t>
        </w:r>
        <w:r w:rsidRPr="003F2B35">
          <w:rPr>
            <w:b/>
            <w:sz w:val="18"/>
            <w:szCs w:val="18"/>
          </w:rPr>
          <w:t>151-56-4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043B302E" w14:textId="0BC75231" w:rsidR="00F84805" w:rsidRPr="00F43AD5" w:rsidRDefault="00F8480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948D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72248" w14:textId="77777777" w:rsidR="00F15083" w:rsidRDefault="00F15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9A8F1" w14:textId="77777777" w:rsidR="00FC7BE9" w:rsidRDefault="00FC7BE9" w:rsidP="00F43AD5">
      <w:pPr>
        <w:spacing w:after="0" w:line="240" w:lineRule="auto"/>
      </w:pPr>
      <w:r>
        <w:separator/>
      </w:r>
    </w:p>
  </w:footnote>
  <w:footnote w:type="continuationSeparator" w:id="0">
    <w:p w14:paraId="1D0E0B7F" w14:textId="77777777" w:rsidR="00FC7BE9" w:rsidRDefault="00FC7BE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4B22E" w14:textId="15F93E25" w:rsidR="00F15083" w:rsidRDefault="00F150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45A0" w14:textId="15D1C332" w:rsidR="00F84805" w:rsidRDefault="00F84805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F1F5A" w14:textId="259666FA" w:rsidR="00F15083" w:rsidRDefault="00F150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D0CBB" w14:textId="6FEB24E6" w:rsidR="00F15083" w:rsidRDefault="00F1508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336A9" w14:textId="2AF37787" w:rsidR="00F84805" w:rsidRDefault="00750B08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662146" wp14:editId="01176D7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8088" w14:textId="2B3A2005" w:rsidR="00F15083" w:rsidRDefault="00F150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FC88E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8930AE"/>
    <w:multiLevelType w:val="hybridMultilevel"/>
    <w:tmpl w:val="679EB2C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506AAE"/>
    <w:multiLevelType w:val="hybridMultilevel"/>
    <w:tmpl w:val="BA4A468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2C759F7"/>
    <w:multiLevelType w:val="hybridMultilevel"/>
    <w:tmpl w:val="2AB85A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C251D"/>
    <w:multiLevelType w:val="hybridMultilevel"/>
    <w:tmpl w:val="264A70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3542A"/>
    <w:multiLevelType w:val="hybridMultilevel"/>
    <w:tmpl w:val="145A05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E03A37"/>
    <w:multiLevelType w:val="hybridMultilevel"/>
    <w:tmpl w:val="3510FD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A4522"/>
    <w:multiLevelType w:val="hybridMultilevel"/>
    <w:tmpl w:val="C86A228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50103B"/>
    <w:multiLevelType w:val="hybridMultilevel"/>
    <w:tmpl w:val="B954454C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6F974CEB"/>
    <w:multiLevelType w:val="hybridMultilevel"/>
    <w:tmpl w:val="107E23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70DE9"/>
    <w:multiLevelType w:val="hybridMultilevel"/>
    <w:tmpl w:val="C95EA8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38126">
    <w:abstractNumId w:val="0"/>
  </w:num>
  <w:num w:numId="2" w16cid:durableId="1491867345">
    <w:abstractNumId w:val="3"/>
  </w:num>
  <w:num w:numId="3" w16cid:durableId="1491215417">
    <w:abstractNumId w:val="0"/>
  </w:num>
  <w:num w:numId="4" w16cid:durableId="338043766">
    <w:abstractNumId w:val="0"/>
  </w:num>
  <w:num w:numId="5" w16cid:durableId="1684551761">
    <w:abstractNumId w:val="0"/>
  </w:num>
  <w:num w:numId="6" w16cid:durableId="401875257">
    <w:abstractNumId w:val="0"/>
  </w:num>
  <w:num w:numId="7" w16cid:durableId="230165965">
    <w:abstractNumId w:val="0"/>
  </w:num>
  <w:num w:numId="8" w16cid:durableId="1775321797">
    <w:abstractNumId w:val="1"/>
  </w:num>
  <w:num w:numId="9" w16cid:durableId="1051808481">
    <w:abstractNumId w:val="7"/>
  </w:num>
  <w:num w:numId="10" w16cid:durableId="990062710">
    <w:abstractNumId w:val="5"/>
  </w:num>
  <w:num w:numId="11" w16cid:durableId="406273081">
    <w:abstractNumId w:val="4"/>
  </w:num>
  <w:num w:numId="12" w16cid:durableId="757290125">
    <w:abstractNumId w:val="10"/>
  </w:num>
  <w:num w:numId="13" w16cid:durableId="1895893468">
    <w:abstractNumId w:val="9"/>
  </w:num>
  <w:num w:numId="14" w16cid:durableId="475534084">
    <w:abstractNumId w:val="8"/>
  </w:num>
  <w:num w:numId="15" w16cid:durableId="2139371541">
    <w:abstractNumId w:val="6"/>
  </w:num>
  <w:num w:numId="16" w16cid:durableId="585186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36F"/>
    <w:rsid w:val="00007B80"/>
    <w:rsid w:val="0001201A"/>
    <w:rsid w:val="00013A22"/>
    <w:rsid w:val="00014C3F"/>
    <w:rsid w:val="00017C82"/>
    <w:rsid w:val="00032B88"/>
    <w:rsid w:val="00036619"/>
    <w:rsid w:val="00046DF5"/>
    <w:rsid w:val="00052060"/>
    <w:rsid w:val="000529AB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4BE"/>
    <w:rsid w:val="00092D94"/>
    <w:rsid w:val="000B0868"/>
    <w:rsid w:val="000B0879"/>
    <w:rsid w:val="000B3E12"/>
    <w:rsid w:val="000B3E78"/>
    <w:rsid w:val="000B7B48"/>
    <w:rsid w:val="000C096D"/>
    <w:rsid w:val="000C139A"/>
    <w:rsid w:val="000C2053"/>
    <w:rsid w:val="000C248C"/>
    <w:rsid w:val="000D291C"/>
    <w:rsid w:val="000D4BDB"/>
    <w:rsid w:val="000E5A54"/>
    <w:rsid w:val="000E63D3"/>
    <w:rsid w:val="000E67CF"/>
    <w:rsid w:val="000E7FD8"/>
    <w:rsid w:val="000F27A4"/>
    <w:rsid w:val="000F29AC"/>
    <w:rsid w:val="0010461E"/>
    <w:rsid w:val="00106FAA"/>
    <w:rsid w:val="00113443"/>
    <w:rsid w:val="001269A7"/>
    <w:rsid w:val="00131092"/>
    <w:rsid w:val="001406ED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4E06"/>
    <w:rsid w:val="00185A7B"/>
    <w:rsid w:val="001A009E"/>
    <w:rsid w:val="001A1287"/>
    <w:rsid w:val="001A3859"/>
    <w:rsid w:val="001A3C9D"/>
    <w:rsid w:val="001A43F8"/>
    <w:rsid w:val="001A4BC1"/>
    <w:rsid w:val="001B79E5"/>
    <w:rsid w:val="001D56F0"/>
    <w:rsid w:val="001D663B"/>
    <w:rsid w:val="001D7B41"/>
    <w:rsid w:val="001E46DA"/>
    <w:rsid w:val="001E7D80"/>
    <w:rsid w:val="001F0E26"/>
    <w:rsid w:val="001F4B6C"/>
    <w:rsid w:val="001F62CB"/>
    <w:rsid w:val="001F6ED0"/>
    <w:rsid w:val="001F72E6"/>
    <w:rsid w:val="001F73C5"/>
    <w:rsid w:val="002046A6"/>
    <w:rsid w:val="00204956"/>
    <w:rsid w:val="00213640"/>
    <w:rsid w:val="00213FEF"/>
    <w:rsid w:val="00217370"/>
    <w:rsid w:val="00221547"/>
    <w:rsid w:val="002216FC"/>
    <w:rsid w:val="00221E8E"/>
    <w:rsid w:val="00222533"/>
    <w:rsid w:val="00222F30"/>
    <w:rsid w:val="00224EE2"/>
    <w:rsid w:val="00227EC7"/>
    <w:rsid w:val="00244AD1"/>
    <w:rsid w:val="002463BC"/>
    <w:rsid w:val="002465CE"/>
    <w:rsid w:val="002511FE"/>
    <w:rsid w:val="0025734A"/>
    <w:rsid w:val="00263255"/>
    <w:rsid w:val="00276494"/>
    <w:rsid w:val="00277B0C"/>
    <w:rsid w:val="0028300B"/>
    <w:rsid w:val="00296939"/>
    <w:rsid w:val="002A237E"/>
    <w:rsid w:val="002A3365"/>
    <w:rsid w:val="002B1A2C"/>
    <w:rsid w:val="002C2B44"/>
    <w:rsid w:val="002C34F2"/>
    <w:rsid w:val="002C58FF"/>
    <w:rsid w:val="002C7AFE"/>
    <w:rsid w:val="002D05D2"/>
    <w:rsid w:val="002E0C11"/>
    <w:rsid w:val="002E0D61"/>
    <w:rsid w:val="002E4C7B"/>
    <w:rsid w:val="0030095D"/>
    <w:rsid w:val="00302C24"/>
    <w:rsid w:val="0030740C"/>
    <w:rsid w:val="003076DE"/>
    <w:rsid w:val="003109D7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2AAD"/>
    <w:rsid w:val="00386093"/>
    <w:rsid w:val="003904A4"/>
    <w:rsid w:val="00391245"/>
    <w:rsid w:val="00391841"/>
    <w:rsid w:val="00391B6D"/>
    <w:rsid w:val="003948D1"/>
    <w:rsid w:val="00394922"/>
    <w:rsid w:val="003A0E32"/>
    <w:rsid w:val="003A2B94"/>
    <w:rsid w:val="003A3967"/>
    <w:rsid w:val="003A3E06"/>
    <w:rsid w:val="003A6768"/>
    <w:rsid w:val="003B387D"/>
    <w:rsid w:val="003C0D58"/>
    <w:rsid w:val="003C4C83"/>
    <w:rsid w:val="003D4FA3"/>
    <w:rsid w:val="003E0807"/>
    <w:rsid w:val="003E51FB"/>
    <w:rsid w:val="003E6B39"/>
    <w:rsid w:val="003F07E1"/>
    <w:rsid w:val="003F2B35"/>
    <w:rsid w:val="004030BC"/>
    <w:rsid w:val="00403F7D"/>
    <w:rsid w:val="00404E3A"/>
    <w:rsid w:val="00406785"/>
    <w:rsid w:val="004079B4"/>
    <w:rsid w:val="00417A56"/>
    <w:rsid w:val="00420957"/>
    <w:rsid w:val="00422A10"/>
    <w:rsid w:val="00430179"/>
    <w:rsid w:val="004414B5"/>
    <w:rsid w:val="00442369"/>
    <w:rsid w:val="004423C6"/>
    <w:rsid w:val="00444482"/>
    <w:rsid w:val="00444B42"/>
    <w:rsid w:val="00445E44"/>
    <w:rsid w:val="00450433"/>
    <w:rsid w:val="004509E2"/>
    <w:rsid w:val="004515EE"/>
    <w:rsid w:val="004529F0"/>
    <w:rsid w:val="00460A03"/>
    <w:rsid w:val="00467C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97B95"/>
    <w:rsid w:val="004A3531"/>
    <w:rsid w:val="004A5088"/>
    <w:rsid w:val="004C1E3F"/>
    <w:rsid w:val="004C23F4"/>
    <w:rsid w:val="004C3475"/>
    <w:rsid w:val="004C58B6"/>
    <w:rsid w:val="004C6AF8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381E"/>
    <w:rsid w:val="00506117"/>
    <w:rsid w:val="00513E0A"/>
    <w:rsid w:val="005142C4"/>
    <w:rsid w:val="0051509A"/>
    <w:rsid w:val="0051509C"/>
    <w:rsid w:val="00515C5D"/>
    <w:rsid w:val="005272E2"/>
    <w:rsid w:val="00527BA8"/>
    <w:rsid w:val="0053108F"/>
    <w:rsid w:val="00532B56"/>
    <w:rsid w:val="00534B10"/>
    <w:rsid w:val="00536E00"/>
    <w:rsid w:val="005446A2"/>
    <w:rsid w:val="00544D2F"/>
    <w:rsid w:val="00545A11"/>
    <w:rsid w:val="00551BD8"/>
    <w:rsid w:val="00555EAF"/>
    <w:rsid w:val="00557B6D"/>
    <w:rsid w:val="00563EB9"/>
    <w:rsid w:val="0056480A"/>
    <w:rsid w:val="00581055"/>
    <w:rsid w:val="005841D4"/>
    <w:rsid w:val="00591E38"/>
    <w:rsid w:val="00596C45"/>
    <w:rsid w:val="005A19C5"/>
    <w:rsid w:val="005A1E8C"/>
    <w:rsid w:val="005A2950"/>
    <w:rsid w:val="005A3034"/>
    <w:rsid w:val="005A462D"/>
    <w:rsid w:val="005A4FA9"/>
    <w:rsid w:val="005A7B6B"/>
    <w:rsid w:val="005B253B"/>
    <w:rsid w:val="005B771D"/>
    <w:rsid w:val="005B786D"/>
    <w:rsid w:val="005C2CC3"/>
    <w:rsid w:val="005C4C24"/>
    <w:rsid w:val="005C5D16"/>
    <w:rsid w:val="005D3193"/>
    <w:rsid w:val="005D3A8C"/>
    <w:rsid w:val="005D4A6E"/>
    <w:rsid w:val="005E4D37"/>
    <w:rsid w:val="005E6979"/>
    <w:rsid w:val="005E75CB"/>
    <w:rsid w:val="005F4230"/>
    <w:rsid w:val="006013C1"/>
    <w:rsid w:val="0060669E"/>
    <w:rsid w:val="00610F2E"/>
    <w:rsid w:val="00611399"/>
    <w:rsid w:val="00624C4E"/>
    <w:rsid w:val="00625200"/>
    <w:rsid w:val="0063163A"/>
    <w:rsid w:val="006363A8"/>
    <w:rsid w:val="00636DB7"/>
    <w:rsid w:val="00650905"/>
    <w:rsid w:val="00651BE0"/>
    <w:rsid w:val="006532ED"/>
    <w:rsid w:val="006549F2"/>
    <w:rsid w:val="006567B7"/>
    <w:rsid w:val="00657BFB"/>
    <w:rsid w:val="0066333C"/>
    <w:rsid w:val="006639B4"/>
    <w:rsid w:val="00663C5E"/>
    <w:rsid w:val="006650FE"/>
    <w:rsid w:val="00670B7C"/>
    <w:rsid w:val="0067305D"/>
    <w:rsid w:val="00677D9B"/>
    <w:rsid w:val="006867F3"/>
    <w:rsid w:val="00687890"/>
    <w:rsid w:val="006901A2"/>
    <w:rsid w:val="00690368"/>
    <w:rsid w:val="00690773"/>
    <w:rsid w:val="0069079C"/>
    <w:rsid w:val="00690B53"/>
    <w:rsid w:val="00692212"/>
    <w:rsid w:val="00695B72"/>
    <w:rsid w:val="006A42DC"/>
    <w:rsid w:val="006B160A"/>
    <w:rsid w:val="006B4E6C"/>
    <w:rsid w:val="006B50B6"/>
    <w:rsid w:val="006C495A"/>
    <w:rsid w:val="006D686B"/>
    <w:rsid w:val="006D79EA"/>
    <w:rsid w:val="006E5D05"/>
    <w:rsid w:val="006E710D"/>
    <w:rsid w:val="00701053"/>
    <w:rsid w:val="00701507"/>
    <w:rsid w:val="00714021"/>
    <w:rsid w:val="00716A0F"/>
    <w:rsid w:val="00717D45"/>
    <w:rsid w:val="007208F7"/>
    <w:rsid w:val="007218AF"/>
    <w:rsid w:val="00730341"/>
    <w:rsid w:val="007365D1"/>
    <w:rsid w:val="00740E0E"/>
    <w:rsid w:val="0075002A"/>
    <w:rsid w:val="00750212"/>
    <w:rsid w:val="00750B08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564"/>
    <w:rsid w:val="007939B3"/>
    <w:rsid w:val="0079509C"/>
    <w:rsid w:val="00795EF1"/>
    <w:rsid w:val="00796708"/>
    <w:rsid w:val="007A1D6D"/>
    <w:rsid w:val="007B1B42"/>
    <w:rsid w:val="007C30EB"/>
    <w:rsid w:val="007C63F6"/>
    <w:rsid w:val="007D4AC5"/>
    <w:rsid w:val="007E063C"/>
    <w:rsid w:val="007E2A4B"/>
    <w:rsid w:val="007E307D"/>
    <w:rsid w:val="007E6A4E"/>
    <w:rsid w:val="007E6C94"/>
    <w:rsid w:val="007F1005"/>
    <w:rsid w:val="007F25E0"/>
    <w:rsid w:val="007F5328"/>
    <w:rsid w:val="00800DC5"/>
    <w:rsid w:val="00804F5A"/>
    <w:rsid w:val="00810C6D"/>
    <w:rsid w:val="00812381"/>
    <w:rsid w:val="00812887"/>
    <w:rsid w:val="008222AF"/>
    <w:rsid w:val="00826F21"/>
    <w:rsid w:val="00834CC8"/>
    <w:rsid w:val="00835E00"/>
    <w:rsid w:val="00837113"/>
    <w:rsid w:val="00841202"/>
    <w:rsid w:val="008414E4"/>
    <w:rsid w:val="00843E21"/>
    <w:rsid w:val="0084508E"/>
    <w:rsid w:val="00857A8A"/>
    <w:rsid w:val="008630EE"/>
    <w:rsid w:val="00864D13"/>
    <w:rsid w:val="00871CD5"/>
    <w:rsid w:val="00873991"/>
    <w:rsid w:val="008745A2"/>
    <w:rsid w:val="008768A8"/>
    <w:rsid w:val="008857CB"/>
    <w:rsid w:val="0088798F"/>
    <w:rsid w:val="00887E4B"/>
    <w:rsid w:val="008914DB"/>
    <w:rsid w:val="008915C8"/>
    <w:rsid w:val="008A36CF"/>
    <w:rsid w:val="008A3BC4"/>
    <w:rsid w:val="008B403C"/>
    <w:rsid w:val="008B61F2"/>
    <w:rsid w:val="008B7983"/>
    <w:rsid w:val="008C2511"/>
    <w:rsid w:val="008D026D"/>
    <w:rsid w:val="008D23AB"/>
    <w:rsid w:val="008D4B8B"/>
    <w:rsid w:val="008D5A78"/>
    <w:rsid w:val="008D5AEE"/>
    <w:rsid w:val="008E0537"/>
    <w:rsid w:val="008E7B64"/>
    <w:rsid w:val="008F5DCD"/>
    <w:rsid w:val="00900932"/>
    <w:rsid w:val="00900951"/>
    <w:rsid w:val="009118A6"/>
    <w:rsid w:val="00916909"/>
    <w:rsid w:val="00916EC0"/>
    <w:rsid w:val="00917518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4A2"/>
    <w:rsid w:val="009578DD"/>
    <w:rsid w:val="00961124"/>
    <w:rsid w:val="009621B6"/>
    <w:rsid w:val="00974F2D"/>
    <w:rsid w:val="00977524"/>
    <w:rsid w:val="00977E88"/>
    <w:rsid w:val="0098400C"/>
    <w:rsid w:val="00984920"/>
    <w:rsid w:val="0098577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2F8"/>
    <w:rsid w:val="009E2214"/>
    <w:rsid w:val="009E355A"/>
    <w:rsid w:val="009E63E2"/>
    <w:rsid w:val="009E7D51"/>
    <w:rsid w:val="009F04D2"/>
    <w:rsid w:val="009F05CF"/>
    <w:rsid w:val="009F0F3A"/>
    <w:rsid w:val="009F7905"/>
    <w:rsid w:val="00A00F15"/>
    <w:rsid w:val="00A01D0C"/>
    <w:rsid w:val="00A0643F"/>
    <w:rsid w:val="00A067EE"/>
    <w:rsid w:val="00A10FCE"/>
    <w:rsid w:val="00A16D91"/>
    <w:rsid w:val="00A174CC"/>
    <w:rsid w:val="00A2073D"/>
    <w:rsid w:val="00A20751"/>
    <w:rsid w:val="00A222A5"/>
    <w:rsid w:val="00A27E2D"/>
    <w:rsid w:val="00A305E5"/>
    <w:rsid w:val="00A31D99"/>
    <w:rsid w:val="00A357BA"/>
    <w:rsid w:val="00A35ADC"/>
    <w:rsid w:val="00A402A3"/>
    <w:rsid w:val="00A454D9"/>
    <w:rsid w:val="00A53681"/>
    <w:rsid w:val="00A633D4"/>
    <w:rsid w:val="00A6461A"/>
    <w:rsid w:val="00A83187"/>
    <w:rsid w:val="00A84504"/>
    <w:rsid w:val="00A8672F"/>
    <w:rsid w:val="00A93057"/>
    <w:rsid w:val="00A968B0"/>
    <w:rsid w:val="00AB2672"/>
    <w:rsid w:val="00AB2817"/>
    <w:rsid w:val="00AB43C4"/>
    <w:rsid w:val="00AB6AFD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3142"/>
    <w:rsid w:val="00B71188"/>
    <w:rsid w:val="00B76A41"/>
    <w:rsid w:val="00B87D4C"/>
    <w:rsid w:val="00B93646"/>
    <w:rsid w:val="00B93B2B"/>
    <w:rsid w:val="00BA0B38"/>
    <w:rsid w:val="00BA115F"/>
    <w:rsid w:val="00BA1DBB"/>
    <w:rsid w:val="00BA4510"/>
    <w:rsid w:val="00BA529A"/>
    <w:rsid w:val="00BB612A"/>
    <w:rsid w:val="00BD499F"/>
    <w:rsid w:val="00BD56DE"/>
    <w:rsid w:val="00BE0A42"/>
    <w:rsid w:val="00BE5AF9"/>
    <w:rsid w:val="00BF2406"/>
    <w:rsid w:val="00BF3707"/>
    <w:rsid w:val="00BF5536"/>
    <w:rsid w:val="00C06E43"/>
    <w:rsid w:val="00C16315"/>
    <w:rsid w:val="00C3091E"/>
    <w:rsid w:val="00C33123"/>
    <w:rsid w:val="00C379BC"/>
    <w:rsid w:val="00C402E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4E0"/>
    <w:rsid w:val="00C74833"/>
    <w:rsid w:val="00C850A0"/>
    <w:rsid w:val="00C85A86"/>
    <w:rsid w:val="00C978F0"/>
    <w:rsid w:val="00CA2956"/>
    <w:rsid w:val="00CA58FE"/>
    <w:rsid w:val="00CA6611"/>
    <w:rsid w:val="00CA6E80"/>
    <w:rsid w:val="00CB1CB1"/>
    <w:rsid w:val="00CB6BC1"/>
    <w:rsid w:val="00CB6CB8"/>
    <w:rsid w:val="00CC1A68"/>
    <w:rsid w:val="00CC2123"/>
    <w:rsid w:val="00CD2BFD"/>
    <w:rsid w:val="00CD5649"/>
    <w:rsid w:val="00CE5AD6"/>
    <w:rsid w:val="00CE617F"/>
    <w:rsid w:val="00CE78EF"/>
    <w:rsid w:val="00D048F7"/>
    <w:rsid w:val="00D0517E"/>
    <w:rsid w:val="00D140FC"/>
    <w:rsid w:val="00D17B9C"/>
    <w:rsid w:val="00D21D8C"/>
    <w:rsid w:val="00D221CE"/>
    <w:rsid w:val="00D31357"/>
    <w:rsid w:val="00D33220"/>
    <w:rsid w:val="00D334D1"/>
    <w:rsid w:val="00D34BCE"/>
    <w:rsid w:val="00D4291D"/>
    <w:rsid w:val="00D44C89"/>
    <w:rsid w:val="00D4578E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148"/>
    <w:rsid w:val="00DA352E"/>
    <w:rsid w:val="00DA4325"/>
    <w:rsid w:val="00DC755A"/>
    <w:rsid w:val="00DC7694"/>
    <w:rsid w:val="00DD0A97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694"/>
    <w:rsid w:val="00E37CFD"/>
    <w:rsid w:val="00E41A26"/>
    <w:rsid w:val="00E46BCB"/>
    <w:rsid w:val="00E51CAF"/>
    <w:rsid w:val="00E53887"/>
    <w:rsid w:val="00E60F04"/>
    <w:rsid w:val="00E62AAC"/>
    <w:rsid w:val="00E62EFE"/>
    <w:rsid w:val="00E67C2F"/>
    <w:rsid w:val="00E67EF5"/>
    <w:rsid w:val="00E804EA"/>
    <w:rsid w:val="00E80A71"/>
    <w:rsid w:val="00E82337"/>
    <w:rsid w:val="00E92499"/>
    <w:rsid w:val="00E949AF"/>
    <w:rsid w:val="00E94A15"/>
    <w:rsid w:val="00E94F65"/>
    <w:rsid w:val="00E96077"/>
    <w:rsid w:val="00EA0A06"/>
    <w:rsid w:val="00EA6243"/>
    <w:rsid w:val="00EA74AB"/>
    <w:rsid w:val="00EB3D1B"/>
    <w:rsid w:val="00EC5D43"/>
    <w:rsid w:val="00ED1D89"/>
    <w:rsid w:val="00ED41B4"/>
    <w:rsid w:val="00ED66BC"/>
    <w:rsid w:val="00EF233A"/>
    <w:rsid w:val="00EF2674"/>
    <w:rsid w:val="00EF303E"/>
    <w:rsid w:val="00EF3A40"/>
    <w:rsid w:val="00EF7F78"/>
    <w:rsid w:val="00F01B08"/>
    <w:rsid w:val="00F01C4D"/>
    <w:rsid w:val="00F053FA"/>
    <w:rsid w:val="00F10C97"/>
    <w:rsid w:val="00F11C71"/>
    <w:rsid w:val="00F12316"/>
    <w:rsid w:val="00F15083"/>
    <w:rsid w:val="00F16019"/>
    <w:rsid w:val="00F20E68"/>
    <w:rsid w:val="00F22093"/>
    <w:rsid w:val="00F236DF"/>
    <w:rsid w:val="00F42F23"/>
    <w:rsid w:val="00F43AD5"/>
    <w:rsid w:val="00F4402E"/>
    <w:rsid w:val="00F466D6"/>
    <w:rsid w:val="00F56DD0"/>
    <w:rsid w:val="00F6491C"/>
    <w:rsid w:val="00F66538"/>
    <w:rsid w:val="00F67BBB"/>
    <w:rsid w:val="00F748B2"/>
    <w:rsid w:val="00F84805"/>
    <w:rsid w:val="00F87D92"/>
    <w:rsid w:val="00F90AA7"/>
    <w:rsid w:val="00F92498"/>
    <w:rsid w:val="00F9496B"/>
    <w:rsid w:val="00F970C9"/>
    <w:rsid w:val="00FA06A8"/>
    <w:rsid w:val="00FA06D0"/>
    <w:rsid w:val="00FA3DF5"/>
    <w:rsid w:val="00FA4E43"/>
    <w:rsid w:val="00FA741F"/>
    <w:rsid w:val="00FB4E07"/>
    <w:rsid w:val="00FB755A"/>
    <w:rsid w:val="00FC60A2"/>
    <w:rsid w:val="00FC7BE9"/>
    <w:rsid w:val="00FD16AE"/>
    <w:rsid w:val="00FD1871"/>
    <w:rsid w:val="00FD3110"/>
    <w:rsid w:val="00FD7D19"/>
    <w:rsid w:val="00FF3A2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C5D4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7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10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10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10D"/>
    <w:rPr>
      <w:b/>
      <w:bCs/>
      <w:szCs w:val="20"/>
    </w:rPr>
  </w:style>
  <w:style w:type="paragraph" w:styleId="Revision">
    <w:name w:val="Revision"/>
    <w:hidden/>
    <w:uiPriority w:val="99"/>
    <w:semiHidden/>
    <w:rsid w:val="00B53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673AE5C0B6A4D538CC45C3EE13AE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54B37-D11D-4AFF-BE40-7F39A5EAE14C}"/>
      </w:docPartPr>
      <w:docPartBody>
        <w:p w:rsidR="00895289" w:rsidRDefault="00F02BCB" w:rsidP="00F02BCB">
          <w:pPr>
            <w:pStyle w:val="8673AE5C0B6A4D538CC45C3EE13AE9D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26489"/>
    <w:rsid w:val="00313A97"/>
    <w:rsid w:val="003E35F0"/>
    <w:rsid w:val="00527BA8"/>
    <w:rsid w:val="00802D29"/>
    <w:rsid w:val="00895289"/>
    <w:rsid w:val="00A02083"/>
    <w:rsid w:val="00D01FC7"/>
    <w:rsid w:val="00D21A9F"/>
    <w:rsid w:val="00F02BC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648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673AE5C0B6A4D538CC45C3EE13AE9D4">
    <w:name w:val="8673AE5C0B6A4D538CC45C3EE13AE9D4"/>
    <w:rsid w:val="00F02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704C9-A2C4-43A7-992F-754AB853483A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2363C8A-EE22-4AE7-852F-63836A8A7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0D026-FE30-46FB-AADC-175EF178E6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3CD85C-4FCE-437A-85E3-8BA75B4F1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1407</Words>
  <Characters>7773</Characters>
  <Application>Microsoft Office Word</Application>
  <DocSecurity>0</DocSecurity>
  <Lines>268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2019-11-06T05:58:00Z</dcterms:created>
  <dcterms:modified xsi:type="dcterms:W3CDTF">2026-01-09T00:01:00Z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2025-12-24T00:01:25Z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4acee9f9-a637-4ea5-88ef-ad08781ead86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