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</w:sdtPr>
      <w:sdtEndPr/>
      <w:sdtContent>
        <w:p w14:paraId="7CB37164" w14:textId="77777777" w:rsidR="00BD499F" w:rsidRPr="004C23F4" w:rsidRDefault="00617978" w:rsidP="00B40C60">
          <w:pPr>
            <w:pStyle w:val="Heading1"/>
            <w:jc w:val="center"/>
            <w:rPr>
              <w:rFonts w:ascii="Arial" w:hAnsi="Arial" w:cs="Arial"/>
            </w:rPr>
          </w:pPr>
          <w:r w:rsidRPr="00617978">
            <w:rPr>
              <w:rFonts w:ascii="Arial" w:hAnsi="Arial" w:cs="Arial"/>
            </w:rPr>
            <w:t>Ethylene glycol (</w:t>
          </w:r>
          <w:r w:rsidR="004B548E">
            <w:rPr>
              <w:rFonts w:ascii="Arial" w:hAnsi="Arial" w:cs="Arial"/>
            </w:rPr>
            <w:t>Vapour and</w:t>
          </w:r>
          <w:r w:rsidR="00EF0E06">
            <w:rPr>
              <w:rFonts w:ascii="Arial" w:hAnsi="Arial" w:cs="Arial"/>
            </w:rPr>
            <w:t xml:space="preserve"> </w:t>
          </w:r>
          <w:r w:rsidRPr="00617978">
            <w:rPr>
              <w:rFonts w:ascii="Arial" w:hAnsi="Arial" w:cs="Arial"/>
            </w:rPr>
            <w:t>particulate)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67F11FBB" w14:textId="77777777" w:rsidTr="00D07970">
        <w:trPr>
          <w:cantSplit/>
          <w:tblHeader/>
        </w:trPr>
        <w:tc>
          <w:tcPr>
            <w:tcW w:w="3980" w:type="dxa"/>
          </w:tcPr>
          <w:p w14:paraId="0B11F16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6" w:type="dxa"/>
          </w:tcPr>
          <w:p w14:paraId="4A66E1CC" w14:textId="77777777" w:rsidR="00F43AD5" w:rsidRPr="00717D45" w:rsidRDefault="009D61C1" w:rsidP="00B76A41">
            <w:pPr>
              <w:pStyle w:val="Tablefont"/>
            </w:pPr>
            <w:r w:rsidRPr="009D61C1">
              <w:t>107-21-1</w:t>
            </w:r>
          </w:p>
        </w:tc>
      </w:tr>
      <w:tr w:rsidR="00F43AD5" w:rsidRPr="004C23F4" w14:paraId="547F5768" w14:textId="77777777" w:rsidTr="00D07970">
        <w:trPr>
          <w:cantSplit/>
        </w:trPr>
        <w:tc>
          <w:tcPr>
            <w:tcW w:w="3980" w:type="dxa"/>
          </w:tcPr>
          <w:p w14:paraId="285B33D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6" w:type="dxa"/>
          </w:tcPr>
          <w:p w14:paraId="4DE13A1D" w14:textId="5EA75B8D" w:rsidR="00F43AD5" w:rsidRPr="00717D45" w:rsidRDefault="00EE792C" w:rsidP="00B76A41">
            <w:pPr>
              <w:pStyle w:val="Tablefont"/>
            </w:pPr>
            <w:r w:rsidRPr="00EE792C">
              <w:t>1,2-</w:t>
            </w:r>
            <w:proofErr w:type="spellStart"/>
            <w:r w:rsidRPr="00EE792C">
              <w:t>Di</w:t>
            </w:r>
            <w:r w:rsidR="004E4432">
              <w:t>hydroxyethane</w:t>
            </w:r>
            <w:proofErr w:type="spellEnd"/>
            <w:r w:rsidR="004E4432">
              <w:t xml:space="preserve">, 1,2-Ethanediol, </w:t>
            </w:r>
            <w:r w:rsidR="00D07970">
              <w:br/>
            </w:r>
            <w:r w:rsidR="004E4432">
              <w:t>e</w:t>
            </w:r>
            <w:r w:rsidRPr="00EE792C">
              <w:t xml:space="preserve">thylene alcohol, </w:t>
            </w:r>
            <w:r w:rsidR="002D3064">
              <w:t>e</w:t>
            </w:r>
            <w:r w:rsidR="004E4432">
              <w:t xml:space="preserve">thylene dihydrate, glycol, </w:t>
            </w:r>
            <w:r w:rsidR="00D07970">
              <w:br/>
            </w:r>
            <w:r w:rsidR="004E4432">
              <w:t>g</w:t>
            </w:r>
            <w:r w:rsidRPr="00EE792C">
              <w:t xml:space="preserve">lycol alcohol, </w:t>
            </w:r>
            <w:proofErr w:type="spellStart"/>
            <w:r w:rsidR="002D3064">
              <w:t>m</w:t>
            </w:r>
            <w:r w:rsidRPr="00EE792C">
              <w:t>onoethylene</w:t>
            </w:r>
            <w:proofErr w:type="spellEnd"/>
            <w:r w:rsidRPr="00EE792C">
              <w:t xml:space="preserve"> glycol, NCI-</w:t>
            </w:r>
            <w:proofErr w:type="spellStart"/>
            <w:r w:rsidRPr="00EE792C">
              <w:t>C00920</w:t>
            </w:r>
            <w:proofErr w:type="spellEnd"/>
          </w:p>
        </w:tc>
      </w:tr>
      <w:tr w:rsidR="00F43AD5" w:rsidRPr="004C23F4" w14:paraId="0AEC24FB" w14:textId="77777777" w:rsidTr="00D07970">
        <w:trPr>
          <w:cantSplit/>
        </w:trPr>
        <w:tc>
          <w:tcPr>
            <w:tcW w:w="3980" w:type="dxa"/>
          </w:tcPr>
          <w:p w14:paraId="344907B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6" w:type="dxa"/>
          </w:tcPr>
          <w:p w14:paraId="70B92C7A" w14:textId="77777777" w:rsidR="00F43AD5" w:rsidRPr="00717D45" w:rsidRDefault="009D61C1" w:rsidP="00B76A41">
            <w:pPr>
              <w:pStyle w:val="Tablefont"/>
            </w:pPr>
            <w:proofErr w:type="spellStart"/>
            <w:r>
              <w:t>C</w:t>
            </w:r>
            <w:r w:rsidRPr="009D61C1">
              <w:rPr>
                <w:vertAlign w:val="subscript"/>
              </w:rPr>
              <w:t>2</w:t>
            </w:r>
            <w:r>
              <w:t>H</w:t>
            </w:r>
            <w:r w:rsidRPr="009D61C1">
              <w:rPr>
                <w:vertAlign w:val="subscript"/>
              </w:rPr>
              <w:t>6</w:t>
            </w:r>
            <w:r>
              <w:t>O</w:t>
            </w:r>
            <w:r w:rsidRPr="009D61C1">
              <w:rPr>
                <w:vertAlign w:val="subscript"/>
              </w:rPr>
              <w:t>2</w:t>
            </w:r>
            <w:proofErr w:type="spellEnd"/>
          </w:p>
        </w:tc>
      </w:tr>
    </w:tbl>
    <w:p w14:paraId="1EA09C28" w14:textId="776EF54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A659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625DA9" w14:textId="77777777" w:rsidTr="2E768FF4">
        <w:trPr>
          <w:cantSplit/>
          <w:tblHeader/>
        </w:trPr>
        <w:tc>
          <w:tcPr>
            <w:tcW w:w="4010" w:type="dxa"/>
            <w:vAlign w:val="center"/>
          </w:tcPr>
          <w:p w14:paraId="1293743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6D94614" w14:textId="04D8293A" w:rsidR="002C7AFE" w:rsidRPr="00EF0E06" w:rsidRDefault="00EF0E06" w:rsidP="00017C82">
            <w:pPr>
              <w:pStyle w:val="Tablefont"/>
              <w:rPr>
                <w:b/>
              </w:rPr>
            </w:pPr>
            <w:r w:rsidRPr="00EF0E06">
              <w:rPr>
                <w:rFonts w:cs="Arial"/>
                <w:b/>
              </w:rPr>
              <w:t>20 ppm (5</w:t>
            </w:r>
            <w:r w:rsidR="004141F9">
              <w:rPr>
                <w:rFonts w:cs="Arial"/>
                <w:b/>
              </w:rPr>
              <w:t>2</w:t>
            </w:r>
            <w:r w:rsidRPr="00EF0E06">
              <w:rPr>
                <w:rFonts w:cs="Arial"/>
                <w:b/>
              </w:rPr>
              <w:t xml:space="preserve"> mg/</w:t>
            </w:r>
            <w:proofErr w:type="spellStart"/>
            <w:r w:rsidRPr="00EF0E06">
              <w:rPr>
                <w:rFonts w:cs="Arial"/>
                <w:b/>
              </w:rPr>
              <w:t>m</w:t>
            </w:r>
            <w:r w:rsidRPr="00EF0E06">
              <w:rPr>
                <w:rFonts w:cs="Arial"/>
                <w:b/>
                <w:vertAlign w:val="superscript"/>
              </w:rPr>
              <w:t>3</w:t>
            </w:r>
            <w:proofErr w:type="spellEnd"/>
            <w:r w:rsidRPr="00EF0E06">
              <w:rPr>
                <w:rFonts w:cs="Arial"/>
                <w:b/>
              </w:rPr>
              <w:t>) (vapour)</w:t>
            </w:r>
            <w:r w:rsidRPr="00EF0E06">
              <w:rPr>
                <w:b/>
              </w:rPr>
              <w:t xml:space="preserve"> </w:t>
            </w:r>
          </w:p>
        </w:tc>
      </w:tr>
      <w:tr w:rsidR="002C7AFE" w:rsidRPr="004C23F4" w14:paraId="77A10428" w14:textId="77777777" w:rsidTr="2E768FF4">
        <w:trPr>
          <w:cantSplit/>
        </w:trPr>
        <w:tc>
          <w:tcPr>
            <w:tcW w:w="4010" w:type="dxa"/>
            <w:vAlign w:val="center"/>
          </w:tcPr>
          <w:p w14:paraId="30AFE18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0B2FAA18" w14:textId="56BA4C58" w:rsidR="00F03ABB" w:rsidRDefault="2E768FF4" w:rsidP="2E768FF4">
            <w:pPr>
              <w:pStyle w:val="Tablefont"/>
              <w:rPr>
                <w:b/>
                <w:bCs/>
              </w:rPr>
            </w:pPr>
            <w:r w:rsidRPr="2E768FF4">
              <w:rPr>
                <w:b/>
                <w:bCs/>
              </w:rPr>
              <w:t>40 ppm (1</w:t>
            </w:r>
            <w:r w:rsidR="0089724A">
              <w:rPr>
                <w:b/>
                <w:bCs/>
              </w:rPr>
              <w:t>0</w:t>
            </w:r>
            <w:r w:rsidRPr="2E768FF4">
              <w:rPr>
                <w:b/>
                <w:bCs/>
              </w:rPr>
              <w:t>4 mg/</w:t>
            </w:r>
            <w:proofErr w:type="spellStart"/>
            <w:r w:rsidRPr="2E768FF4">
              <w:rPr>
                <w:b/>
                <w:bCs/>
              </w:rPr>
              <w:t>m</w:t>
            </w:r>
            <w:r w:rsidRPr="2E768FF4">
              <w:rPr>
                <w:b/>
                <w:bCs/>
                <w:vertAlign w:val="superscript"/>
              </w:rPr>
              <w:t>3</w:t>
            </w:r>
            <w:proofErr w:type="spellEnd"/>
            <w:r w:rsidRPr="2E768FF4">
              <w:rPr>
                <w:b/>
                <w:bCs/>
              </w:rPr>
              <w:t>) (vapour)</w:t>
            </w:r>
          </w:p>
          <w:p w14:paraId="666CD129" w14:textId="32A0FB37" w:rsidR="002C7AFE" w:rsidRPr="00EF0E06" w:rsidRDefault="00F03ABB" w:rsidP="2E768FF4">
            <w:pPr>
              <w:pStyle w:val="Tablefont"/>
              <w:rPr>
                <w:b/>
                <w:bCs/>
              </w:rPr>
            </w:pPr>
            <w:r>
              <w:rPr>
                <w:b/>
              </w:rPr>
              <w:t>10 mg/</w:t>
            </w:r>
            <w:proofErr w:type="spellStart"/>
            <w:r>
              <w:rPr>
                <w:b/>
              </w:rPr>
              <w:t>m</w:t>
            </w:r>
            <w:r w:rsidRPr="00092581"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 xml:space="preserve"> (particulate)</w:t>
            </w:r>
          </w:p>
        </w:tc>
      </w:tr>
      <w:tr w:rsidR="002C7AFE" w:rsidRPr="004C23F4" w14:paraId="339ED873" w14:textId="77777777" w:rsidTr="2E768FF4">
        <w:trPr>
          <w:cantSplit/>
        </w:trPr>
        <w:tc>
          <w:tcPr>
            <w:tcW w:w="4010" w:type="dxa"/>
            <w:vAlign w:val="center"/>
          </w:tcPr>
          <w:p w14:paraId="772972C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C2647D8" w14:textId="77777777" w:rsidR="002C7AFE" w:rsidRPr="00EB3D1B" w:rsidRDefault="00092581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EF0E06" w:rsidRPr="004C23F4" w14:paraId="2277D03D" w14:textId="77777777" w:rsidTr="2E768FF4">
        <w:trPr>
          <w:cantSplit/>
        </w:trPr>
        <w:tc>
          <w:tcPr>
            <w:tcW w:w="4010" w:type="dxa"/>
          </w:tcPr>
          <w:p w14:paraId="6FE28958" w14:textId="77777777" w:rsidR="00EF0E06" w:rsidRPr="002C58FF" w:rsidRDefault="00EF0E06" w:rsidP="00EF0E06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0BBDF71" w14:textId="0D12658F" w:rsidR="00EF0E06" w:rsidRPr="00806F18" w:rsidRDefault="00806F18" w:rsidP="00EF0E06">
            <w:pPr>
              <w:pStyle w:val="Tablefont"/>
              <w:rPr>
                <w:b/>
              </w:rPr>
            </w:pPr>
            <w:r w:rsidRPr="00806F18">
              <w:rPr>
                <w:b/>
              </w:rPr>
              <w:t>Sk.</w:t>
            </w:r>
          </w:p>
        </w:tc>
      </w:tr>
      <w:tr w:rsidR="00EF0E06" w:rsidRPr="004C23F4" w14:paraId="160482D1" w14:textId="77777777" w:rsidTr="2E768FF4">
        <w:trPr>
          <w:cantSplit/>
        </w:trPr>
        <w:tc>
          <w:tcPr>
            <w:tcW w:w="4010" w:type="dxa"/>
            <w:vAlign w:val="center"/>
          </w:tcPr>
          <w:p w14:paraId="697C73FF" w14:textId="77777777" w:rsidR="00EF0E06" w:rsidRPr="002C58FF" w:rsidRDefault="00EF0E06" w:rsidP="00EF0E06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6" w:type="dxa"/>
          </w:tcPr>
          <w:p w14:paraId="667AF48C" w14:textId="77777777" w:rsidR="00EF0E06" w:rsidRPr="00EB3D1B" w:rsidRDefault="00EF0E06" w:rsidP="00EF0E06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EF0E06" w:rsidRPr="004C23F4" w14:paraId="20224FA9" w14:textId="77777777" w:rsidTr="2E768FF4">
        <w:trPr>
          <w:cantSplit/>
        </w:trPr>
        <w:tc>
          <w:tcPr>
            <w:tcW w:w="9026" w:type="dxa"/>
            <w:gridSpan w:val="2"/>
            <w:vAlign w:val="center"/>
          </w:tcPr>
          <w:p w14:paraId="461B4B3D" w14:textId="77777777" w:rsidR="00EF0E06" w:rsidRPr="00EB3D1B" w:rsidRDefault="00EF0E06" w:rsidP="00EF0E06">
            <w:pPr>
              <w:pStyle w:val="Tablefont"/>
              <w:rPr>
                <w:b/>
              </w:rPr>
            </w:pPr>
            <w:r w:rsidRPr="005E5138">
              <w:rPr>
                <w:b/>
              </w:rPr>
              <w:t>Sampling and analysis:</w:t>
            </w:r>
            <w:r>
              <w:t xml:space="preserve"> </w:t>
            </w:r>
            <w:r w:rsidRPr="005E5138">
              <w:t>The recommended value is quantifiable through available sampling and analysis techniques.</w:t>
            </w:r>
          </w:p>
        </w:tc>
      </w:tr>
    </w:tbl>
    <w:p w14:paraId="5F56BA7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B7ECFB4" w14:textId="7BAF0159" w:rsidR="00D07970" w:rsidRDefault="00F03ABB" w:rsidP="000C139A">
      <w:pPr>
        <w:rPr>
          <w:rFonts w:cs="Arial"/>
        </w:rPr>
      </w:pPr>
      <w:r>
        <w:rPr>
          <w:rFonts w:cs="Arial"/>
        </w:rPr>
        <w:t xml:space="preserve">A </w:t>
      </w:r>
      <w:r w:rsidR="00A113DC" w:rsidRPr="00A113DC">
        <w:rPr>
          <w:rFonts w:cs="Arial"/>
        </w:rPr>
        <w:t xml:space="preserve">TWA of </w:t>
      </w:r>
      <w:r w:rsidR="00EF0E06">
        <w:rPr>
          <w:rFonts w:cs="Arial"/>
        </w:rPr>
        <w:t>20 ppm (5</w:t>
      </w:r>
      <w:r w:rsidR="004141F9">
        <w:rPr>
          <w:rFonts w:cs="Arial"/>
        </w:rPr>
        <w:t>2</w:t>
      </w:r>
      <w:r w:rsidR="00EF0E06">
        <w:rPr>
          <w:rFonts w:cs="Arial"/>
        </w:rPr>
        <w:t xml:space="preserve"> mg/</w:t>
      </w:r>
      <w:proofErr w:type="spellStart"/>
      <w:r w:rsidR="00EF0E06">
        <w:rPr>
          <w:rFonts w:cs="Arial"/>
        </w:rPr>
        <w:t>m</w:t>
      </w:r>
      <w:r w:rsidR="00EF0E06">
        <w:rPr>
          <w:rFonts w:cs="Arial"/>
          <w:vertAlign w:val="superscript"/>
        </w:rPr>
        <w:t>3</w:t>
      </w:r>
      <w:proofErr w:type="spellEnd"/>
      <w:r w:rsidR="00D07970">
        <w:rPr>
          <w:rFonts w:cs="Arial"/>
        </w:rPr>
        <w:t xml:space="preserve">) </w:t>
      </w:r>
      <w:r w:rsidR="00CD117F">
        <w:rPr>
          <w:rFonts w:cs="Arial"/>
        </w:rPr>
        <w:t>as</w:t>
      </w:r>
      <w:r w:rsidR="00475A60">
        <w:rPr>
          <w:rFonts w:cs="Arial"/>
        </w:rPr>
        <w:t xml:space="preserve"> </w:t>
      </w:r>
      <w:r w:rsidR="00EF0E06">
        <w:rPr>
          <w:rFonts w:cs="Arial"/>
        </w:rPr>
        <w:t>vapour</w:t>
      </w:r>
      <w:r w:rsidR="00A113DC" w:rsidRPr="00A113DC">
        <w:rPr>
          <w:rFonts w:cs="Arial"/>
        </w:rPr>
        <w:t xml:space="preserve"> </w:t>
      </w:r>
      <w:r>
        <w:rPr>
          <w:rFonts w:cs="Arial"/>
        </w:rPr>
        <w:t xml:space="preserve">is </w:t>
      </w:r>
      <w:r w:rsidR="00EF0E06">
        <w:rPr>
          <w:rFonts w:cs="Arial"/>
        </w:rPr>
        <w:t>recommended</w:t>
      </w:r>
      <w:r w:rsidR="00A113DC" w:rsidRPr="00A113DC">
        <w:rPr>
          <w:rFonts w:cs="Arial"/>
        </w:rPr>
        <w:t xml:space="preserve"> to protect for </w:t>
      </w:r>
      <w:r w:rsidR="00A113DC">
        <w:rPr>
          <w:rFonts w:cs="Arial"/>
        </w:rPr>
        <w:t>upper respiratory tract</w:t>
      </w:r>
      <w:r w:rsidR="00475A60">
        <w:rPr>
          <w:rFonts w:cs="Arial"/>
        </w:rPr>
        <w:t xml:space="preserve"> (URT)</w:t>
      </w:r>
      <w:r w:rsidR="00A113DC">
        <w:rPr>
          <w:rFonts w:cs="Arial"/>
        </w:rPr>
        <w:t xml:space="preserve"> </w:t>
      </w:r>
      <w:r w:rsidR="00A113DC" w:rsidRPr="00A113DC">
        <w:rPr>
          <w:rFonts w:cs="Arial"/>
        </w:rPr>
        <w:t xml:space="preserve">and eye irritation </w:t>
      </w:r>
      <w:r w:rsidR="00A113DC">
        <w:rPr>
          <w:rFonts w:cs="Arial"/>
        </w:rPr>
        <w:t>in exposed workers.</w:t>
      </w:r>
      <w:r w:rsidR="00475A60">
        <w:rPr>
          <w:rFonts w:cs="Arial"/>
        </w:rPr>
        <w:t xml:space="preserve"> </w:t>
      </w:r>
    </w:p>
    <w:p w14:paraId="32BA6F17" w14:textId="440F9D6A" w:rsidR="002008C5" w:rsidRPr="00EF0E06" w:rsidRDefault="00482BCE" w:rsidP="000C139A">
      <w:pPr>
        <w:rPr>
          <w:rFonts w:cs="Arial"/>
        </w:rPr>
      </w:pPr>
      <w:r>
        <w:rPr>
          <w:rFonts w:cs="Arial"/>
        </w:rPr>
        <w:t>A</w:t>
      </w:r>
      <w:r w:rsidR="00F03ABB">
        <w:rPr>
          <w:rFonts w:cs="Arial"/>
        </w:rPr>
        <w:t xml:space="preserve"> </w:t>
      </w:r>
      <w:r w:rsidR="00EF0E06">
        <w:rPr>
          <w:rFonts w:cs="Arial"/>
        </w:rPr>
        <w:t>STEL of 40 ppm (104</w:t>
      </w:r>
      <w:r>
        <w:rPr>
          <w:rFonts w:cs="Arial"/>
        </w:rPr>
        <w:t> </w:t>
      </w:r>
      <w:r w:rsidR="00EF0E06">
        <w:rPr>
          <w:rFonts w:cs="Arial"/>
        </w:rPr>
        <w:t>mg/</w:t>
      </w:r>
      <w:proofErr w:type="spellStart"/>
      <w:r w:rsidR="00EF0E06">
        <w:rPr>
          <w:rFonts w:cs="Arial"/>
        </w:rPr>
        <w:t>m</w:t>
      </w:r>
      <w:r w:rsidR="00EF0E06">
        <w:rPr>
          <w:rFonts w:cs="Arial"/>
          <w:vertAlign w:val="superscript"/>
        </w:rPr>
        <w:t>3</w:t>
      </w:r>
      <w:proofErr w:type="spellEnd"/>
      <w:r w:rsidR="00EF0E06">
        <w:rPr>
          <w:rFonts w:cs="Arial"/>
        </w:rPr>
        <w:t xml:space="preserve">) </w:t>
      </w:r>
      <w:r w:rsidR="00475A60">
        <w:rPr>
          <w:rFonts w:cs="Arial"/>
        </w:rPr>
        <w:t xml:space="preserve">for </w:t>
      </w:r>
      <w:r w:rsidR="00EF0E06">
        <w:rPr>
          <w:rFonts w:cs="Arial"/>
        </w:rPr>
        <w:t xml:space="preserve">vapour </w:t>
      </w:r>
      <w:r w:rsidR="00F03ABB">
        <w:rPr>
          <w:rFonts w:cs="Arial"/>
        </w:rPr>
        <w:t xml:space="preserve">and </w:t>
      </w:r>
      <w:r>
        <w:rPr>
          <w:rFonts w:cs="Arial"/>
        </w:rPr>
        <w:t xml:space="preserve">a STEL of </w:t>
      </w:r>
      <w:r w:rsidR="00F03ABB">
        <w:rPr>
          <w:rFonts w:cs="Arial"/>
        </w:rPr>
        <w:t>10</w:t>
      </w:r>
      <w:r>
        <w:rPr>
          <w:rFonts w:cs="Arial"/>
        </w:rPr>
        <w:t> </w:t>
      </w:r>
      <w:r w:rsidR="00F03ABB">
        <w:rPr>
          <w:rFonts w:cs="Arial"/>
        </w:rPr>
        <w:t>mg/</w:t>
      </w:r>
      <w:proofErr w:type="spellStart"/>
      <w:r w:rsidR="00F03ABB">
        <w:rPr>
          <w:rFonts w:cs="Arial"/>
        </w:rPr>
        <w:t>m</w:t>
      </w:r>
      <w:r w:rsidR="00F03ABB">
        <w:rPr>
          <w:rFonts w:cs="Arial"/>
          <w:vertAlign w:val="superscript"/>
        </w:rPr>
        <w:t>3</w:t>
      </w:r>
      <w:proofErr w:type="spellEnd"/>
      <w:r w:rsidR="00F03ABB">
        <w:rPr>
          <w:rFonts w:cs="Arial"/>
        </w:rPr>
        <w:t xml:space="preserve"> </w:t>
      </w:r>
      <w:r w:rsidR="00475A60">
        <w:rPr>
          <w:rFonts w:cs="Arial"/>
        </w:rPr>
        <w:t xml:space="preserve">for </w:t>
      </w:r>
      <w:r w:rsidR="00F03ABB">
        <w:rPr>
          <w:rFonts w:cs="Arial"/>
        </w:rPr>
        <w:t>particulate are</w:t>
      </w:r>
      <w:r w:rsidR="00EF0E06">
        <w:rPr>
          <w:rFonts w:cs="Arial"/>
        </w:rPr>
        <w:t xml:space="preserve"> recommended to protect for acute irritation effects in exposed workers.</w:t>
      </w:r>
    </w:p>
    <w:p w14:paraId="3544969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35181B6" w14:textId="77777777" w:rsidR="001B0203" w:rsidRDefault="00834A0C" w:rsidP="00CB73D6">
      <w:pPr>
        <w:rPr>
          <w:rFonts w:cs="Arial"/>
        </w:rPr>
      </w:pPr>
      <w:r w:rsidRPr="00834A0C">
        <w:rPr>
          <w:rFonts w:cs="Arial"/>
        </w:rPr>
        <w:t>Ethylene glycol is used as antifreeze in heating and cooling systems</w:t>
      </w:r>
      <w:r>
        <w:rPr>
          <w:rFonts w:cs="Arial"/>
        </w:rPr>
        <w:t xml:space="preserve">. It is </w:t>
      </w:r>
      <w:r w:rsidRPr="00834A0C">
        <w:rPr>
          <w:rFonts w:cs="Arial"/>
        </w:rPr>
        <w:t xml:space="preserve">used in the production of </w:t>
      </w:r>
      <w:r>
        <w:rPr>
          <w:rFonts w:cs="Arial"/>
        </w:rPr>
        <w:t xml:space="preserve">esters </w:t>
      </w:r>
      <w:r w:rsidRPr="00834A0C">
        <w:rPr>
          <w:rFonts w:cs="Arial"/>
        </w:rPr>
        <w:t xml:space="preserve">and resinous products </w:t>
      </w:r>
      <w:r>
        <w:rPr>
          <w:rFonts w:cs="Arial"/>
        </w:rPr>
        <w:t>and frequent</w:t>
      </w:r>
      <w:r w:rsidRPr="00834A0C">
        <w:rPr>
          <w:rFonts w:cs="Arial"/>
        </w:rPr>
        <w:t xml:space="preserve">ly </w:t>
      </w:r>
      <w:r>
        <w:rPr>
          <w:rFonts w:cs="Arial"/>
        </w:rPr>
        <w:t xml:space="preserve">used for </w:t>
      </w:r>
      <w:r w:rsidRPr="00834A0C">
        <w:rPr>
          <w:rFonts w:cs="Arial"/>
        </w:rPr>
        <w:t>polyester fibres and resin</w:t>
      </w:r>
      <w:r>
        <w:rPr>
          <w:rFonts w:cs="Arial"/>
        </w:rPr>
        <w:t>s.</w:t>
      </w:r>
      <w:r w:rsidR="00DA3514">
        <w:rPr>
          <w:rFonts w:cs="Arial"/>
        </w:rPr>
        <w:t xml:space="preserve"> </w:t>
      </w:r>
    </w:p>
    <w:p w14:paraId="7B480F5C" w14:textId="77777777" w:rsidR="00C73516" w:rsidRDefault="00DA3514" w:rsidP="006639B4">
      <w:r>
        <w:rPr>
          <w:rFonts w:cs="Arial"/>
        </w:rPr>
        <w:t xml:space="preserve">Critical effects </w:t>
      </w:r>
      <w:r w:rsidR="00904893">
        <w:rPr>
          <w:rFonts w:cs="Arial"/>
        </w:rPr>
        <w:t xml:space="preserve">of exposure </w:t>
      </w:r>
      <w:r>
        <w:rPr>
          <w:rFonts w:cs="Arial"/>
        </w:rPr>
        <w:t xml:space="preserve">are </w:t>
      </w:r>
      <w:r>
        <w:t xml:space="preserve">respiratory tract irritation and cornea </w:t>
      </w:r>
      <w:r w:rsidR="00040591">
        <w:t xml:space="preserve">damage </w:t>
      </w:r>
      <w:r>
        <w:t>and conjunctiva in eyes.</w:t>
      </w:r>
      <w:r w:rsidR="00CB73D6" w:rsidRPr="00CB73D6">
        <w:t xml:space="preserve"> </w:t>
      </w:r>
    </w:p>
    <w:p w14:paraId="08E9E3B6" w14:textId="47895829" w:rsidR="006252F3" w:rsidRPr="00C168C9" w:rsidRDefault="0089724A" w:rsidP="00C168C9">
      <w:r>
        <w:t>No clinical symptoms</w:t>
      </w:r>
      <w:r w:rsidRPr="002D7DC8" w:rsidDel="0089724A">
        <w:t xml:space="preserve"> </w:t>
      </w:r>
      <w:r>
        <w:t>reported in v</w:t>
      </w:r>
      <w:r w:rsidR="001B0203">
        <w:t xml:space="preserve">olunteers exposed at </w:t>
      </w:r>
      <w:r w:rsidR="002D7DC8">
        <w:t xml:space="preserve">concentrations of </w:t>
      </w:r>
      <w:r w:rsidR="001B0203">
        <w:t xml:space="preserve">3 to </w:t>
      </w:r>
      <w:r w:rsidR="00F1774F" w:rsidRPr="00BF1457">
        <w:t>67</w:t>
      </w:r>
      <w:r w:rsidR="006970E7">
        <w:t xml:space="preserve"> </w:t>
      </w:r>
      <w:r w:rsidR="00F1774F" w:rsidRPr="00BF1457">
        <w:t>mg/</w:t>
      </w:r>
      <w:proofErr w:type="spellStart"/>
      <w:r w:rsidR="00F1774F" w:rsidRPr="00BF1457">
        <w:t>m</w:t>
      </w:r>
      <w:r w:rsidR="00F1774F" w:rsidRPr="00F957C8">
        <w:rPr>
          <w:vertAlign w:val="superscript"/>
        </w:rPr>
        <w:t>3</w:t>
      </w:r>
      <w:proofErr w:type="spellEnd"/>
      <w:r w:rsidR="00F1774F" w:rsidRPr="00BF1457">
        <w:t xml:space="preserve"> </w:t>
      </w:r>
      <w:r w:rsidR="004C3905">
        <w:t>(1</w:t>
      </w:r>
      <w:r w:rsidR="00A14145">
        <w:t xml:space="preserve"> to </w:t>
      </w:r>
      <w:r w:rsidR="004C3905">
        <w:t>26 ppm)</w:t>
      </w:r>
      <w:r w:rsidR="00C168C9">
        <w:t xml:space="preserve"> by inhalation</w:t>
      </w:r>
      <w:r w:rsidR="004C3905">
        <w:t xml:space="preserve"> </w:t>
      </w:r>
      <w:r w:rsidR="00F1774F" w:rsidRPr="00BF1457">
        <w:t xml:space="preserve">for </w:t>
      </w:r>
      <w:r w:rsidR="00A14145">
        <w:t>20</w:t>
      </w:r>
      <w:r w:rsidR="00F1774F" w:rsidRPr="00BF1457">
        <w:t xml:space="preserve"> to </w:t>
      </w:r>
      <w:r w:rsidR="00A14145">
        <w:t>22</w:t>
      </w:r>
      <w:r w:rsidR="00F1774F" w:rsidRPr="00BF1457">
        <w:t xml:space="preserve"> hours </w:t>
      </w:r>
      <w:r w:rsidR="00C168C9">
        <w:t>for 30 days, although</w:t>
      </w:r>
      <w:r w:rsidR="00D07970">
        <w:t>,</w:t>
      </w:r>
      <w:r w:rsidR="00C168C9">
        <w:t xml:space="preserve"> occasional complaints of irritation </w:t>
      </w:r>
      <w:r>
        <w:t>of</w:t>
      </w:r>
      <w:r w:rsidR="00C168C9">
        <w:t xml:space="preserve"> the throat</w:t>
      </w:r>
      <w:r w:rsidR="00D07970">
        <w:t xml:space="preserve"> are reported</w:t>
      </w:r>
      <w:r w:rsidR="00C168C9">
        <w:t>. An increase in the concentration to 188 mg/</w:t>
      </w:r>
      <w:proofErr w:type="spellStart"/>
      <w:r w:rsidR="00C168C9">
        <w:t>m</w:t>
      </w:r>
      <w:r w:rsidR="00C168C9" w:rsidRPr="00475A60">
        <w:rPr>
          <w:vertAlign w:val="superscript"/>
        </w:rPr>
        <w:t>3</w:t>
      </w:r>
      <w:proofErr w:type="spellEnd"/>
      <w:r w:rsidR="00C168C9">
        <w:t xml:space="preserve"> (</w:t>
      </w:r>
      <w:r w:rsidR="00B61213">
        <w:t>73 ppm)</w:t>
      </w:r>
      <w:r w:rsidR="00C168C9">
        <w:t xml:space="preserve"> </w:t>
      </w:r>
      <w:r w:rsidR="00D07970">
        <w:t>i</w:t>
      </w:r>
      <w:r w:rsidR="00C168C9">
        <w:t xml:space="preserve">s tolerated by </w:t>
      </w:r>
      <w:r>
        <w:t>volunteers</w:t>
      </w:r>
      <w:r w:rsidR="00C168C9">
        <w:t xml:space="preserve"> for 15</w:t>
      </w:r>
      <w:r w:rsidR="00D07970">
        <w:t> </w:t>
      </w:r>
      <w:r w:rsidR="00C168C9">
        <w:t>minutes</w:t>
      </w:r>
      <w:r w:rsidR="00B61213">
        <w:t xml:space="preserve">. </w:t>
      </w:r>
      <w:r w:rsidR="00C168C9">
        <w:t>Concentrations above 140 mg/</w:t>
      </w:r>
      <w:proofErr w:type="spellStart"/>
      <w:r w:rsidR="00C168C9">
        <w:t>m</w:t>
      </w:r>
      <w:r w:rsidR="00C168C9" w:rsidRPr="00475A60">
        <w:rPr>
          <w:vertAlign w:val="superscript"/>
        </w:rPr>
        <w:t>3</w:t>
      </w:r>
      <w:proofErr w:type="spellEnd"/>
      <w:r w:rsidR="00C168C9">
        <w:t xml:space="preserve"> cause mucosal irritation in all </w:t>
      </w:r>
      <w:r>
        <w:t>exposed</w:t>
      </w:r>
      <w:r w:rsidR="00D07970">
        <w:t xml:space="preserve"> subjects</w:t>
      </w:r>
      <w:r w:rsidR="00C168C9">
        <w:t>.</w:t>
      </w:r>
      <w:r w:rsidR="002D7DC8">
        <w:t xml:space="preserve"> </w:t>
      </w:r>
      <w:r w:rsidR="00C168C9">
        <w:t xml:space="preserve">A </w:t>
      </w:r>
      <w:proofErr w:type="spellStart"/>
      <w:r w:rsidR="00C168C9">
        <w:t>NOAEC</w:t>
      </w:r>
      <w:proofErr w:type="spellEnd"/>
      <w:r w:rsidR="00C168C9">
        <w:t xml:space="preserve"> of 67 mg/</w:t>
      </w:r>
      <w:proofErr w:type="spellStart"/>
      <w:r w:rsidR="00C168C9" w:rsidRPr="002D7DC8">
        <w:t>m</w:t>
      </w:r>
      <w:r w:rsidR="00C168C9" w:rsidRPr="002D7DC8">
        <w:rPr>
          <w:vertAlign w:val="superscript"/>
        </w:rPr>
        <w:t>3</w:t>
      </w:r>
      <w:proofErr w:type="spellEnd"/>
      <w:r w:rsidR="00C168C9" w:rsidRPr="00AD56DA">
        <w:t xml:space="preserve"> </w:t>
      </w:r>
      <w:r w:rsidR="00D07970">
        <w:t>i</w:t>
      </w:r>
      <w:r w:rsidR="00C168C9">
        <w:t xml:space="preserve">s established in this study, </w:t>
      </w:r>
      <w:r w:rsidR="00C168C9">
        <w:rPr>
          <w:rFonts w:cs="Arial"/>
        </w:rPr>
        <w:t xml:space="preserve">based on mucous membrane irritation </w:t>
      </w:r>
      <w:r w:rsidR="002D7DC8">
        <w:t>(</w:t>
      </w:r>
      <w:proofErr w:type="spellStart"/>
      <w:r w:rsidR="002D7DC8">
        <w:t>ACGIH</w:t>
      </w:r>
      <w:proofErr w:type="spellEnd"/>
      <w:r w:rsidR="002D7DC8">
        <w:t xml:space="preserve">, 2018; </w:t>
      </w:r>
      <w:proofErr w:type="spellStart"/>
      <w:r w:rsidR="00C168C9">
        <w:t>DFG</w:t>
      </w:r>
      <w:proofErr w:type="spellEnd"/>
      <w:r w:rsidR="00C168C9">
        <w:t xml:space="preserve">, </w:t>
      </w:r>
      <w:proofErr w:type="spellStart"/>
      <w:r w:rsidR="002D7DC8">
        <w:t>SCOEL</w:t>
      </w:r>
      <w:proofErr w:type="spellEnd"/>
      <w:r w:rsidR="002D7DC8">
        <w:t xml:space="preserve">, 1995). </w:t>
      </w:r>
      <w:proofErr w:type="spellStart"/>
      <w:r w:rsidR="00486F3A">
        <w:t>ACGIH</w:t>
      </w:r>
      <w:proofErr w:type="spellEnd"/>
      <w:r w:rsidR="00486F3A">
        <w:t xml:space="preserve"> (2018) recommend </w:t>
      </w:r>
      <w:r w:rsidR="00EF0E06">
        <w:t xml:space="preserve">a STEL of </w:t>
      </w:r>
      <w:r w:rsidR="00486F3A">
        <w:t>10 mg/</w:t>
      </w:r>
      <w:proofErr w:type="spellStart"/>
      <w:r w:rsidR="00486F3A">
        <w:t>m</w:t>
      </w:r>
      <w:r w:rsidR="00486F3A">
        <w:rPr>
          <w:vertAlign w:val="superscript"/>
        </w:rPr>
        <w:t>3</w:t>
      </w:r>
      <w:proofErr w:type="spellEnd"/>
      <w:r w:rsidR="00486F3A" w:rsidRPr="00D07970">
        <w:t xml:space="preserve"> </w:t>
      </w:r>
      <w:r w:rsidR="00486F3A">
        <w:t>as</w:t>
      </w:r>
      <w:r w:rsidR="00EF0E06">
        <w:t xml:space="preserve"> aerosol</w:t>
      </w:r>
      <w:r w:rsidR="00486F3A">
        <w:t xml:space="preserve"> to limit the amount of mist</w:t>
      </w:r>
      <w:r w:rsidR="00D07970">
        <w:t xml:space="preserve"> that is</w:t>
      </w:r>
      <w:r w:rsidR="00486F3A">
        <w:t xml:space="preserve"> produced if the saturated vapo</w:t>
      </w:r>
      <w:r w:rsidR="001B0203">
        <w:t>u</w:t>
      </w:r>
      <w:r w:rsidR="00486F3A">
        <w:t>r concentration is exceeded</w:t>
      </w:r>
      <w:r w:rsidR="00DE2C18">
        <w:t>.</w:t>
      </w:r>
    </w:p>
    <w:p w14:paraId="0FD16043" w14:textId="2E515AFA" w:rsidR="00486F3A" w:rsidRDefault="00993829" w:rsidP="00BF3C87">
      <w:pPr>
        <w:rPr>
          <w:rStyle w:val="CommentReference"/>
        </w:rPr>
      </w:pPr>
      <w:r>
        <w:t xml:space="preserve">A </w:t>
      </w:r>
      <w:proofErr w:type="spellStart"/>
      <w:r w:rsidR="001B0203">
        <w:t>NOAEC</w:t>
      </w:r>
      <w:proofErr w:type="spellEnd"/>
      <w:r w:rsidR="001B0203">
        <w:t xml:space="preserve"> of 355 to </w:t>
      </w:r>
      <w:r w:rsidR="006252F3">
        <w:t>400 mg/</w:t>
      </w:r>
      <w:proofErr w:type="spellStart"/>
      <w:r w:rsidR="006252F3">
        <w:t>m</w:t>
      </w:r>
      <w:r w:rsidR="006252F3">
        <w:rPr>
          <w:vertAlign w:val="superscript"/>
        </w:rPr>
        <w:t>3</w:t>
      </w:r>
      <w:proofErr w:type="spellEnd"/>
      <w:r w:rsidR="006252F3">
        <w:t xml:space="preserve"> (140</w:t>
      </w:r>
      <w:r w:rsidR="00D07970">
        <w:t xml:space="preserve"> to </w:t>
      </w:r>
      <w:r w:rsidR="006252F3">
        <w:t>160 ppm) based on renal toxicity</w:t>
      </w:r>
      <w:r w:rsidR="001B0203">
        <w:t xml:space="preserve"> i</w:t>
      </w:r>
      <w:r>
        <w:t>s reported in rats and mice exposed</w:t>
      </w:r>
      <w:r w:rsidR="00665C14">
        <w:t xml:space="preserve"> </w:t>
      </w:r>
      <w:r>
        <w:t xml:space="preserve">for </w:t>
      </w:r>
      <w:r w:rsidR="001B0203">
        <w:t>16</w:t>
      </w:r>
      <w:r>
        <w:t xml:space="preserve"> weeks (</w:t>
      </w:r>
      <w:proofErr w:type="spellStart"/>
      <w:r>
        <w:t>ACGIH</w:t>
      </w:r>
      <w:proofErr w:type="spellEnd"/>
      <w:r>
        <w:t>, 2018).</w:t>
      </w:r>
      <w:r w:rsidR="00486F3A">
        <w:t xml:space="preserve"> </w:t>
      </w:r>
      <w:proofErr w:type="spellStart"/>
      <w:r w:rsidR="007525D1">
        <w:t>ACGIH</w:t>
      </w:r>
      <w:proofErr w:type="spellEnd"/>
      <w:r w:rsidR="007525D1">
        <w:t xml:space="preserve"> (2018) conclude</w:t>
      </w:r>
      <w:r w:rsidR="0089724A">
        <w:t>s</w:t>
      </w:r>
      <w:r w:rsidR="00DE2C18">
        <w:t xml:space="preserve"> that </w:t>
      </w:r>
      <w:r w:rsidR="002A10CA">
        <w:t xml:space="preserve">protection </w:t>
      </w:r>
      <w:r w:rsidR="004141F9">
        <w:t xml:space="preserve">from concentrations causing </w:t>
      </w:r>
      <w:r w:rsidR="00DE2C18">
        <w:t xml:space="preserve">respiratory </w:t>
      </w:r>
      <w:r w:rsidR="00486F3A">
        <w:t xml:space="preserve">irritation </w:t>
      </w:r>
      <w:r w:rsidR="00065885">
        <w:t xml:space="preserve">is </w:t>
      </w:r>
      <w:r w:rsidR="007525D1">
        <w:t>likely</w:t>
      </w:r>
      <w:r w:rsidR="00505111">
        <w:t xml:space="preserve"> </w:t>
      </w:r>
      <w:r w:rsidR="00065885">
        <w:t xml:space="preserve">to </w:t>
      </w:r>
      <w:r w:rsidR="007525D1">
        <w:t>protect</w:t>
      </w:r>
      <w:r w:rsidR="00486F3A">
        <w:t xml:space="preserve"> </w:t>
      </w:r>
      <w:r w:rsidR="00C73516">
        <w:t xml:space="preserve">for </w:t>
      </w:r>
      <w:r w:rsidR="00486F3A">
        <w:t>systemic effect</w:t>
      </w:r>
      <w:r w:rsidR="007525D1">
        <w:t>s</w:t>
      </w:r>
      <w:r w:rsidR="00486F3A">
        <w:t xml:space="preserve">. </w:t>
      </w:r>
      <w:r w:rsidR="00BF3C87">
        <w:t xml:space="preserve">Moderate to severe eye irritation in rabbits is </w:t>
      </w:r>
      <w:r w:rsidR="0089724A">
        <w:t xml:space="preserve">reported </w:t>
      </w:r>
      <w:r w:rsidR="00BF3C87">
        <w:t>following continuously exposure at 12 mg/</w:t>
      </w:r>
      <w:proofErr w:type="spellStart"/>
      <w:r w:rsidR="00BF3C87">
        <w:t>m</w:t>
      </w:r>
      <w:r w:rsidR="00BF3C87">
        <w:rPr>
          <w:vertAlign w:val="superscript"/>
        </w:rPr>
        <w:t>3</w:t>
      </w:r>
      <w:proofErr w:type="spellEnd"/>
      <w:r w:rsidR="00BF3C87">
        <w:t xml:space="preserve"> (4.7 ppm) for 90 days. It </w:t>
      </w:r>
      <w:r w:rsidR="00D07970">
        <w:t>i</w:t>
      </w:r>
      <w:r w:rsidR="00BF3C87">
        <w:t xml:space="preserve">s concluded that continuous exposure may not provide opportunity for recovery </w:t>
      </w:r>
      <w:r w:rsidR="00D07970">
        <w:t xml:space="preserve">to </w:t>
      </w:r>
      <w:r w:rsidR="00BF3C87">
        <w:t xml:space="preserve">damage. </w:t>
      </w:r>
      <w:r w:rsidR="00BF3C87" w:rsidRPr="00BF3C87">
        <w:rPr>
          <w:rStyle w:val="CommentReference"/>
          <w:sz w:val="20"/>
          <w:szCs w:val="20"/>
        </w:rPr>
        <w:t xml:space="preserve">Repeated application </w:t>
      </w:r>
      <w:r w:rsidR="00BF3C87" w:rsidRPr="00BF3C87">
        <w:rPr>
          <w:rStyle w:val="CommentReference"/>
          <w:sz w:val="20"/>
          <w:szCs w:val="20"/>
        </w:rPr>
        <w:lastRenderedPageBreak/>
        <w:t xml:space="preserve">of one drop </w:t>
      </w:r>
      <w:r w:rsidR="00BF3C87">
        <w:rPr>
          <w:rStyle w:val="CommentReference"/>
          <w:sz w:val="20"/>
          <w:szCs w:val="20"/>
        </w:rPr>
        <w:t xml:space="preserve">into the eye of rabbits produced appreciable irritation. </w:t>
      </w:r>
      <w:r w:rsidR="00BF3C87" w:rsidRPr="00BF3C87">
        <w:rPr>
          <w:rStyle w:val="CommentReference"/>
          <w:sz w:val="20"/>
          <w:szCs w:val="20"/>
        </w:rPr>
        <w:t>No eye damage</w:t>
      </w:r>
      <w:r w:rsidR="00D07970">
        <w:rPr>
          <w:rStyle w:val="CommentReference"/>
          <w:sz w:val="20"/>
          <w:szCs w:val="20"/>
        </w:rPr>
        <w:t xml:space="preserve"> is reported</w:t>
      </w:r>
      <w:r w:rsidR="00BF3C87" w:rsidRPr="00BF3C87">
        <w:rPr>
          <w:rStyle w:val="CommentReference"/>
          <w:sz w:val="20"/>
          <w:szCs w:val="20"/>
        </w:rPr>
        <w:t xml:space="preserve"> in chimpanzees exposed at 265 mg/</w:t>
      </w:r>
      <w:proofErr w:type="spellStart"/>
      <w:r w:rsidR="00BF3C87" w:rsidRPr="00BF3C87">
        <w:rPr>
          <w:rStyle w:val="CommentReference"/>
          <w:sz w:val="20"/>
          <w:szCs w:val="20"/>
        </w:rPr>
        <w:t>m</w:t>
      </w:r>
      <w:r w:rsidR="00BF3C87" w:rsidRPr="00475A60">
        <w:rPr>
          <w:rStyle w:val="CommentReference"/>
          <w:sz w:val="20"/>
          <w:szCs w:val="20"/>
          <w:vertAlign w:val="superscript"/>
        </w:rPr>
        <w:t>3</w:t>
      </w:r>
      <w:proofErr w:type="spellEnd"/>
      <w:r w:rsidR="00BF3C87" w:rsidRPr="00D07970">
        <w:rPr>
          <w:rStyle w:val="CommentReference"/>
          <w:sz w:val="20"/>
          <w:szCs w:val="20"/>
        </w:rPr>
        <w:t xml:space="preserve"> </w:t>
      </w:r>
      <w:r w:rsidR="00D07970">
        <w:rPr>
          <w:rStyle w:val="CommentReference"/>
          <w:sz w:val="20"/>
          <w:szCs w:val="20"/>
        </w:rPr>
        <w:t>over</w:t>
      </w:r>
      <w:r w:rsidR="00BF3C87">
        <w:rPr>
          <w:rStyle w:val="CommentReference"/>
          <w:sz w:val="20"/>
          <w:szCs w:val="20"/>
        </w:rPr>
        <w:t xml:space="preserve"> </w:t>
      </w:r>
      <w:r w:rsidR="00482BCE">
        <w:rPr>
          <w:rStyle w:val="CommentReference"/>
          <w:sz w:val="20"/>
          <w:szCs w:val="20"/>
        </w:rPr>
        <w:t>four</w:t>
      </w:r>
      <w:r w:rsidR="00BF3C87">
        <w:rPr>
          <w:rStyle w:val="CommentReference"/>
          <w:sz w:val="20"/>
          <w:szCs w:val="20"/>
        </w:rPr>
        <w:t xml:space="preserve"> weeks</w:t>
      </w:r>
      <w:r w:rsidR="00BF3C87" w:rsidRPr="00BF3C87">
        <w:rPr>
          <w:rStyle w:val="CommentReference"/>
          <w:sz w:val="20"/>
          <w:szCs w:val="20"/>
        </w:rPr>
        <w:t xml:space="preserve"> as aerosol</w:t>
      </w:r>
      <w:r w:rsidR="00BF3C87">
        <w:rPr>
          <w:rStyle w:val="CommentReference"/>
          <w:sz w:val="20"/>
          <w:szCs w:val="20"/>
        </w:rPr>
        <w:t xml:space="preserve"> (</w:t>
      </w:r>
      <w:proofErr w:type="spellStart"/>
      <w:r w:rsidR="00BF3C87">
        <w:rPr>
          <w:rStyle w:val="CommentReference"/>
          <w:sz w:val="20"/>
          <w:szCs w:val="20"/>
        </w:rPr>
        <w:t>ACGIH</w:t>
      </w:r>
      <w:proofErr w:type="spellEnd"/>
      <w:r w:rsidR="00BF3C87">
        <w:rPr>
          <w:rStyle w:val="CommentReference"/>
          <w:sz w:val="20"/>
          <w:szCs w:val="20"/>
        </w:rPr>
        <w:t>, 2018).</w:t>
      </w:r>
    </w:p>
    <w:p w14:paraId="6E66A515" w14:textId="021BEC09" w:rsidR="00EF0E06" w:rsidRDefault="00B92713" w:rsidP="00BF3C87">
      <w:pPr>
        <w:rPr>
          <w:rFonts w:cs="Arial"/>
        </w:rPr>
      </w:pPr>
      <w:r>
        <w:rPr>
          <w:rFonts w:cs="Arial"/>
        </w:rPr>
        <w:t xml:space="preserve">The </w:t>
      </w:r>
      <w:r w:rsidR="00BF3C87">
        <w:rPr>
          <w:rFonts w:cs="Arial"/>
        </w:rPr>
        <w:t>evidence</w:t>
      </w:r>
      <w:r>
        <w:rPr>
          <w:rFonts w:cs="Arial"/>
        </w:rPr>
        <w:t xml:space="preserve"> </w:t>
      </w:r>
      <w:r w:rsidR="00BF3C87">
        <w:rPr>
          <w:rFonts w:cs="Arial"/>
        </w:rPr>
        <w:t>f</w:t>
      </w:r>
      <w:r>
        <w:rPr>
          <w:rFonts w:cs="Arial"/>
        </w:rPr>
        <w:t xml:space="preserve">rom the controlled </w:t>
      </w:r>
      <w:r w:rsidR="00223E67">
        <w:rPr>
          <w:rFonts w:cs="Arial"/>
        </w:rPr>
        <w:t>volunteer</w:t>
      </w:r>
      <w:r>
        <w:rPr>
          <w:rFonts w:cs="Arial"/>
        </w:rPr>
        <w:t xml:space="preserve"> studies</w:t>
      </w:r>
      <w:r w:rsidR="00BF3C87">
        <w:rPr>
          <w:rFonts w:cs="Arial"/>
        </w:rPr>
        <w:t xml:space="preserve"> and studies in rodents</w:t>
      </w:r>
      <w:r>
        <w:rPr>
          <w:rFonts w:cs="Arial"/>
        </w:rPr>
        <w:t xml:space="preserve"> supports retaining t</w:t>
      </w:r>
      <w:r w:rsidR="001B0203">
        <w:rPr>
          <w:rFonts w:cs="Arial"/>
        </w:rPr>
        <w:t>he</w:t>
      </w:r>
      <w:r w:rsidR="00486F3A" w:rsidRPr="00A16019">
        <w:rPr>
          <w:rFonts w:cs="Arial"/>
        </w:rPr>
        <w:t xml:space="preserve"> TWA</w:t>
      </w:r>
      <w:r w:rsidR="00486F3A">
        <w:rPr>
          <w:rFonts w:cs="Arial"/>
        </w:rPr>
        <w:t xml:space="preserve"> of 20 ppm (5</w:t>
      </w:r>
      <w:r w:rsidR="0009317F">
        <w:rPr>
          <w:rFonts w:cs="Arial"/>
        </w:rPr>
        <w:t>2</w:t>
      </w:r>
      <w:r w:rsidR="00486F3A">
        <w:rPr>
          <w:rFonts w:cs="Arial"/>
        </w:rPr>
        <w:t xml:space="preserve"> mg/</w:t>
      </w:r>
      <w:proofErr w:type="spellStart"/>
      <w:r w:rsidR="00486F3A">
        <w:rPr>
          <w:rFonts w:cs="Arial"/>
        </w:rPr>
        <w:t>m</w:t>
      </w:r>
      <w:r w:rsidR="00486F3A">
        <w:rPr>
          <w:rFonts w:cs="Arial"/>
          <w:vertAlign w:val="superscript"/>
        </w:rPr>
        <w:t>3</w:t>
      </w:r>
      <w:proofErr w:type="spellEnd"/>
      <w:r w:rsidR="00486F3A">
        <w:rPr>
          <w:rFonts w:cs="Arial"/>
        </w:rPr>
        <w:t xml:space="preserve">) </w:t>
      </w:r>
      <w:r w:rsidR="00BF3C87">
        <w:rPr>
          <w:rFonts w:cs="Arial"/>
        </w:rPr>
        <w:t>and STEL of 40 ppm (104 mg/</w:t>
      </w:r>
      <w:proofErr w:type="spellStart"/>
      <w:r w:rsidR="00BF3C87" w:rsidRPr="00BF3C87">
        <w:rPr>
          <w:rFonts w:cs="Arial"/>
        </w:rPr>
        <w:t>m</w:t>
      </w:r>
      <w:r w:rsidR="00BF3C87" w:rsidRPr="00B3291B">
        <w:rPr>
          <w:rFonts w:cs="Arial"/>
          <w:vertAlign w:val="superscript"/>
        </w:rPr>
        <w:t>3</w:t>
      </w:r>
      <w:proofErr w:type="spellEnd"/>
      <w:r w:rsidR="00BF3C87">
        <w:rPr>
          <w:rFonts w:cs="Arial"/>
        </w:rPr>
        <w:t xml:space="preserve">) </w:t>
      </w:r>
      <w:r w:rsidR="00486F3A" w:rsidRPr="00BF3C87">
        <w:rPr>
          <w:rFonts w:cs="Arial"/>
        </w:rPr>
        <w:t>for</w:t>
      </w:r>
      <w:r w:rsidR="00486F3A">
        <w:rPr>
          <w:rFonts w:cs="Arial"/>
        </w:rPr>
        <w:t xml:space="preserve"> vapours</w:t>
      </w:r>
      <w:r w:rsidR="00482BCE">
        <w:rPr>
          <w:rFonts w:cs="Arial"/>
        </w:rPr>
        <w:t>.</w:t>
      </w:r>
      <w:r w:rsidR="00BF1457" w:rsidRPr="00BF1457">
        <w:rPr>
          <w:rFonts w:cs="Arial"/>
        </w:rPr>
        <w:t xml:space="preserve"> </w:t>
      </w:r>
    </w:p>
    <w:p w14:paraId="751F25EE" w14:textId="4644EC7B" w:rsidR="00BF3C87" w:rsidRDefault="00D07970" w:rsidP="00D07970">
      <w:r>
        <w:t xml:space="preserve">Ethylene glycol mist is expected to be irritating to mucous membranes based on evidence of eye irritation in rabbits. </w:t>
      </w:r>
      <w:r w:rsidR="00BF3C87">
        <w:t>A STEL of 10 mg/</w:t>
      </w:r>
      <w:proofErr w:type="spellStart"/>
      <w:r w:rsidR="00BF3C87">
        <w:t>m</w:t>
      </w:r>
      <w:r w:rsidR="00BF3C87">
        <w:rPr>
          <w:vertAlign w:val="superscript"/>
        </w:rPr>
        <w:t>3</w:t>
      </w:r>
      <w:proofErr w:type="spellEnd"/>
      <w:r w:rsidR="00BF3C87">
        <w:t xml:space="preserve"> as inhalable particulate is</w:t>
      </w:r>
      <w:r w:rsidR="00F03ABB">
        <w:t xml:space="preserve"> recommended, as</w:t>
      </w:r>
      <w:r w:rsidR="00BF3C87">
        <w:t xml:space="preserve"> reported </w:t>
      </w:r>
      <w:r w:rsidR="00F03ABB">
        <w:t xml:space="preserve">by the </w:t>
      </w:r>
      <w:proofErr w:type="spellStart"/>
      <w:r w:rsidR="00F03ABB">
        <w:t>ACGIH</w:t>
      </w:r>
      <w:proofErr w:type="spellEnd"/>
      <w:r w:rsidR="00F03ABB">
        <w:t xml:space="preserve"> (2018), </w:t>
      </w:r>
      <w:r w:rsidR="00BF3C87">
        <w:t xml:space="preserve">to limit the amount of mist </w:t>
      </w:r>
      <w:r>
        <w:t>should</w:t>
      </w:r>
      <w:r w:rsidR="00BF3C87">
        <w:t xml:space="preserve"> vapour concentration become saturated. </w:t>
      </w:r>
    </w:p>
    <w:p w14:paraId="6386E27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8A9DC4C" w14:textId="77777777" w:rsidR="009D61C1" w:rsidRPr="00A70823" w:rsidRDefault="009D61C1" w:rsidP="009D61C1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</w:t>
      </w:r>
      <w:r w:rsidR="004E4432">
        <w:rPr>
          <w:rFonts w:cs="Arial"/>
        </w:rPr>
        <w:t xml:space="preserve"> Classification and Labelling of</w:t>
      </w:r>
      <w:r w:rsidRPr="00A70823">
        <w:rPr>
          <w:rFonts w:cs="Arial"/>
        </w:rPr>
        <w:t xml:space="preserve"> Chemicals (GHS). </w:t>
      </w:r>
    </w:p>
    <w:p w14:paraId="377521E2" w14:textId="77777777" w:rsidR="009D61C1" w:rsidRPr="00A70823" w:rsidRDefault="009D61C1" w:rsidP="009D61C1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4E4432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23A19F83" w14:textId="043AC620" w:rsidR="00806F18" w:rsidRDefault="00806F18" w:rsidP="00806F18">
      <w:pPr>
        <w:rPr>
          <w:rFonts w:cs="Arial"/>
        </w:rPr>
      </w:pPr>
      <w:r w:rsidRPr="00A2713A">
        <w:rPr>
          <w:rFonts w:cs="Arial"/>
        </w:rPr>
        <w:t xml:space="preserve">A skin notation </w:t>
      </w:r>
      <w:r>
        <w:rPr>
          <w:rFonts w:cs="Arial"/>
        </w:rPr>
        <w:t xml:space="preserve">is </w:t>
      </w:r>
      <w:r w:rsidRPr="00A2713A">
        <w:rPr>
          <w:rFonts w:cs="Arial"/>
        </w:rPr>
        <w:t>recommended based on evidence suggesting dermal absorption and contribution to total body burden</w:t>
      </w:r>
      <w:r w:rsidR="004B548E">
        <w:rPr>
          <w:rFonts w:cs="Arial"/>
        </w:rPr>
        <w:t xml:space="preserve"> in animals</w:t>
      </w:r>
      <w:r w:rsidRPr="00A2713A">
        <w:rPr>
          <w:rFonts w:cs="Arial"/>
        </w:rPr>
        <w:t>.</w:t>
      </w:r>
      <w:r>
        <w:rPr>
          <w:rFonts w:cs="Arial"/>
        </w:rPr>
        <w:t xml:space="preserve"> T</w:t>
      </w:r>
      <w:r w:rsidR="001B0203">
        <w:rPr>
          <w:rFonts w:cs="Arial"/>
        </w:rPr>
        <w:t>here is conflicting</w:t>
      </w:r>
      <w:r w:rsidR="000C47DC">
        <w:rPr>
          <w:rFonts w:cs="Arial"/>
        </w:rPr>
        <w:t xml:space="preserve"> information betwee</w:t>
      </w:r>
      <w:r w:rsidR="001B0203">
        <w:rPr>
          <w:rFonts w:cs="Arial"/>
        </w:rPr>
        <w:t>n primary sources, especially about</w:t>
      </w:r>
      <w:r w:rsidR="000C47DC">
        <w:rPr>
          <w:rFonts w:cs="Arial"/>
        </w:rPr>
        <w:t xml:space="preserve"> systemic </w:t>
      </w:r>
      <w:r>
        <w:rPr>
          <w:rFonts w:cs="Arial"/>
        </w:rPr>
        <w:t>toxicity</w:t>
      </w:r>
      <w:r w:rsidR="001B0203">
        <w:rPr>
          <w:rFonts w:cs="Arial"/>
        </w:rPr>
        <w:t xml:space="preserve"> </w:t>
      </w:r>
      <w:proofErr w:type="gramStart"/>
      <w:r w:rsidR="001B0203">
        <w:rPr>
          <w:rFonts w:cs="Arial"/>
        </w:rPr>
        <w:t>as a result of</w:t>
      </w:r>
      <w:proofErr w:type="gramEnd"/>
      <w:r w:rsidR="001B0203">
        <w:rPr>
          <w:rFonts w:cs="Arial"/>
        </w:rPr>
        <w:t xml:space="preserve"> dermal exposure</w:t>
      </w:r>
      <w:r>
        <w:rPr>
          <w:rFonts w:cs="Arial"/>
        </w:rPr>
        <w:t xml:space="preserve">. </w:t>
      </w:r>
      <w:r w:rsidR="00F61E11">
        <w:rPr>
          <w:rFonts w:cs="Arial"/>
        </w:rPr>
        <w:t xml:space="preserve">A </w:t>
      </w:r>
      <w:r>
        <w:rPr>
          <w:rFonts w:cs="Arial"/>
        </w:rPr>
        <w:t>review of additional sources on dermal exposure at the next scheduled review</w:t>
      </w:r>
      <w:r w:rsidR="00F61E11" w:rsidRPr="00F61E11">
        <w:rPr>
          <w:rFonts w:cs="Arial"/>
        </w:rPr>
        <w:t xml:space="preserve"> </w:t>
      </w:r>
      <w:r w:rsidR="00F61E11">
        <w:rPr>
          <w:rFonts w:cs="Arial"/>
        </w:rPr>
        <w:t>is recommended</w:t>
      </w:r>
      <w:r>
        <w:rPr>
          <w:rFonts w:cs="Arial"/>
        </w:rPr>
        <w:t>.</w:t>
      </w:r>
    </w:p>
    <w:p w14:paraId="420E2E0F" w14:textId="77777777" w:rsidR="006970E7" w:rsidRDefault="006970E7" w:rsidP="00806F18">
      <w:pPr>
        <w:rPr>
          <w:rFonts w:cs="Arial"/>
        </w:rPr>
      </w:pPr>
    </w:p>
    <w:p w14:paraId="0A713837" w14:textId="77777777" w:rsidR="00A2713A" w:rsidRPr="004C23F4" w:rsidRDefault="00A2713A">
      <w:pPr>
        <w:rPr>
          <w:rFonts w:cs="Arial"/>
        </w:rPr>
        <w:sectPr w:rsidR="00A2713A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4863E5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D13725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580B4E0" w14:textId="77777777" w:rsidTr="00097854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E1562E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307342A" w14:textId="77777777" w:rsidTr="00097854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5A7D79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8608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893263366"/>
                    <w:placeholder>
                      <w:docPart w:val="65D556B075124EBB9673417C507B44FC"/>
                    </w:placeholder>
                  </w:sdtPr>
                  <w:sdtEndPr/>
                  <w:sdtContent>
                    <w:r w:rsidR="002A735F">
                      <w:t>TWA: 20 ppm (52 mg/</w:t>
                    </w:r>
                    <w:proofErr w:type="spellStart"/>
                    <w:r w:rsidR="002A735F">
                      <w:t>m</w:t>
                    </w:r>
                    <w:r w:rsidR="002A735F" w:rsidRPr="00807742">
                      <w:rPr>
                        <w:vertAlign w:val="superscript"/>
                      </w:rPr>
                      <w:t>3</w:t>
                    </w:r>
                    <w:proofErr w:type="spellEnd"/>
                    <w:r w:rsidR="002A735F">
                      <w:t xml:space="preserve">) (Vapour); </w:t>
                    </w:r>
                    <w:r w:rsidR="002A735F">
                      <w:br/>
                    </w:r>
                    <w:r w:rsidR="002A735F">
                      <w:tab/>
                    </w:r>
                    <w:r w:rsidR="002A735F">
                      <w:tab/>
                    </w:r>
                    <w:r w:rsidR="002A735F">
                      <w:tab/>
                      <w:t>STEL: 40 ppm (104 mg/</w:t>
                    </w:r>
                    <w:proofErr w:type="spellStart"/>
                    <w:r w:rsidR="002A735F">
                      <w:t>m</w:t>
                    </w:r>
                    <w:r w:rsidR="002A735F" w:rsidRPr="00807742">
                      <w:rPr>
                        <w:vertAlign w:val="superscript"/>
                      </w:rPr>
                      <w:t>3</w:t>
                    </w:r>
                    <w:proofErr w:type="spellEnd"/>
                    <w:r w:rsidR="002A735F">
                      <w:t>) (Vapour);</w:t>
                    </w:r>
                  </w:sdtContent>
                </w:sdt>
                <w:r w:rsidR="002A735F">
                  <w:t xml:space="preserve"> </w:t>
                </w:r>
                <w:r w:rsidR="002A735F">
                  <w:tab/>
                </w:r>
                <w:r w:rsidR="002A735F">
                  <w:tab/>
                </w:r>
                <w:r w:rsidR="002A735F">
                  <w:tab/>
                </w:r>
                <w:r w:rsidR="002A735F">
                  <w:br/>
                </w:r>
                <w:r w:rsidR="002A735F">
                  <w:tab/>
                </w:r>
                <w:r w:rsidR="002A735F">
                  <w:tab/>
                </w:r>
                <w:r w:rsidR="002A735F">
                  <w:tab/>
                </w:r>
                <w:r w:rsidR="00086083">
                  <w:t>TWA: 10 mg/</w:t>
                </w:r>
                <w:proofErr w:type="spellStart"/>
                <w:r w:rsidR="00086083">
                  <w:t>m</w:t>
                </w:r>
                <w:r w:rsidR="00086083" w:rsidRPr="00086083">
                  <w:rPr>
                    <w:vertAlign w:val="superscript"/>
                  </w:rPr>
                  <w:t>3</w:t>
                </w:r>
                <w:proofErr w:type="spellEnd"/>
                <w:r w:rsidR="002A735F">
                  <w:rPr>
                    <w:vertAlign w:val="superscript"/>
                  </w:rPr>
                  <w:t xml:space="preserve"> </w:t>
                </w:r>
                <w:r w:rsidR="002A735F">
                  <w:t>(Particulate)</w:t>
                </w:r>
              </w:sdtContent>
            </w:sdt>
          </w:p>
        </w:tc>
      </w:tr>
      <w:tr w:rsidR="00C978F0" w:rsidRPr="00DA352E" w14:paraId="2C0F5663" w14:textId="77777777" w:rsidTr="00097854">
        <w:trPr>
          <w:gridAfter w:val="1"/>
          <w:wAfter w:w="8" w:type="pct"/>
        </w:trPr>
        <w:tc>
          <w:tcPr>
            <w:tcW w:w="4992" w:type="pct"/>
          </w:tcPr>
          <w:p w14:paraId="26692DD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1027472" w14:textId="77777777" w:rsidTr="0009785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371D4E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F3328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A735F">
                  <w:t xml:space="preserve">TLV-TWA: 25 </w:t>
                </w:r>
                <w:r w:rsidR="00362815">
                  <w:t>ppm (Vapour); TLV-STEL: 50 ppm (</w:t>
                </w:r>
                <w:r w:rsidR="002A735F">
                  <w:t xml:space="preserve">Vapour); </w:t>
                </w:r>
                <w:r w:rsidR="002A735F">
                  <w:tab/>
                </w:r>
                <w:r w:rsidR="002A735F">
                  <w:tab/>
                </w:r>
                <w:r w:rsidR="002A735F">
                  <w:tab/>
                </w:r>
                <w:r w:rsidR="002A735F">
                  <w:tab/>
                </w:r>
                <w:r w:rsidR="00FF3328">
                  <w:t>TLV-STEL: 10 mg/</w:t>
                </w:r>
                <w:proofErr w:type="spellStart"/>
                <w:r w:rsidR="00FF3328">
                  <w:t>m</w:t>
                </w:r>
                <w:r w:rsidR="00FF3328" w:rsidRPr="00FF3328">
                  <w:rPr>
                    <w:vertAlign w:val="superscript"/>
                  </w:rPr>
                  <w:t>3</w:t>
                </w:r>
                <w:proofErr w:type="spellEnd"/>
                <w:r w:rsidR="002A735F">
                  <w:rPr>
                    <w:vertAlign w:val="superscript"/>
                  </w:rPr>
                  <w:t xml:space="preserve"> </w:t>
                </w:r>
                <w:r w:rsidR="002A735F">
                  <w:t>(Inhalable particulate matter, Aerosol)</w:t>
                </w:r>
              </w:sdtContent>
            </w:sdt>
          </w:p>
        </w:tc>
      </w:tr>
      <w:tr w:rsidR="00C978F0" w:rsidRPr="00DA352E" w14:paraId="5764E42A" w14:textId="77777777" w:rsidTr="00097854">
        <w:trPr>
          <w:gridAfter w:val="1"/>
          <w:wAfter w:w="8" w:type="pct"/>
        </w:trPr>
        <w:tc>
          <w:tcPr>
            <w:tcW w:w="4992" w:type="pct"/>
          </w:tcPr>
          <w:p w14:paraId="763A05EA" w14:textId="77777777" w:rsidR="002A735F" w:rsidRDefault="002A735F" w:rsidP="002A735F">
            <w:pPr>
              <w:pStyle w:val="Tabletextprimarysource"/>
            </w:pPr>
            <w:r w:rsidRPr="002270F6">
              <w:t>TLV-</w:t>
            </w:r>
            <w:r>
              <w:t>TWA (</w:t>
            </w:r>
            <w:r w:rsidR="001B0203">
              <w:t>v</w:t>
            </w:r>
            <w:r>
              <w:t>apour) and TLV-STEL</w:t>
            </w:r>
            <w:r w:rsidRPr="002270F6">
              <w:t xml:space="preserve"> </w:t>
            </w:r>
            <w:r>
              <w:t>(</w:t>
            </w:r>
            <w:r w:rsidR="001B0203">
              <w:t>vapour)</w:t>
            </w:r>
            <w:r>
              <w:t xml:space="preserve"> </w:t>
            </w:r>
            <w:r w:rsidRPr="002270F6">
              <w:t>recommended to minimise</w:t>
            </w:r>
            <w:r>
              <w:t xml:space="preserve"> respiratory and eye irritation. </w:t>
            </w:r>
          </w:p>
          <w:p w14:paraId="2B01CD4F" w14:textId="77777777" w:rsidR="002A735F" w:rsidRDefault="002270F6" w:rsidP="003365A5">
            <w:pPr>
              <w:pStyle w:val="Tabletextprimarysource"/>
            </w:pPr>
            <w:r w:rsidRPr="002270F6">
              <w:t>TLV-</w:t>
            </w:r>
            <w:r w:rsidR="00092581">
              <w:t>STEL</w:t>
            </w:r>
            <w:r w:rsidRPr="002270F6">
              <w:t xml:space="preserve"> </w:t>
            </w:r>
            <w:r w:rsidR="002A735F">
              <w:t>(</w:t>
            </w:r>
            <w:r w:rsidR="001B0203">
              <w:t>a</w:t>
            </w:r>
            <w:r w:rsidR="002A735F">
              <w:t>erosol</w:t>
            </w:r>
            <w:r w:rsidR="0095433B">
              <w:t xml:space="preserve">) </w:t>
            </w:r>
            <w:r w:rsidRPr="002270F6">
              <w:t>recommended to minimise</w:t>
            </w:r>
            <w:r>
              <w:t xml:space="preserve"> </w:t>
            </w:r>
            <w:r w:rsidR="001B12CD">
              <w:t>respiratory and eye irritation</w:t>
            </w:r>
            <w:r w:rsidR="00A25898">
              <w:t xml:space="preserve"> when in aerosol </w:t>
            </w:r>
            <w:r w:rsidR="00A31451">
              <w:t>and</w:t>
            </w:r>
            <w:r w:rsidR="00A25898">
              <w:t xml:space="preserve"> particulate form.</w:t>
            </w:r>
            <w:r w:rsidR="001B12CD">
              <w:t xml:space="preserve"> </w:t>
            </w:r>
          </w:p>
          <w:p w14:paraId="7F2E075E" w14:textId="68D7B50E" w:rsidR="00C978F0" w:rsidRDefault="0095433B" w:rsidP="003365A5">
            <w:pPr>
              <w:pStyle w:val="Tabletextprimarysource"/>
            </w:pPr>
            <w:r>
              <w:t>The T</w:t>
            </w:r>
            <w:r w:rsidR="00BF3C87">
              <w:t>LV</w:t>
            </w:r>
            <w:r>
              <w:t>-STEL</w:t>
            </w:r>
            <w:r w:rsidR="00362815">
              <w:t xml:space="preserve"> of 10 mg/</w:t>
            </w:r>
            <w:proofErr w:type="spellStart"/>
            <w:r w:rsidR="00362815">
              <w:t>m</w:t>
            </w:r>
            <w:r w:rsidR="00362815">
              <w:rPr>
                <w:vertAlign w:val="superscript"/>
              </w:rPr>
              <w:t>3</w:t>
            </w:r>
            <w:proofErr w:type="spellEnd"/>
            <w:r w:rsidR="00362815">
              <w:t xml:space="preserve"> as an aerosol</w:t>
            </w:r>
            <w:r>
              <w:t xml:space="preserve"> is </w:t>
            </w:r>
            <w:r w:rsidR="004B4D87">
              <w:t>reported to limit the amount of airborne mist if vapour concentration becomes saturated. Mist is expected to be irritating to mucous membranes</w:t>
            </w:r>
            <w:r w:rsidR="00362815">
              <w:t xml:space="preserve"> based on</w:t>
            </w:r>
            <w:r w:rsidR="004B4D87">
              <w:t xml:space="preserve"> surrogate </w:t>
            </w:r>
            <w:r>
              <w:t xml:space="preserve">evidence of eye irritation </w:t>
            </w:r>
            <w:r w:rsidR="004B4D87">
              <w:t>in rabbits.</w:t>
            </w:r>
          </w:p>
          <w:p w14:paraId="4C07CDE2" w14:textId="679AD773" w:rsidR="00F61E11" w:rsidRDefault="002270F6" w:rsidP="002270F6">
            <w:pPr>
              <w:pStyle w:val="Tabletextprimarysource"/>
            </w:pPr>
            <w:r>
              <w:t>Summary of data</w:t>
            </w:r>
            <w:r w:rsidR="003905B7">
              <w:t>:</w:t>
            </w:r>
          </w:p>
          <w:p w14:paraId="3926B56E" w14:textId="1D0B1FA5" w:rsidR="008331CD" w:rsidRDefault="009B3AE3" w:rsidP="00065885">
            <w:pPr>
              <w:pStyle w:val="Tabletextprimarysource"/>
              <w:numPr>
                <w:ilvl w:val="0"/>
                <w:numId w:val="12"/>
              </w:numPr>
            </w:pPr>
            <w:r>
              <w:t xml:space="preserve">Worker exposures are generally </w:t>
            </w:r>
            <w:r w:rsidR="00065885" w:rsidRPr="00065885">
              <w:rPr>
                <w:i/>
              </w:rPr>
              <w:t xml:space="preserve">via </w:t>
            </w:r>
            <w:r>
              <w:t xml:space="preserve">skin and eyes with inhalation occurring when material is heated or as an aerosol </w:t>
            </w:r>
          </w:p>
          <w:p w14:paraId="08476E3D" w14:textId="4438266B" w:rsidR="00894056" w:rsidRDefault="00894056" w:rsidP="00065885">
            <w:pPr>
              <w:pStyle w:val="Tabletextprimarysource"/>
              <w:numPr>
                <w:ilvl w:val="0"/>
                <w:numId w:val="12"/>
              </w:numPr>
            </w:pPr>
            <w:r>
              <w:t>Vaporised chemical not significantly absorbed</w:t>
            </w:r>
            <w:r w:rsidRPr="004141F9">
              <w:rPr>
                <w:i/>
              </w:rPr>
              <w:t xml:space="preserve"> via</w:t>
            </w:r>
            <w:r>
              <w:t xml:space="preserve"> the respiratory tract to cause systemic changes</w:t>
            </w:r>
          </w:p>
          <w:p w14:paraId="375CBE93" w14:textId="5237DC40" w:rsidR="00834A0C" w:rsidRDefault="001B12CD" w:rsidP="00065885">
            <w:pPr>
              <w:pStyle w:val="Tabletextprimarysource"/>
              <w:numPr>
                <w:ilvl w:val="0"/>
                <w:numId w:val="12"/>
              </w:numPr>
            </w:pPr>
            <w:proofErr w:type="spellStart"/>
            <w:r>
              <w:t>ACGIH</w:t>
            </w:r>
            <w:proofErr w:type="spellEnd"/>
            <w:r>
              <w:t xml:space="preserve"> recommends applying the TLV for both vapour and aerosol separately </w:t>
            </w:r>
            <w:r w:rsidR="00B446F4">
              <w:t xml:space="preserve">when monitoring exposures </w:t>
            </w:r>
            <w:r>
              <w:t xml:space="preserve">and not to </w:t>
            </w:r>
            <w:r w:rsidR="00B446F4">
              <w:t>c</w:t>
            </w:r>
            <w:r>
              <w:t>ombine</w:t>
            </w:r>
            <w:r w:rsidR="00B446F4">
              <w:t xml:space="preserve"> additive effects</w:t>
            </w:r>
            <w:r>
              <w:t xml:space="preserve"> </w:t>
            </w:r>
          </w:p>
          <w:p w14:paraId="7C07F1E1" w14:textId="16ABFBAB" w:rsidR="00E4414B" w:rsidRDefault="00E4414B" w:rsidP="00065885">
            <w:pPr>
              <w:pStyle w:val="Tabletextprimarysource"/>
              <w:numPr>
                <w:ilvl w:val="0"/>
                <w:numId w:val="12"/>
              </w:numPr>
            </w:pPr>
            <w:r>
              <w:t xml:space="preserve">A skin notation </w:t>
            </w:r>
            <w:r w:rsidR="00362815">
              <w:t>is not warranted</w:t>
            </w:r>
            <w:r>
              <w:t xml:space="preserve"> due to low percutaneous absorption in controlled studies</w:t>
            </w:r>
          </w:p>
          <w:p w14:paraId="15B1A5AF" w14:textId="62091B47" w:rsidR="00A927B2" w:rsidRDefault="00A927B2" w:rsidP="00065885">
            <w:pPr>
              <w:pStyle w:val="Tabletextprimarysource"/>
              <w:numPr>
                <w:ilvl w:val="0"/>
                <w:numId w:val="12"/>
              </w:numPr>
            </w:pPr>
            <w:r>
              <w:t>Derivation of the OEL</w:t>
            </w:r>
            <w:r w:rsidR="007525D1">
              <w:t xml:space="preserve"> is</w:t>
            </w:r>
            <w:r>
              <w:t xml:space="preserve"> not provided</w:t>
            </w:r>
            <w:r w:rsidR="002513F4">
              <w:t>.</w:t>
            </w:r>
          </w:p>
          <w:p w14:paraId="49438B55" w14:textId="3A48521C" w:rsidR="00F61E11" w:rsidRDefault="002270F6" w:rsidP="002270F6">
            <w:pPr>
              <w:pStyle w:val="Tabletextprimarysource"/>
            </w:pPr>
            <w:r>
              <w:t>Human data</w:t>
            </w:r>
            <w:r w:rsidR="003905B7">
              <w:t>:</w:t>
            </w:r>
          </w:p>
          <w:p w14:paraId="76129F06" w14:textId="77777777" w:rsidR="00B446F4" w:rsidRDefault="00B446F4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Not classified as a </w:t>
            </w:r>
            <w:r w:rsidR="00B0064D">
              <w:t xml:space="preserve">human </w:t>
            </w:r>
            <w:r>
              <w:t>carcinogen</w:t>
            </w:r>
          </w:p>
          <w:p w14:paraId="77D1B52D" w14:textId="270516B2" w:rsidR="006970E7" w:rsidRDefault="001B0203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Deaths </w:t>
            </w:r>
            <w:r w:rsidR="00DE150E">
              <w:t xml:space="preserve">from </w:t>
            </w:r>
            <w:r w:rsidR="00C902E3">
              <w:t xml:space="preserve">ingestion </w:t>
            </w:r>
            <w:r w:rsidR="00B0064D">
              <w:t xml:space="preserve">well documented following severe intoxication and metabolic acidosis and </w:t>
            </w:r>
            <w:r w:rsidR="00E36B8B">
              <w:t>cranial</w:t>
            </w:r>
            <w:r w:rsidR="00B0064D">
              <w:t xml:space="preserve"> nerve deficits</w:t>
            </w:r>
            <w:r w:rsidR="006970E7">
              <w:t xml:space="preserve"> </w:t>
            </w:r>
          </w:p>
          <w:p w14:paraId="3F4513D8" w14:textId="4E5E2CD2" w:rsidR="00F61E11" w:rsidRDefault="00B0064D" w:rsidP="008331C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Volunteers exposed t</w:t>
            </w:r>
            <w:r w:rsidR="004E4432">
              <w:t xml:space="preserve">o aerosolised material </w:t>
            </w:r>
            <w:r w:rsidR="008331CD">
              <w:t xml:space="preserve">(assumed vapour) </w:t>
            </w:r>
            <w:r w:rsidR="004E4432">
              <w:t>for 20</w:t>
            </w:r>
            <w:r w:rsidR="005472A1">
              <w:t>–</w:t>
            </w:r>
            <w:r w:rsidR="008516EA">
              <w:t>22</w:t>
            </w:r>
            <w:r w:rsidR="004E4432">
              <w:t xml:space="preserve"> h/d for 4 </w:t>
            </w:r>
            <w:proofErr w:type="spellStart"/>
            <w:r w:rsidR="004E4432">
              <w:t>wk</w:t>
            </w:r>
            <w:proofErr w:type="spellEnd"/>
            <w:r w:rsidR="00EA7CD9">
              <w:t xml:space="preserve"> at</w:t>
            </w:r>
            <w:r w:rsidR="008331CD">
              <w:br/>
            </w:r>
            <w:r w:rsidR="008516EA">
              <w:t>3–67 mg/</w:t>
            </w:r>
            <w:proofErr w:type="spellStart"/>
            <w:r w:rsidR="008516EA">
              <w:t>m</w:t>
            </w:r>
            <w:r w:rsidR="008516EA" w:rsidRPr="00BD39C9">
              <w:rPr>
                <w:vertAlign w:val="superscript"/>
              </w:rPr>
              <w:t>3</w:t>
            </w:r>
            <w:proofErr w:type="spellEnd"/>
            <w:r w:rsidR="008516EA">
              <w:t xml:space="preserve"> (1</w:t>
            </w:r>
            <w:r w:rsidR="00792789">
              <w:t>–</w:t>
            </w:r>
            <w:r w:rsidR="008516EA">
              <w:t>26 ppm</w:t>
            </w:r>
            <w:r w:rsidR="00402F9C">
              <w:t>; average daily</w:t>
            </w:r>
            <w:r w:rsidR="00C73516">
              <w:t xml:space="preserve">) and </w:t>
            </w:r>
            <w:r w:rsidR="008516EA">
              <w:t xml:space="preserve">mean </w:t>
            </w:r>
            <w:r w:rsidR="00402F9C">
              <w:t>at</w:t>
            </w:r>
            <w:r w:rsidR="008516EA">
              <w:t xml:space="preserve"> 17</w:t>
            </w:r>
            <w:r w:rsidR="00792789">
              <w:t>–</w:t>
            </w:r>
            <w:r w:rsidR="008516EA">
              <w:t>49 mg/</w:t>
            </w:r>
            <w:proofErr w:type="spellStart"/>
            <w:r w:rsidR="008516EA">
              <w:t>m</w:t>
            </w:r>
            <w:r w:rsidR="008516EA" w:rsidRPr="00BD39C9">
              <w:rPr>
                <w:vertAlign w:val="superscript"/>
              </w:rPr>
              <w:t>3</w:t>
            </w:r>
            <w:proofErr w:type="spellEnd"/>
            <w:r w:rsidR="008516EA">
              <w:t xml:space="preserve"> (6.6</w:t>
            </w:r>
            <w:r w:rsidR="005472A1">
              <w:t>–</w:t>
            </w:r>
            <w:r w:rsidR="008516EA">
              <w:t>19 ppm</w:t>
            </w:r>
            <w:r w:rsidR="00402F9C">
              <w:t>; mean weekly</w:t>
            </w:r>
            <w:r w:rsidR="008516EA">
              <w:t>)</w:t>
            </w:r>
            <w:r w:rsidR="00800599">
              <w:t xml:space="preserve"> </w:t>
            </w:r>
            <w:r w:rsidR="00795BEE">
              <w:t>reported</w:t>
            </w:r>
            <w:r w:rsidR="008331CD">
              <w:t>:</w:t>
            </w:r>
            <w:r w:rsidR="00795BEE">
              <w:t xml:space="preserve"> </w:t>
            </w:r>
          </w:p>
          <w:p w14:paraId="11616DDD" w14:textId="53535ECA" w:rsidR="00362815" w:rsidRDefault="008516EA" w:rsidP="008516EA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complaint</w:t>
            </w:r>
            <w:r w:rsidR="006970E7">
              <w:t>s</w:t>
            </w:r>
            <w:r w:rsidR="00C902E3">
              <w:t xml:space="preserve"> of irritation of upper respiratory tract</w:t>
            </w:r>
            <w:r>
              <w:t xml:space="preserve"> </w:t>
            </w:r>
            <w:r w:rsidR="00993829">
              <w:t xml:space="preserve">more prevalent at </w:t>
            </w:r>
            <w:r w:rsidR="00362815">
              <w:t>140 mg/</w:t>
            </w:r>
            <w:proofErr w:type="spellStart"/>
            <w:r w:rsidR="00362815">
              <w:t>m</w:t>
            </w:r>
            <w:r w:rsidR="00362815" w:rsidRPr="008516EA">
              <w:rPr>
                <w:vertAlign w:val="superscript"/>
              </w:rPr>
              <w:t>3</w:t>
            </w:r>
            <w:proofErr w:type="spellEnd"/>
            <w:r w:rsidR="00362815" w:rsidRPr="008516EA">
              <w:rPr>
                <w:vertAlign w:val="superscript"/>
              </w:rPr>
              <w:t xml:space="preserve"> </w:t>
            </w:r>
            <w:r w:rsidR="00362815">
              <w:t>(55 ppm)</w:t>
            </w:r>
          </w:p>
          <w:p w14:paraId="61C06703" w14:textId="77777777" w:rsidR="0095433B" w:rsidRDefault="00800599" w:rsidP="00362815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irritation at </w:t>
            </w:r>
            <w:r w:rsidR="00362815">
              <w:t>188 mg/</w:t>
            </w:r>
            <w:proofErr w:type="spellStart"/>
            <w:r w:rsidR="00362815">
              <w:t>m</w:t>
            </w:r>
            <w:r w:rsidR="00362815" w:rsidRPr="00C966B5">
              <w:rPr>
                <w:vertAlign w:val="superscript"/>
              </w:rPr>
              <w:t>3</w:t>
            </w:r>
            <w:proofErr w:type="spellEnd"/>
            <w:r w:rsidR="00362815">
              <w:rPr>
                <w:vertAlign w:val="superscript"/>
              </w:rPr>
              <w:t xml:space="preserve"> </w:t>
            </w:r>
            <w:r w:rsidR="00993829">
              <w:t>(</w:t>
            </w:r>
            <w:r w:rsidR="00362815">
              <w:t>73 ppm</w:t>
            </w:r>
            <w:r w:rsidR="00993829">
              <w:t>) only tolerated for 15 min</w:t>
            </w:r>
          </w:p>
          <w:p w14:paraId="2D3CD2FB" w14:textId="2A0B3E3E" w:rsidR="00800599" w:rsidRDefault="00800599" w:rsidP="00362815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irritation at 244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(620 ppm) only tolerated for 1</w:t>
            </w:r>
            <w:r w:rsidR="005472A1">
              <w:t>–</w:t>
            </w:r>
            <w:r>
              <w:t>2 min</w:t>
            </w:r>
          </w:p>
          <w:p w14:paraId="1176A873" w14:textId="40684718" w:rsidR="00B0064D" w:rsidRDefault="00C73516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Protection for</w:t>
            </w:r>
            <w:r w:rsidR="004141F9">
              <w:t xml:space="preserve"> </w:t>
            </w:r>
            <w:r w:rsidR="007525D1">
              <w:t>r</w:t>
            </w:r>
            <w:r w:rsidR="00EA7CD9">
              <w:t>espiratory irritation</w:t>
            </w:r>
            <w:r w:rsidR="00362815">
              <w:t xml:space="preserve"> effects</w:t>
            </w:r>
            <w:r w:rsidR="00EA7CD9">
              <w:t xml:space="preserve"> </w:t>
            </w:r>
            <w:r w:rsidR="00065885">
              <w:t xml:space="preserve">is </w:t>
            </w:r>
            <w:r w:rsidR="00EA7CD9">
              <w:t xml:space="preserve">likely to protect </w:t>
            </w:r>
            <w:r>
              <w:t xml:space="preserve">for </w:t>
            </w:r>
            <w:r w:rsidR="00EA7CD9">
              <w:t>systemic effect</w:t>
            </w:r>
            <w:r w:rsidR="008331CD">
              <w:t>s</w:t>
            </w:r>
            <w:r w:rsidR="00EA7CD9">
              <w:t xml:space="preserve"> </w:t>
            </w:r>
          </w:p>
          <w:p w14:paraId="2069BA66" w14:textId="6A3552E4" w:rsidR="0027670F" w:rsidRDefault="0027670F" w:rsidP="002F2F27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PBPK</w:t>
            </w:r>
            <w:proofErr w:type="spellEnd"/>
            <w:r>
              <w:t xml:space="preserve"> modelling demonstrates blood levels following inhalation exposure unlikely to produce renal effects </w:t>
            </w:r>
            <w:r w:rsidR="00C73516">
              <w:t xml:space="preserve">reported </w:t>
            </w:r>
            <w:r>
              <w:t>in animals</w:t>
            </w:r>
            <w:r w:rsidR="008331CD">
              <w:t>.</w:t>
            </w:r>
          </w:p>
          <w:p w14:paraId="0B831B14" w14:textId="0382D544" w:rsidR="00F61E11" w:rsidRDefault="002270F6" w:rsidP="002270F6">
            <w:pPr>
              <w:pStyle w:val="Tabletextprimarysource"/>
            </w:pPr>
            <w:r>
              <w:t>Animal data</w:t>
            </w:r>
            <w:r w:rsidR="003905B7">
              <w:t>:</w:t>
            </w:r>
          </w:p>
          <w:p w14:paraId="5F9D5D90" w14:textId="4B7A6A7D" w:rsidR="00F75130" w:rsidRDefault="00F75130" w:rsidP="00F75130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 w:rsidRPr="008738AC">
              <w:rPr>
                <w:vertAlign w:val="subscript"/>
              </w:rPr>
              <w:t>50</w:t>
            </w:r>
            <w:proofErr w:type="spellEnd"/>
            <w:r w:rsidR="00F61E11">
              <w:t xml:space="preserve"> of </w:t>
            </w:r>
            <w:r>
              <w:t>9,530 mg/kg (rabbits, dermal)</w:t>
            </w:r>
          </w:p>
          <w:p w14:paraId="3CDDFC10" w14:textId="32542BA1" w:rsidR="007F2FB5" w:rsidRDefault="007F2FB5" w:rsidP="007F2FB5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 w:rsidRPr="008738AC">
              <w:rPr>
                <w:vertAlign w:val="subscript"/>
              </w:rPr>
              <w:t>50</w:t>
            </w:r>
            <w:proofErr w:type="spellEnd"/>
            <w:r>
              <w:t xml:space="preserve"> (inhalation</w:t>
            </w:r>
            <w:r w:rsidR="00F61E11">
              <w:t xml:space="preserve">) of </w:t>
            </w:r>
            <w:r>
              <w:t>10.9 mg/L (rats, 1 h)</w:t>
            </w:r>
          </w:p>
          <w:p w14:paraId="75650C82" w14:textId="77777777" w:rsidR="00AB49BE" w:rsidRDefault="00AB49BE" w:rsidP="00AB49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Low irritation to rabbit skin when topically applied</w:t>
            </w:r>
          </w:p>
          <w:p w14:paraId="584FEA55" w14:textId="77777777" w:rsidR="003905B7" w:rsidRDefault="00362815" w:rsidP="003905B7">
            <w:pPr>
              <w:pStyle w:val="ListBullet"/>
              <w:ind w:left="717"/>
              <w:contextualSpacing w:val="0"/>
            </w:pPr>
            <w:r>
              <w:lastRenderedPageBreak/>
              <w:t>Appreciable irritation in eye of rabbit</w:t>
            </w:r>
            <w:r w:rsidR="00F75130">
              <w:t xml:space="preserve"> with repeated application</w:t>
            </w:r>
            <w:r w:rsidR="00AB49BE">
              <w:t xml:space="preserve"> </w:t>
            </w:r>
            <w:r w:rsidR="00A927B2">
              <w:t>of 0.05 mL every 10 min for 6 h; 36 applications</w:t>
            </w:r>
          </w:p>
          <w:p w14:paraId="3AC88F2C" w14:textId="1199E76D" w:rsidR="00F75130" w:rsidRDefault="00F75130" w:rsidP="003905B7">
            <w:pPr>
              <w:pStyle w:val="ListBullet"/>
              <w:ind w:left="717"/>
              <w:contextualSpacing w:val="0"/>
            </w:pPr>
            <w:r>
              <w:t>No eye damage in chimpanzees exposed at 265 mg/</w:t>
            </w:r>
            <w:proofErr w:type="spellStart"/>
            <w:r>
              <w:t>m</w:t>
            </w:r>
            <w:r w:rsidRPr="003905B7">
              <w:rPr>
                <w:vertAlign w:val="superscript"/>
              </w:rPr>
              <w:t>3</w:t>
            </w:r>
            <w:proofErr w:type="spellEnd"/>
            <w:r>
              <w:t xml:space="preserve"> (4 </w:t>
            </w:r>
            <w:proofErr w:type="spellStart"/>
            <w:r>
              <w:t>wk</w:t>
            </w:r>
            <w:proofErr w:type="spellEnd"/>
            <w:r>
              <w:t>) as aerosol</w:t>
            </w:r>
          </w:p>
          <w:p w14:paraId="3FB29320" w14:textId="0CDD9F64" w:rsidR="00F61E11" w:rsidRDefault="009A3DBC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Cruzan </w:t>
            </w:r>
            <w:r w:rsidRPr="00475A60">
              <w:rPr>
                <w:i/>
              </w:rPr>
              <w:t>et al.</w:t>
            </w:r>
            <w:r>
              <w:t xml:space="preserve"> (2004)</w:t>
            </w:r>
            <w:r w:rsidR="00482BCE">
              <w:t xml:space="preserve"> </w:t>
            </w:r>
            <w:r>
              <w:t xml:space="preserve">compared toxicity of ethylene glycol in Wistar and </w:t>
            </w:r>
            <w:proofErr w:type="spellStart"/>
            <w:r>
              <w:t>F344</w:t>
            </w:r>
            <w:proofErr w:type="spellEnd"/>
            <w:r>
              <w:t xml:space="preserve"> rats and related effects; </w:t>
            </w:r>
            <w:r w:rsidR="00482BCE">
              <w:t xml:space="preserve">with </w:t>
            </w:r>
            <w:r>
              <w:t>both strains dosed at 0, 50, 150, 500 and 1</w:t>
            </w:r>
            <w:r w:rsidR="00482BCE">
              <w:t>,</w:t>
            </w:r>
            <w:r>
              <w:t xml:space="preserve">000 mg/kg/d for 16 </w:t>
            </w:r>
            <w:proofErr w:type="spellStart"/>
            <w:r>
              <w:t>wk</w:t>
            </w:r>
            <w:proofErr w:type="spellEnd"/>
            <w:r w:rsidR="003905B7">
              <w:t>:</w:t>
            </w:r>
          </w:p>
          <w:p w14:paraId="21813756" w14:textId="76ACF4AF" w:rsidR="009A3DBC" w:rsidRDefault="009A3DBC" w:rsidP="008331CD">
            <w:pPr>
              <w:pStyle w:val="ListBullet"/>
              <w:numPr>
                <w:ilvl w:val="0"/>
                <w:numId w:val="13"/>
              </w:numPr>
              <w:spacing w:after="80"/>
              <w:ind w:left="1071" w:hanging="357"/>
              <w:contextualSpacing w:val="0"/>
            </w:pPr>
            <w:r>
              <w:t>d</w:t>
            </w:r>
            <w:r w:rsidRPr="009A3DBC">
              <w:t>ifferences in metabolism and clearance at 500 and 1000 mg/kg/d</w:t>
            </w:r>
          </w:p>
          <w:p w14:paraId="43DF1F13" w14:textId="45EAEE91" w:rsidR="009A3DBC" w:rsidRDefault="009A3DBC" w:rsidP="008331CD">
            <w:pPr>
              <w:pStyle w:val="ListBullet"/>
              <w:numPr>
                <w:ilvl w:val="0"/>
                <w:numId w:val="13"/>
              </w:numPr>
              <w:spacing w:after="80"/>
              <w:ind w:left="1071" w:hanging="357"/>
              <w:contextualSpacing w:val="0"/>
            </w:pPr>
            <w:r>
              <w:t>incidence and severity of crystalline nephrology higher at the same dose level in Wistar rats</w:t>
            </w:r>
            <w:r w:rsidR="008331CD">
              <w:t>; finding corr</w:t>
            </w:r>
            <w:r>
              <w:t>elated with accumulation of calcium oxalate crystals in the kidney tubule</w:t>
            </w:r>
          </w:p>
          <w:p w14:paraId="69E7AD6F" w14:textId="2B08B0AE" w:rsidR="009A3DBC" w:rsidRDefault="009A3DBC" w:rsidP="008331CD">
            <w:pPr>
              <w:pStyle w:val="ListBullet"/>
              <w:numPr>
                <w:ilvl w:val="0"/>
                <w:numId w:val="13"/>
              </w:numPr>
              <w:spacing w:after="80"/>
              <w:ind w:left="1071" w:hanging="357"/>
              <w:contextualSpacing w:val="0"/>
            </w:pPr>
            <w:proofErr w:type="spellStart"/>
            <w:r>
              <w:t>BMDL</w:t>
            </w:r>
            <w:r w:rsidRPr="00482BCE">
              <w:rPr>
                <w:vertAlign w:val="subscript"/>
              </w:rPr>
              <w:t>05</w:t>
            </w:r>
            <w:proofErr w:type="spellEnd"/>
            <w:r>
              <w:t xml:space="preserve"> for kidney toxicity was 71.5 mg/kg/d (Wistar rats), 285 mg/kg/d (</w:t>
            </w:r>
            <w:proofErr w:type="spellStart"/>
            <w:r>
              <w:t>F344</w:t>
            </w:r>
            <w:proofErr w:type="spellEnd"/>
            <w:r>
              <w:t xml:space="preserve"> rats)</w:t>
            </w:r>
          </w:p>
          <w:p w14:paraId="74FBC5F4" w14:textId="1E606929" w:rsidR="00AB49BE" w:rsidRDefault="00AB49BE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significant renal changes observed in rabbits, male dogs, rats, male squirrel monkeys and guinea pigs exposed at </w:t>
            </w:r>
            <w:r>
              <w:rPr>
                <w:rFonts w:cs="Arial"/>
              </w:rPr>
              <w:t>≤57 mg/</w:t>
            </w:r>
            <w:proofErr w:type="spellStart"/>
            <w:r>
              <w:rPr>
                <w:rFonts w:cs="Arial"/>
              </w:rPr>
              <w:t>m</w:t>
            </w:r>
            <w:r>
              <w:rPr>
                <w:rFonts w:cs="Arial"/>
                <w:vertAlign w:val="superscript"/>
              </w:rPr>
              <w:t>3</w:t>
            </w:r>
            <w:proofErr w:type="spellEnd"/>
            <w:r>
              <w:rPr>
                <w:rFonts w:cs="Arial"/>
              </w:rPr>
              <w:t xml:space="preserve"> (≤</w:t>
            </w:r>
            <w:r>
              <w:t>22 ppm) 8 h/d, 5 d/</w:t>
            </w:r>
            <w:proofErr w:type="spellStart"/>
            <w:r>
              <w:t>wk</w:t>
            </w:r>
            <w:proofErr w:type="spellEnd"/>
            <w:r>
              <w:t xml:space="preserve"> for 6 </w:t>
            </w:r>
            <w:proofErr w:type="spellStart"/>
            <w:r>
              <w:t>wk</w:t>
            </w:r>
            <w:proofErr w:type="spellEnd"/>
          </w:p>
          <w:p w14:paraId="7F551855" w14:textId="5B00D93D" w:rsidR="008331CD" w:rsidRDefault="00C71CA5" w:rsidP="007F2FB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Toxicological changes in the kidney and lower urinary tract reported at very high doses (route not identified)</w:t>
            </w:r>
            <w:r w:rsidR="003905B7">
              <w:t>:</w:t>
            </w:r>
          </w:p>
          <w:p w14:paraId="5329DA59" w14:textId="7309C4F6" w:rsidR="00C71CA5" w:rsidRDefault="00C71CA5" w:rsidP="008331CD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 xml:space="preserve">less toxic when exposed by inhalation  </w:t>
            </w:r>
          </w:p>
          <w:p w14:paraId="267E4A72" w14:textId="3346BA06" w:rsidR="008331CD" w:rsidRDefault="007F2FB5" w:rsidP="007F2FB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Moderate to severe eye irritation in rabbits continuously exposed at 12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(4.7 ppm) for 90 d</w:t>
            </w:r>
            <w:r w:rsidR="003905B7">
              <w:t>:</w:t>
            </w:r>
            <w:r>
              <w:t xml:space="preserve"> </w:t>
            </w:r>
          </w:p>
          <w:p w14:paraId="5B170AD7" w14:textId="1F3ADE51" w:rsidR="008331CD" w:rsidRDefault="007F2FB5" w:rsidP="008331CD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>corneal damage and apparent blindness in 2</w:t>
            </w:r>
            <w:r w:rsidR="00806093">
              <w:t>/</w:t>
            </w:r>
            <w:r>
              <w:t>15 rats after 8 d exposure</w:t>
            </w:r>
            <w:r w:rsidR="00F61E11">
              <w:t xml:space="preserve"> </w:t>
            </w:r>
          </w:p>
          <w:p w14:paraId="18232FC6" w14:textId="306F91CF" w:rsidR="007F2FB5" w:rsidRDefault="008331CD" w:rsidP="008331CD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>c</w:t>
            </w:r>
            <w:r w:rsidR="00F61E11">
              <w:t xml:space="preserve">ontinuous </w:t>
            </w:r>
            <w:r w:rsidR="007F2FB5">
              <w:t>exposure may not provide opportunity for recovery for damage in animals</w:t>
            </w:r>
          </w:p>
          <w:p w14:paraId="2BDA28AC" w14:textId="102A58EA" w:rsidR="00800599" w:rsidRDefault="00AB49BE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NOAEC</w:t>
            </w:r>
            <w:proofErr w:type="spellEnd"/>
            <w:r>
              <w:t xml:space="preserve"> of 355</w:t>
            </w:r>
            <w:r w:rsidR="00792789">
              <w:t>–</w:t>
            </w:r>
            <w:r>
              <w:t>400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(140–160 ppm) (rats and mice, 8 h/d, 16 </w:t>
            </w:r>
            <w:proofErr w:type="spellStart"/>
            <w:r>
              <w:t>wk</w:t>
            </w:r>
            <w:proofErr w:type="spellEnd"/>
            <w:r>
              <w:t>); based on renal toxicity</w:t>
            </w:r>
          </w:p>
          <w:p w14:paraId="721A0FB1" w14:textId="3A39FD64" w:rsidR="00894056" w:rsidRDefault="00F75130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evidence </w:t>
            </w:r>
            <w:r w:rsidR="008331CD">
              <w:t>of</w:t>
            </w:r>
            <w:r>
              <w:t xml:space="preserve"> mutagenicity or genotoxicity.</w:t>
            </w:r>
          </w:p>
          <w:p w14:paraId="6CD8E20C" w14:textId="77777777" w:rsidR="00E36B8B" w:rsidRPr="00DA352E" w:rsidRDefault="00E36B8B" w:rsidP="00E36B8B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7EEB874D" w14:textId="77777777" w:rsidTr="0009785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491F83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F3328">
                  <w:t>1991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F3328">
                  <w:t>MAK: 10 ppm (26 mg/</w:t>
                </w:r>
                <w:proofErr w:type="spellStart"/>
                <w:r w:rsidR="00FF3328">
                  <w:t>m</w:t>
                </w:r>
                <w:r w:rsidR="00FF3328" w:rsidRPr="00FF3328">
                  <w:rPr>
                    <w:vertAlign w:val="superscript"/>
                  </w:rPr>
                  <w:t>3</w:t>
                </w:r>
                <w:proofErr w:type="spellEnd"/>
                <w:r w:rsidR="00FF3328">
                  <w:t>)</w:t>
                </w:r>
              </w:sdtContent>
            </w:sdt>
          </w:p>
        </w:tc>
      </w:tr>
      <w:tr w:rsidR="00C978F0" w:rsidRPr="00DA352E" w14:paraId="5E6DDDE9" w14:textId="77777777" w:rsidTr="00097854">
        <w:trPr>
          <w:gridAfter w:val="1"/>
          <w:wAfter w:w="8" w:type="pct"/>
        </w:trPr>
        <w:tc>
          <w:tcPr>
            <w:tcW w:w="4992" w:type="pct"/>
          </w:tcPr>
          <w:p w14:paraId="2CB29FD1" w14:textId="1F779DB6" w:rsidR="000432CC" w:rsidRDefault="000432CC" w:rsidP="000432CC">
            <w:pPr>
              <w:pStyle w:val="Tabletextprimarysource"/>
            </w:pPr>
            <w:r>
              <w:t xml:space="preserve">Vapours and aerosols severely irritating to mucous membranes of the </w:t>
            </w:r>
            <w:r w:rsidR="00806093">
              <w:t>URT</w:t>
            </w:r>
            <w:r>
              <w:t xml:space="preserve"> and eyes including the</w:t>
            </w:r>
            <w:r w:rsidR="009065AF">
              <w:t xml:space="preserve"> </w:t>
            </w:r>
            <w:r>
              <w:t>cornea and conjunctiva.</w:t>
            </w:r>
          </w:p>
          <w:p w14:paraId="5BA9DEBB" w14:textId="67FB7085" w:rsidR="00F82F8C" w:rsidRDefault="009065AF" w:rsidP="00F82F8C">
            <w:pPr>
              <w:pStyle w:val="Tabletextprimarysource"/>
            </w:pPr>
            <w:r>
              <w:t>MAK</w:t>
            </w:r>
            <w:r w:rsidR="00FA7759">
              <w:t xml:space="preserve"> </w:t>
            </w:r>
            <w:r w:rsidR="00F82F8C">
              <w:t xml:space="preserve">based on </w:t>
            </w:r>
            <w:r w:rsidR="00FA7759">
              <w:t xml:space="preserve">a </w:t>
            </w:r>
            <w:r w:rsidR="00290227">
              <w:t xml:space="preserve">volunteer </w:t>
            </w:r>
            <w:r w:rsidR="00F82F8C">
              <w:t>aerosol exposure stud</w:t>
            </w:r>
            <w:r w:rsidR="00FA7759">
              <w:t>y identifying pronounced irritation associated with aerosol-vapour concentrations &gt;140 mg/</w:t>
            </w:r>
            <w:proofErr w:type="spellStart"/>
            <w:r w:rsidR="00FA7759">
              <w:t>m</w:t>
            </w:r>
            <w:r w:rsidR="00FA7759">
              <w:rPr>
                <w:vertAlign w:val="superscript"/>
              </w:rPr>
              <w:t>3</w:t>
            </w:r>
            <w:proofErr w:type="spellEnd"/>
            <w:r w:rsidR="00B45FEA">
              <w:t>.</w:t>
            </w:r>
            <w:r w:rsidR="00FA7759">
              <w:t xml:space="preserve"> </w:t>
            </w:r>
            <w:r w:rsidR="008331CD">
              <w:t>C</w:t>
            </w:r>
            <w:r w:rsidR="00B45FEA">
              <w:t>oncluded</w:t>
            </w:r>
            <w:r w:rsidR="00FA7759">
              <w:t xml:space="preserve"> that concentrations as low as 50 ppm (130</w:t>
            </w:r>
            <w:r w:rsidR="008331CD">
              <w:t> </w:t>
            </w:r>
            <w:r w:rsidR="00FA7759">
              <w:t>mg/</w:t>
            </w:r>
            <w:proofErr w:type="spellStart"/>
            <w:r w:rsidR="00FA7759">
              <w:t>m</w:t>
            </w:r>
            <w:r w:rsidR="00FA7759">
              <w:rPr>
                <w:vertAlign w:val="superscript"/>
              </w:rPr>
              <w:t>3</w:t>
            </w:r>
            <w:proofErr w:type="spellEnd"/>
            <w:r w:rsidR="00FA7759">
              <w:t xml:space="preserve">) </w:t>
            </w:r>
            <w:r w:rsidR="00B45FEA">
              <w:t>might</w:t>
            </w:r>
            <w:r w:rsidR="00FA7759">
              <w:t xml:space="preserve"> still cause irritation</w:t>
            </w:r>
            <w:r w:rsidR="00B45FEA">
              <w:t>.</w:t>
            </w:r>
            <w:r w:rsidR="00FA7759">
              <w:t xml:space="preserve"> </w:t>
            </w:r>
            <w:r w:rsidR="00B45FEA">
              <w:t>T</w:t>
            </w:r>
            <w:r w:rsidR="00FA7759">
              <w:t>herefore</w:t>
            </w:r>
            <w:r w:rsidR="00B45FEA">
              <w:t>,</w:t>
            </w:r>
            <w:r w:rsidR="00FA7759">
              <w:t xml:space="preserve"> the MAK value should be markedly lower</w:t>
            </w:r>
            <w:r w:rsidR="008331CD">
              <w:t>.</w:t>
            </w:r>
            <w:r w:rsidR="00FA7759">
              <w:t xml:space="preserve"> </w:t>
            </w:r>
            <w:r w:rsidR="00B45FEA">
              <w:t>T</w:t>
            </w:r>
            <w:r w:rsidR="00FA7759">
              <w:t>h</w:t>
            </w:r>
            <w:r w:rsidR="00B45FEA">
              <w:t>is</w:t>
            </w:r>
            <w:r w:rsidR="00FA7759">
              <w:t xml:space="preserve"> study was</w:t>
            </w:r>
            <w:r w:rsidR="00B45FEA">
              <w:t xml:space="preserve"> also</w:t>
            </w:r>
            <w:r w:rsidR="00FA7759">
              <w:t xml:space="preserve"> cited by </w:t>
            </w:r>
            <w:proofErr w:type="spellStart"/>
            <w:r w:rsidR="00FA7759">
              <w:t>ACGIH</w:t>
            </w:r>
            <w:proofErr w:type="spellEnd"/>
            <w:r w:rsidR="00FA7759">
              <w:t xml:space="preserve"> (2018)</w:t>
            </w:r>
            <w:r w:rsidR="00B45FEA">
              <w:t>.</w:t>
            </w:r>
            <w:r w:rsidR="00FA7759">
              <w:t xml:space="preserve"> </w:t>
            </w:r>
            <w:r w:rsidR="00B45FEA">
              <w:t>N</w:t>
            </w:r>
            <w:r w:rsidR="00FA7759">
              <w:t xml:space="preserve">o further specific </w:t>
            </w:r>
            <w:r w:rsidR="00B45FEA">
              <w:t xml:space="preserve">information on </w:t>
            </w:r>
            <w:r w:rsidR="00FA7759">
              <w:t>derivation is provided</w:t>
            </w:r>
            <w:r w:rsidR="00806093">
              <w:t>.</w:t>
            </w:r>
          </w:p>
          <w:p w14:paraId="40C309B1" w14:textId="3B5B3FF6" w:rsidR="00F61E11" w:rsidRDefault="009065AF" w:rsidP="009065AF">
            <w:pPr>
              <w:pStyle w:val="Tabletextprimarysource"/>
            </w:pPr>
            <w:r>
              <w:t>Summary of additional data</w:t>
            </w:r>
            <w:r w:rsidR="003905B7">
              <w:t>:</w:t>
            </w:r>
          </w:p>
          <w:p w14:paraId="584F252C" w14:textId="36B19AA8" w:rsidR="007234AF" w:rsidRDefault="007234AF" w:rsidP="008331CD">
            <w:pPr>
              <w:pStyle w:val="ListBullet"/>
              <w:spacing w:after="80"/>
              <w:ind w:left="717"/>
              <w:contextualSpacing w:val="0"/>
            </w:pPr>
            <w:r>
              <w:t xml:space="preserve">In a controlled inhalation study, 20 male </w:t>
            </w:r>
            <w:r w:rsidR="00C825AD">
              <w:t>volunteers</w:t>
            </w:r>
            <w:r>
              <w:t xml:space="preserve"> exposed 20</w:t>
            </w:r>
            <w:r w:rsidR="00806093">
              <w:t>–</w:t>
            </w:r>
            <w:r>
              <w:t xml:space="preserve">22 h/d for 30 d, to </w:t>
            </w:r>
            <w:r w:rsidR="00806093">
              <w:t xml:space="preserve">average </w:t>
            </w:r>
            <w:r>
              <w:t>concentrations which varied markedly from day to day between 3 and 67 mg/</w:t>
            </w:r>
            <w:proofErr w:type="spellStart"/>
            <w:r>
              <w:t>m</w:t>
            </w:r>
            <w:r w:rsidRPr="001A1AC6">
              <w:rPr>
                <w:vertAlign w:val="superscript"/>
              </w:rPr>
              <w:t>3</w:t>
            </w:r>
            <w:proofErr w:type="spellEnd"/>
            <w:r>
              <w:t xml:space="preserve"> </w:t>
            </w:r>
            <w:r w:rsidR="00806093">
              <w:t>reported</w:t>
            </w:r>
            <w:r>
              <w:t xml:space="preserve"> occasional complaints of irritation </w:t>
            </w:r>
            <w:r w:rsidR="00C825AD">
              <w:t>of</w:t>
            </w:r>
            <w:r>
              <w:t xml:space="preserve"> the throat and of headaches and back pains</w:t>
            </w:r>
            <w:r w:rsidR="003905B7">
              <w:t>:</w:t>
            </w:r>
            <w:r>
              <w:t xml:space="preserve"> </w:t>
            </w:r>
          </w:p>
          <w:p w14:paraId="379CAA86" w14:textId="3872D403" w:rsidR="007234AF" w:rsidRDefault="007234AF" w:rsidP="008331CD">
            <w:pPr>
              <w:pStyle w:val="ListBullet"/>
              <w:numPr>
                <w:ilvl w:val="0"/>
                <w:numId w:val="17"/>
              </w:numPr>
              <w:spacing w:after="80"/>
              <w:contextualSpacing w:val="0"/>
            </w:pPr>
            <w:r>
              <w:t>increase in concentration to 188 mg/</w:t>
            </w:r>
            <w:proofErr w:type="spellStart"/>
            <w:r>
              <w:t>m</w:t>
            </w:r>
            <w:r w:rsidRPr="00475A60">
              <w:rPr>
                <w:vertAlign w:val="superscript"/>
              </w:rPr>
              <w:t>3</w:t>
            </w:r>
            <w:proofErr w:type="spellEnd"/>
            <w:r>
              <w:t xml:space="preserve"> (day 27) tolerated by </w:t>
            </w:r>
            <w:r w:rsidR="00C825AD">
              <w:t>volunteers</w:t>
            </w:r>
            <w:r>
              <w:t xml:space="preserve"> for 15</w:t>
            </w:r>
            <w:r w:rsidR="00C825AD">
              <w:t> </w:t>
            </w:r>
            <w:r>
              <w:t>min; 244 mg/</w:t>
            </w:r>
            <w:proofErr w:type="spellStart"/>
            <w:r>
              <w:t>m</w:t>
            </w:r>
            <w:r w:rsidRPr="00475A60">
              <w:rPr>
                <w:vertAlign w:val="superscript"/>
              </w:rPr>
              <w:t>3</w:t>
            </w:r>
            <w:proofErr w:type="spellEnd"/>
            <w:r>
              <w:t xml:space="preserve"> (day 26) for 1</w:t>
            </w:r>
            <w:r w:rsidR="00806093">
              <w:t>–</w:t>
            </w:r>
            <w:r>
              <w:t>2 min; 305 mg/</w:t>
            </w:r>
            <w:proofErr w:type="spellStart"/>
            <w:r>
              <w:t>m</w:t>
            </w:r>
            <w:r w:rsidRPr="00475A60">
              <w:rPr>
                <w:vertAlign w:val="superscript"/>
              </w:rPr>
              <w:t>3</w:t>
            </w:r>
            <w:proofErr w:type="spellEnd"/>
            <w:r>
              <w:t xml:space="preserve"> (day 26) for only a few breaths</w:t>
            </w:r>
          </w:p>
          <w:p w14:paraId="266033B1" w14:textId="283C3AC0" w:rsidR="007234AF" w:rsidRDefault="007234AF" w:rsidP="008331CD">
            <w:pPr>
              <w:pStyle w:val="ListBullet"/>
              <w:numPr>
                <w:ilvl w:val="0"/>
                <w:numId w:val="17"/>
              </w:numPr>
              <w:spacing w:after="80"/>
              <w:contextualSpacing w:val="0"/>
            </w:pPr>
            <w:r>
              <w:t>exposure at &gt;140 mg/</w:t>
            </w:r>
            <w:proofErr w:type="spellStart"/>
            <w:r>
              <w:t>m</w:t>
            </w:r>
            <w:r w:rsidRPr="00475A60">
              <w:rPr>
                <w:vertAlign w:val="superscript"/>
              </w:rPr>
              <w:t>3</w:t>
            </w:r>
            <w:proofErr w:type="spellEnd"/>
            <w:r w:rsidRPr="00475A60">
              <w:rPr>
                <w:vertAlign w:val="superscript"/>
              </w:rPr>
              <w:t xml:space="preserve"> </w:t>
            </w:r>
            <w:r>
              <w:t xml:space="preserve">caused mucosal irritation in all </w:t>
            </w:r>
            <w:r w:rsidR="00C825AD">
              <w:t>exposed</w:t>
            </w:r>
          </w:p>
          <w:p w14:paraId="3055A8F9" w14:textId="1B7C95B8" w:rsidR="00E83DDF" w:rsidRDefault="00D470BB" w:rsidP="008331CD">
            <w:pPr>
              <w:pStyle w:val="ListBullet"/>
              <w:spacing w:after="80"/>
              <w:ind w:left="714" w:hanging="357"/>
              <w:contextualSpacing w:val="0"/>
            </w:pPr>
            <w:r>
              <w:t>F</w:t>
            </w:r>
            <w:r w:rsidR="000432CC">
              <w:t>etotoxic and embryotoxic</w:t>
            </w:r>
            <w:r w:rsidR="009065AF">
              <w:t xml:space="preserve"> following </w:t>
            </w:r>
            <w:r w:rsidR="000432CC">
              <w:t>ingestion of high oral doses or inhalation of high concentrations of the aerosol</w:t>
            </w:r>
          </w:p>
          <w:p w14:paraId="3761E58A" w14:textId="5686F426" w:rsidR="00D470BB" w:rsidRDefault="00D470BB" w:rsidP="008331CD">
            <w:pPr>
              <w:pStyle w:val="ListBullet"/>
              <w:spacing w:after="80"/>
              <w:ind w:left="717"/>
              <w:contextualSpacing w:val="0"/>
            </w:pPr>
            <w:r>
              <w:t xml:space="preserve">In a study of reproductive toxicity </w:t>
            </w:r>
            <w:r w:rsidR="00DE0CDF">
              <w:t>in</w:t>
            </w:r>
            <w:r>
              <w:t xml:space="preserve"> CD rats (15 pregnant animals</w:t>
            </w:r>
            <w:r w:rsidR="008331CD">
              <w:t>/</w:t>
            </w:r>
            <w:r>
              <w:t xml:space="preserve">dose group, 18 in control group) </w:t>
            </w:r>
            <w:r w:rsidR="008331CD">
              <w:t xml:space="preserve">doses </w:t>
            </w:r>
            <w:r>
              <w:t xml:space="preserve">administered by gavage from </w:t>
            </w:r>
            <w:r w:rsidR="00806093">
              <w:t xml:space="preserve">GD </w:t>
            </w:r>
            <w:r>
              <w:t>6 to 20 in doses of 0, 250, 1</w:t>
            </w:r>
            <w:r w:rsidR="00806093">
              <w:t>,</w:t>
            </w:r>
            <w:r>
              <w:t>250 or 2</w:t>
            </w:r>
            <w:r w:rsidR="00806093">
              <w:t>,</w:t>
            </w:r>
            <w:r>
              <w:t>250 mg/kg/d; from day 1 post-partum, pups reared by untreated dam</w:t>
            </w:r>
            <w:r w:rsidR="003905B7">
              <w:t>:</w:t>
            </w:r>
          </w:p>
          <w:p w14:paraId="4EC6F958" w14:textId="15613B87" w:rsidR="00D470BB" w:rsidRDefault="00D470BB" w:rsidP="008331CD">
            <w:pPr>
              <w:pStyle w:val="ListBullet"/>
              <w:numPr>
                <w:ilvl w:val="0"/>
                <w:numId w:val="14"/>
              </w:numPr>
              <w:spacing w:after="80"/>
              <w:contextualSpacing w:val="0"/>
            </w:pPr>
            <w:proofErr w:type="spellStart"/>
            <w:r>
              <w:t>NO</w:t>
            </w:r>
            <w:r w:rsidR="00C825AD">
              <w:t>A</w:t>
            </w:r>
            <w:r>
              <w:t>EL</w:t>
            </w:r>
            <w:proofErr w:type="spellEnd"/>
            <w:r>
              <w:t xml:space="preserve"> at 250 mg/mg/d</w:t>
            </w:r>
          </w:p>
          <w:p w14:paraId="69F25E24" w14:textId="0C7FD7D6" w:rsidR="00D470BB" w:rsidRDefault="00D470BB" w:rsidP="008331CD">
            <w:pPr>
              <w:pStyle w:val="ListBullet"/>
              <w:numPr>
                <w:ilvl w:val="0"/>
                <w:numId w:val="14"/>
              </w:numPr>
              <w:spacing w:after="80"/>
              <w:contextualSpacing w:val="0"/>
            </w:pPr>
            <w:r>
              <w:t>1</w:t>
            </w:r>
            <w:r w:rsidR="00806093">
              <w:t>,</w:t>
            </w:r>
            <w:r>
              <w:t>250 and 2</w:t>
            </w:r>
            <w:r w:rsidR="00806093">
              <w:t>,</w:t>
            </w:r>
            <w:r>
              <w:t>250 mg/kg/d doses resulted in longer pregnancies and microscopically visible renal damage</w:t>
            </w:r>
          </w:p>
          <w:p w14:paraId="4B7468FC" w14:textId="7B175E1A" w:rsidR="00D470BB" w:rsidRDefault="00D470BB" w:rsidP="008331CD">
            <w:pPr>
              <w:pStyle w:val="ListBullet"/>
              <w:numPr>
                <w:ilvl w:val="0"/>
                <w:numId w:val="14"/>
              </w:numPr>
              <w:spacing w:after="80"/>
              <w:contextualSpacing w:val="0"/>
            </w:pPr>
            <w:r>
              <w:lastRenderedPageBreak/>
              <w:t xml:space="preserve">in the 2250 mg/kg/d group, </w:t>
            </w:r>
            <w:proofErr w:type="spellStart"/>
            <w:r>
              <w:t>b</w:t>
            </w:r>
            <w:r w:rsidR="008331CD">
              <w:t>w</w:t>
            </w:r>
            <w:proofErr w:type="spellEnd"/>
            <w:r>
              <w:t xml:space="preserve"> gain of the dams and progeny and the survival of the pups during days 1</w:t>
            </w:r>
            <w:r w:rsidR="00806093">
              <w:t>–</w:t>
            </w:r>
            <w:r>
              <w:t>4 post-partum reduced</w:t>
            </w:r>
          </w:p>
          <w:p w14:paraId="1557A7B1" w14:textId="12513CD6" w:rsidR="00F61E11" w:rsidRDefault="00C43238" w:rsidP="008331CD">
            <w:pPr>
              <w:pStyle w:val="ListBullet"/>
              <w:spacing w:after="80"/>
              <w:ind w:left="714" w:hanging="357"/>
              <w:contextualSpacing w:val="0"/>
            </w:pPr>
            <w:r>
              <w:t>Embryotoxic and teratogenic effects observed in an</w:t>
            </w:r>
            <w:r w:rsidR="00FA60D9">
              <w:t xml:space="preserve"> exposure chamber</w:t>
            </w:r>
            <w:r>
              <w:t xml:space="preserve"> inhalation study</w:t>
            </w:r>
            <w:r w:rsidR="008331CD">
              <w:t xml:space="preserve"> in</w:t>
            </w:r>
            <w:r>
              <w:t xml:space="preserve"> pregnant CD rats and </w:t>
            </w:r>
            <w:proofErr w:type="spellStart"/>
            <w:r>
              <w:t>CD1</w:t>
            </w:r>
            <w:proofErr w:type="spellEnd"/>
            <w:r>
              <w:t xml:space="preserve"> mice (groups of 20–25 animals of each species) exposed at 0, 150,</w:t>
            </w:r>
            <w:r w:rsidR="00FA60D9">
              <w:t xml:space="preserve"> 1</w:t>
            </w:r>
            <w:r w:rsidR="00806093">
              <w:t>,</w:t>
            </w:r>
            <w:r w:rsidR="00FA60D9">
              <w:t>000 or 2</w:t>
            </w:r>
            <w:r w:rsidR="00806093">
              <w:t>,</w:t>
            </w:r>
            <w:r w:rsidR="00FA60D9">
              <w:t>500 mg/</w:t>
            </w:r>
            <w:proofErr w:type="spellStart"/>
            <w:r w:rsidR="00FA60D9">
              <w:t>m</w:t>
            </w:r>
            <w:r w:rsidR="00FA60D9">
              <w:rPr>
                <w:vertAlign w:val="superscript"/>
              </w:rPr>
              <w:t>3</w:t>
            </w:r>
            <w:proofErr w:type="spellEnd"/>
            <w:r w:rsidR="003905B7">
              <w:t>:</w:t>
            </w:r>
          </w:p>
          <w:p w14:paraId="4AB1647B" w14:textId="22284D09" w:rsidR="00FA60D9" w:rsidRDefault="00DE0CDF" w:rsidP="008331CD">
            <w:pPr>
              <w:pStyle w:val="ListBullet"/>
              <w:numPr>
                <w:ilvl w:val="0"/>
                <w:numId w:val="15"/>
              </w:numPr>
              <w:spacing w:after="80"/>
              <w:contextualSpacing w:val="0"/>
            </w:pPr>
            <w:r>
              <w:t xml:space="preserve">ethylene glycol </w:t>
            </w:r>
            <w:r w:rsidR="00FA60D9">
              <w:t xml:space="preserve">condensed on the fur of the </w:t>
            </w:r>
            <w:r w:rsidR="001A1AC6">
              <w:t>animals;</w:t>
            </w:r>
            <w:r w:rsidR="00FA60D9">
              <w:t xml:space="preserve"> a large proportion of the dose taken in dermally and orally during grooming</w:t>
            </w:r>
          </w:p>
          <w:p w14:paraId="1266EE07" w14:textId="6300B7ED" w:rsidR="00FA60D9" w:rsidRDefault="00806093" w:rsidP="00475A60">
            <w:pPr>
              <w:pStyle w:val="ListBullet"/>
              <w:numPr>
                <w:ilvl w:val="0"/>
                <w:numId w:val="15"/>
              </w:numPr>
              <w:spacing w:before="60" w:after="60"/>
              <w:contextualSpacing w:val="0"/>
            </w:pPr>
            <w:r>
              <w:t>s</w:t>
            </w:r>
            <w:r w:rsidR="00FA60D9">
              <w:t>ymptoms of minimal maternal toxicity in rats (increased liver weights</w:t>
            </w:r>
            <w:r w:rsidR="008331CD">
              <w:t>,</w:t>
            </w:r>
            <w:r w:rsidR="00FA60D9">
              <w:t xml:space="preserve"> gross pathology of kidneys normal) seen only in the 2</w:t>
            </w:r>
            <w:r>
              <w:t>,</w:t>
            </w:r>
            <w:r w:rsidR="00FA60D9">
              <w:t>500 mg/</w:t>
            </w:r>
            <w:proofErr w:type="spellStart"/>
            <w:r w:rsidR="00FA60D9">
              <w:t>m</w:t>
            </w:r>
            <w:r w:rsidR="00FA60D9">
              <w:rPr>
                <w:vertAlign w:val="superscript"/>
              </w:rPr>
              <w:t>3</w:t>
            </w:r>
            <w:proofErr w:type="spellEnd"/>
            <w:r w:rsidR="00FA60D9">
              <w:t xml:space="preserve"> group</w:t>
            </w:r>
          </w:p>
          <w:p w14:paraId="3F2ED478" w14:textId="7F2021EA" w:rsidR="00FA60D9" w:rsidRDefault="00FA60D9" w:rsidP="00475A60">
            <w:pPr>
              <w:pStyle w:val="ListBullet"/>
              <w:numPr>
                <w:ilvl w:val="0"/>
                <w:numId w:val="15"/>
              </w:numPr>
              <w:spacing w:before="60" w:after="60"/>
              <w:contextualSpacing w:val="0"/>
            </w:pPr>
            <w:r>
              <w:t>ossification slightly delayed at doses of 1</w:t>
            </w:r>
            <w:r w:rsidR="00806093">
              <w:t>,</w:t>
            </w:r>
            <w:r>
              <w:t>000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 w:rsidR="00C43380">
              <w:t xml:space="preserve"> in </w:t>
            </w:r>
            <w:proofErr w:type="spellStart"/>
            <w:r w:rsidR="00C43380">
              <w:t>fetuses</w:t>
            </w:r>
            <w:proofErr w:type="spellEnd"/>
          </w:p>
          <w:p w14:paraId="6AA0F523" w14:textId="6BE51364" w:rsidR="00FA60D9" w:rsidRDefault="00FA60D9" w:rsidP="00475A60">
            <w:pPr>
              <w:pStyle w:val="ListBullet"/>
              <w:numPr>
                <w:ilvl w:val="0"/>
                <w:numId w:val="15"/>
              </w:numPr>
              <w:spacing w:before="60" w:after="60"/>
              <w:contextualSpacing w:val="0"/>
            </w:pPr>
            <w:r>
              <w:t>in mice, implantation losses and incidence of malformations increased at concentrations of 1</w:t>
            </w:r>
            <w:r w:rsidR="00806093">
              <w:t>,</w:t>
            </w:r>
            <w:r>
              <w:t>000 and 2</w:t>
            </w:r>
            <w:r w:rsidR="00806093">
              <w:t>,</w:t>
            </w:r>
            <w:r>
              <w:t>500 mg/</w:t>
            </w:r>
            <w:proofErr w:type="spellStart"/>
            <w:r>
              <w:t>m</w:t>
            </w:r>
            <w:r w:rsidRPr="00475A60">
              <w:rPr>
                <w:vertAlign w:val="superscript"/>
              </w:rPr>
              <w:t>3</w:t>
            </w:r>
            <w:proofErr w:type="spellEnd"/>
          </w:p>
          <w:p w14:paraId="038E6601" w14:textId="3B32926C" w:rsidR="00E83DDF" w:rsidRDefault="00D470BB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Embryot</w:t>
            </w:r>
            <w:r w:rsidR="00C43238">
              <w:t>ox</w:t>
            </w:r>
            <w:r>
              <w:t xml:space="preserve">ic or fetotoxic effects </w:t>
            </w:r>
            <w:proofErr w:type="gramStart"/>
            <w:r>
              <w:t>not expect</w:t>
            </w:r>
            <w:proofErr w:type="gramEnd"/>
            <w:r>
              <w:t xml:space="preserve"> at MAK of 10 ppm (26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 in humans</w:t>
            </w:r>
          </w:p>
          <w:p w14:paraId="652D0FBF" w14:textId="791E612C" w:rsidR="009065AF" w:rsidRDefault="000432CC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Mutagenic and carcinogenic</w:t>
            </w:r>
            <w:r w:rsidR="004E4432">
              <w:t xml:space="preserve"> activity not observed</w:t>
            </w:r>
          </w:p>
          <w:p w14:paraId="0CC2027C" w14:textId="77777777" w:rsidR="009065AF" w:rsidRDefault="009065AF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a</w:t>
            </w:r>
            <w:r w:rsidR="000432CC">
              <w:t>bsor</w:t>
            </w:r>
            <w:r>
              <w:t>ption</w:t>
            </w:r>
            <w:r w:rsidR="000432CC">
              <w:t xml:space="preserve"> </w:t>
            </w:r>
            <w:r>
              <w:t>possible</w:t>
            </w:r>
            <w:r w:rsidR="004E4432">
              <w:t xml:space="preserve"> in toxic doses</w:t>
            </w:r>
            <w:r w:rsidR="00A2713A">
              <w:t xml:space="preserve"> and assigned skin notation</w:t>
            </w:r>
          </w:p>
          <w:p w14:paraId="09E5F856" w14:textId="77777777" w:rsidR="00C978F0" w:rsidRDefault="009065AF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Insufficient </w:t>
            </w:r>
            <w:r w:rsidR="000432CC">
              <w:t xml:space="preserve">evidence </w:t>
            </w:r>
            <w:r>
              <w:t xml:space="preserve">for classification </w:t>
            </w:r>
            <w:r w:rsidR="004E4432">
              <w:t>of sensitising effects</w:t>
            </w:r>
            <w:r w:rsidR="00DA3514">
              <w:t>.</w:t>
            </w:r>
          </w:p>
          <w:p w14:paraId="5EC8E35A" w14:textId="519787DA" w:rsidR="00F61E11" w:rsidRDefault="005872AE" w:rsidP="005872AE">
            <w:pPr>
              <w:pStyle w:val="Tabletextprimarysource"/>
            </w:pPr>
            <w:r>
              <w:t>Human data</w:t>
            </w:r>
            <w:r w:rsidR="003905B7">
              <w:t>:</w:t>
            </w:r>
          </w:p>
          <w:p w14:paraId="55DB34F4" w14:textId="28C5CA5A" w:rsidR="005872AE" w:rsidRDefault="00B124DA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Preliminary study </w:t>
            </w:r>
            <w:proofErr w:type="spellStart"/>
            <w:r w:rsidR="005872AE">
              <w:t>NOAEL</w:t>
            </w:r>
            <w:proofErr w:type="spellEnd"/>
            <w:r w:rsidR="00691FA4">
              <w:t xml:space="preserve"> (aerosol)</w:t>
            </w:r>
            <w:r w:rsidR="00A31451">
              <w:t>: 3.6–75 mg/</w:t>
            </w:r>
            <w:proofErr w:type="spellStart"/>
            <w:r w:rsidR="00A31451">
              <w:t>m</w:t>
            </w:r>
            <w:r w:rsidR="00A31451" w:rsidRPr="002F2F27">
              <w:rPr>
                <w:vertAlign w:val="superscript"/>
              </w:rPr>
              <w:t>3</w:t>
            </w:r>
            <w:proofErr w:type="spellEnd"/>
            <w:r w:rsidR="00A31451">
              <w:t xml:space="preserve"> </w:t>
            </w:r>
            <w:r w:rsidR="008331CD">
              <w:t xml:space="preserve">in </w:t>
            </w:r>
            <w:r w:rsidR="004E4432">
              <w:t xml:space="preserve">4 </w:t>
            </w:r>
            <w:r w:rsidR="00A31451">
              <w:t>volunteers</w:t>
            </w:r>
            <w:r w:rsidR="008331CD">
              <w:t xml:space="preserve"> exposed over</w:t>
            </w:r>
            <w:r w:rsidR="00A31451">
              <w:t xml:space="preserve"> </w:t>
            </w:r>
            <w:r w:rsidR="004E4432">
              <w:t>7 d</w:t>
            </w:r>
            <w:r>
              <w:t xml:space="preserve"> </w:t>
            </w:r>
            <w:r w:rsidR="005D499E">
              <w:t>(</w:t>
            </w:r>
            <w:r>
              <w:t>no further information</w:t>
            </w:r>
            <w:r w:rsidR="005D499E">
              <w:t>)</w:t>
            </w:r>
            <w:r w:rsidR="00402F9C">
              <w:t>.</w:t>
            </w:r>
            <w:r w:rsidR="005872AE">
              <w:t xml:space="preserve"> </w:t>
            </w:r>
          </w:p>
          <w:p w14:paraId="558B5CA4" w14:textId="77777777" w:rsidR="005872AE" w:rsidRPr="00DA352E" w:rsidRDefault="005872AE" w:rsidP="005872AE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39EE1253" w14:textId="77777777" w:rsidTr="0009785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7E727C9" w14:textId="77777777" w:rsidR="00C978F0" w:rsidRPr="00DA352E" w:rsidRDefault="00DA352E" w:rsidP="00FF332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jc w:val="center"/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F3328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F3328" w:rsidRPr="00FF3328">
                  <w:t>TWA</w:t>
                </w:r>
                <w:r w:rsidR="00FF3328">
                  <w:t>: 20 ppm (52 mg/</w:t>
                </w:r>
                <w:proofErr w:type="spellStart"/>
                <w:r w:rsidR="00FF3328">
                  <w:t>m</w:t>
                </w:r>
                <w:r w:rsidR="00FF3328" w:rsidRPr="00FF3328">
                  <w:rPr>
                    <w:vertAlign w:val="superscript"/>
                  </w:rPr>
                  <w:t>3</w:t>
                </w:r>
                <w:proofErr w:type="spellEnd"/>
                <w:r w:rsidR="00FF3328">
                  <w:t xml:space="preserve">); </w:t>
                </w:r>
                <w:r w:rsidR="004E4432">
                  <w:t>STEL</w:t>
                </w:r>
                <w:r w:rsidR="00FF3328">
                  <w:t>: 40 ppm (104 mg/</w:t>
                </w:r>
                <w:proofErr w:type="spellStart"/>
                <w:r w:rsidR="00FF3328">
                  <w:t>m</w:t>
                </w:r>
                <w:r w:rsidR="00FF3328" w:rsidRPr="00FF3328">
                  <w:rPr>
                    <w:vertAlign w:val="superscript"/>
                  </w:rPr>
                  <w:t>3</w:t>
                </w:r>
                <w:proofErr w:type="spellEnd"/>
                <w:r w:rsidR="00FF3328">
                  <w:t>)</w:t>
                </w:r>
              </w:sdtContent>
            </w:sdt>
          </w:p>
        </w:tc>
      </w:tr>
      <w:tr w:rsidR="00C978F0" w:rsidRPr="00DA352E" w14:paraId="4A672F65" w14:textId="77777777" w:rsidTr="00097854">
        <w:trPr>
          <w:gridAfter w:val="1"/>
          <w:wAfter w:w="8" w:type="pct"/>
        </w:trPr>
        <w:tc>
          <w:tcPr>
            <w:tcW w:w="4992" w:type="pct"/>
          </w:tcPr>
          <w:p w14:paraId="7D41DEDA" w14:textId="431C388D" w:rsidR="00C978F0" w:rsidRDefault="006970E7" w:rsidP="00C12997">
            <w:pPr>
              <w:pStyle w:val="ListBullet"/>
              <w:numPr>
                <w:ilvl w:val="0"/>
                <w:numId w:val="0"/>
              </w:numPr>
            </w:pPr>
            <w:r>
              <w:t>T</w:t>
            </w:r>
            <w:r w:rsidR="002270F6" w:rsidRPr="002270F6">
              <w:t>he critic</w:t>
            </w:r>
            <w:r w:rsidR="007E6E2A">
              <w:t>al effect is</w:t>
            </w:r>
            <w:r w:rsidR="002270F6">
              <w:t xml:space="preserve"> </w:t>
            </w:r>
            <w:r w:rsidR="002270F6" w:rsidRPr="002270F6">
              <w:t>irritation of the mucous membranes.</w:t>
            </w:r>
            <w:r w:rsidR="00C12997">
              <w:t xml:space="preserve"> </w:t>
            </w:r>
          </w:p>
          <w:p w14:paraId="630F5631" w14:textId="36F716C0" w:rsidR="00C12997" w:rsidRDefault="002270F6" w:rsidP="0071737D">
            <w:pPr>
              <w:pStyle w:val="Tabletextprimarysource"/>
            </w:pPr>
            <w:r>
              <w:t>Summary of additional data:</w:t>
            </w:r>
            <w:r w:rsidR="00C12997">
              <w:t xml:space="preserve"> </w:t>
            </w:r>
          </w:p>
          <w:p w14:paraId="5E6A7F86" w14:textId="77777777" w:rsidR="00C12997" w:rsidRDefault="00C12997" w:rsidP="0071737D">
            <w:pPr>
              <w:pStyle w:val="Tabletextprimarysource"/>
            </w:pPr>
            <w:r>
              <w:t>Skin</w:t>
            </w:r>
            <w:r w:rsidRPr="00C12997">
              <w:t xml:space="preserve"> notation recommended as dermal absorption could contribute substa</w:t>
            </w:r>
            <w:r>
              <w:t>ntially to the total body burden</w:t>
            </w:r>
            <w:r w:rsidR="00DA3514">
              <w:t>.</w:t>
            </w:r>
          </w:p>
          <w:p w14:paraId="36AB1CD5" w14:textId="77777777" w:rsidR="005A4A3E" w:rsidRDefault="005A4A3E" w:rsidP="002F2F27">
            <w:pPr>
              <w:pStyle w:val="ListBullet"/>
              <w:numPr>
                <w:ilvl w:val="0"/>
                <w:numId w:val="0"/>
              </w:numPr>
            </w:pPr>
            <w:r>
              <w:t>No differentiation between vapours and aerosol exposure values.</w:t>
            </w:r>
          </w:p>
          <w:p w14:paraId="5BC6DA6C" w14:textId="3D43932F" w:rsidR="00F61E11" w:rsidRDefault="002270F6" w:rsidP="003365A5">
            <w:pPr>
              <w:pStyle w:val="Tabletextprimarysource"/>
            </w:pPr>
            <w:r>
              <w:t>Human data</w:t>
            </w:r>
            <w:r w:rsidR="003905B7">
              <w:t>:</w:t>
            </w:r>
          </w:p>
          <w:p w14:paraId="44D7F4CA" w14:textId="128C398F" w:rsidR="00305C1F" w:rsidRDefault="00305C1F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Liquid strongly irritating to eyes</w:t>
            </w:r>
            <w:r w:rsidR="007E6E2A">
              <w:t xml:space="preserve">, </w:t>
            </w:r>
            <w:r w:rsidR="004D68E6">
              <w:t>no</w:t>
            </w:r>
            <w:r w:rsidR="009848A8">
              <w:t xml:space="preserve"> significant evidence to classify as sensitising </w:t>
            </w:r>
          </w:p>
          <w:p w14:paraId="2BD6C9D1" w14:textId="77777777" w:rsidR="00806F18" w:rsidRDefault="00806F18" w:rsidP="007E6E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Accidental exposure into worker eyes</w:t>
            </w:r>
            <w:r w:rsidRPr="00806F18">
              <w:t xml:space="preserve"> caused conjunctival congestion, oedema, reduced light reflex and severe keratitis which healed </w:t>
            </w:r>
            <w:r>
              <w:t xml:space="preserve">after 4 </w:t>
            </w:r>
            <w:proofErr w:type="spellStart"/>
            <w:r>
              <w:t>wk</w:t>
            </w:r>
            <w:proofErr w:type="spellEnd"/>
          </w:p>
          <w:p w14:paraId="76B63C32" w14:textId="278AE342" w:rsidR="00F61E11" w:rsidRDefault="00921CDA" w:rsidP="00921C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Volunteers exposed to aerosolised material for 20–22 h/d for 4 </w:t>
            </w:r>
            <w:proofErr w:type="spellStart"/>
            <w:r>
              <w:t>wk</w:t>
            </w:r>
            <w:proofErr w:type="spellEnd"/>
            <w:r>
              <w:t xml:space="preserve"> at 3–67 mg/</w:t>
            </w:r>
            <w:proofErr w:type="spellStart"/>
            <w:r>
              <w:t>m</w:t>
            </w:r>
            <w:r w:rsidRPr="00BD39C9">
              <w:rPr>
                <w:vertAlign w:val="superscript"/>
              </w:rPr>
              <w:t>3</w:t>
            </w:r>
            <w:proofErr w:type="spellEnd"/>
            <w:r>
              <w:t xml:space="preserve"> (1–26</w:t>
            </w:r>
            <w:r w:rsidR="00402F9C">
              <w:t> </w:t>
            </w:r>
            <w:r>
              <w:t>ppm</w:t>
            </w:r>
            <w:r w:rsidR="00402F9C">
              <w:t>; daily average</w:t>
            </w:r>
            <w:r>
              <w:t xml:space="preserve">) and </w:t>
            </w:r>
            <w:r w:rsidR="00402F9C">
              <w:t>at</w:t>
            </w:r>
            <w:r>
              <w:t xml:space="preserve"> 17–49 mg/</w:t>
            </w:r>
            <w:proofErr w:type="spellStart"/>
            <w:r>
              <w:t>m</w:t>
            </w:r>
            <w:r w:rsidRPr="00BD39C9">
              <w:rPr>
                <w:vertAlign w:val="superscript"/>
              </w:rPr>
              <w:t>3</w:t>
            </w:r>
            <w:proofErr w:type="spellEnd"/>
            <w:r>
              <w:t xml:space="preserve"> (6.6–19 ppm</w:t>
            </w:r>
            <w:r w:rsidR="00402F9C">
              <w:t>; mean weekly</w:t>
            </w:r>
            <w:r>
              <w:t>)</w:t>
            </w:r>
            <w:r w:rsidR="00402F9C">
              <w:t>:</w:t>
            </w:r>
          </w:p>
          <w:p w14:paraId="5217EF2C" w14:textId="163D2AB4" w:rsidR="00921CDA" w:rsidRDefault="00921CDA" w:rsidP="00921CDA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proofErr w:type="spellStart"/>
            <w:r>
              <w:t>NOAEC</w:t>
            </w:r>
            <w:proofErr w:type="spellEnd"/>
            <w:r>
              <w:t xml:space="preserve"> established at 67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from this study</w:t>
            </w:r>
          </w:p>
          <w:p w14:paraId="01E7B8D8" w14:textId="2C289E56" w:rsidR="00921CDA" w:rsidRDefault="00921CDA" w:rsidP="001A1AC6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study also cited by </w:t>
            </w:r>
            <w:proofErr w:type="spellStart"/>
            <w:r>
              <w:t>ACGIH</w:t>
            </w:r>
            <w:proofErr w:type="spellEnd"/>
            <w:r>
              <w:t xml:space="preserve"> (2018)</w:t>
            </w:r>
          </w:p>
          <w:p w14:paraId="2F3ADB26" w14:textId="64723582" w:rsidR="00402F9C" w:rsidRDefault="00921CDA" w:rsidP="00475A60">
            <w:pPr>
              <w:pStyle w:val="ListBullet"/>
              <w:numPr>
                <w:ilvl w:val="0"/>
                <w:numId w:val="16"/>
              </w:numPr>
              <w:spacing w:before="60" w:after="60"/>
              <w:contextualSpacing w:val="0"/>
            </w:pPr>
            <w:r>
              <w:t xml:space="preserve">The reported </w:t>
            </w:r>
            <w:proofErr w:type="spellStart"/>
            <w:r w:rsidR="000C1D4E">
              <w:t>NOAEC</w:t>
            </w:r>
            <w:proofErr w:type="spellEnd"/>
            <w:r w:rsidR="000C1D4E">
              <w:t xml:space="preserve"> </w:t>
            </w:r>
            <w:r>
              <w:t>of 67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is used as the </w:t>
            </w:r>
            <w:r w:rsidR="004C3905">
              <w:t xml:space="preserve">basis for </w:t>
            </w:r>
            <w:proofErr w:type="spellStart"/>
            <w:r w:rsidR="004D68E6">
              <w:t>SCOEL</w:t>
            </w:r>
            <w:proofErr w:type="spellEnd"/>
            <w:r w:rsidR="004D68E6">
              <w:t xml:space="preserve"> TWA</w:t>
            </w:r>
            <w:r w:rsidR="003905B7">
              <w:t>:</w:t>
            </w:r>
          </w:p>
          <w:p w14:paraId="7C505001" w14:textId="0E7883A1" w:rsidR="00643A17" w:rsidRDefault="00475A60" w:rsidP="00402F9C">
            <w:pPr>
              <w:pStyle w:val="ListBullet"/>
              <w:numPr>
                <w:ilvl w:val="0"/>
                <w:numId w:val="19"/>
              </w:numPr>
              <w:spacing w:before="60" w:after="60"/>
              <w:contextualSpacing w:val="0"/>
            </w:pPr>
            <w:proofErr w:type="spellStart"/>
            <w:r>
              <w:t>UF</w:t>
            </w:r>
            <w:proofErr w:type="spellEnd"/>
            <w:r w:rsidR="004C3905">
              <w:t xml:space="preserve"> of 2</w:t>
            </w:r>
            <w:r w:rsidR="00074F6B">
              <w:t xml:space="preserve"> </w:t>
            </w:r>
            <w:r w:rsidR="004E4432">
              <w:t>applied</w:t>
            </w:r>
            <w:r w:rsidR="005A4A3E">
              <w:t xml:space="preserve"> </w:t>
            </w:r>
            <w:r w:rsidR="00527092">
              <w:t xml:space="preserve">as </w:t>
            </w:r>
            <w:r w:rsidR="00921CDA">
              <w:t xml:space="preserve">the </w:t>
            </w:r>
            <w:r w:rsidR="00527092">
              <w:t>stud</w:t>
            </w:r>
            <w:r w:rsidR="00921CDA">
              <w:t>y</w:t>
            </w:r>
            <w:r w:rsidR="004C3905">
              <w:t xml:space="preserve"> had extended </w:t>
            </w:r>
            <w:r w:rsidR="00C700C3">
              <w:t xml:space="preserve">exposure </w:t>
            </w:r>
            <w:r w:rsidR="004C3905">
              <w:t>(20</w:t>
            </w:r>
            <w:r w:rsidR="005472A1">
              <w:t>–</w:t>
            </w:r>
            <w:r w:rsidR="004C3905">
              <w:t>22 h/d)</w:t>
            </w:r>
            <w:r w:rsidR="00921CDA">
              <w:rPr>
                <w:rStyle w:val="CommentReference"/>
              </w:rPr>
              <w:t>,</w:t>
            </w:r>
            <w:r w:rsidR="00643A17">
              <w:t xml:space="preserve"> to allow for interindividual variation and for the absence of </w:t>
            </w:r>
            <w:r w:rsidR="00321A46">
              <w:t>long-term</w:t>
            </w:r>
            <w:r w:rsidR="00643A17">
              <w:t xml:space="preserve"> human</w:t>
            </w:r>
            <w:r w:rsidR="00D17816">
              <w:t xml:space="preserve"> studies</w:t>
            </w:r>
          </w:p>
          <w:p w14:paraId="301A258F" w14:textId="275AABCE" w:rsidR="00527092" w:rsidRDefault="00D03273" w:rsidP="00475A60">
            <w:pPr>
              <w:pStyle w:val="ListBullet"/>
              <w:numPr>
                <w:ilvl w:val="0"/>
                <w:numId w:val="16"/>
              </w:numPr>
              <w:spacing w:before="60" w:after="60"/>
              <w:contextualSpacing w:val="0"/>
            </w:pPr>
            <w:r>
              <w:t>TWA of 20 ppm (52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 is calculated by r</w:t>
            </w:r>
            <w:r w:rsidR="00921CDA">
              <w:t xml:space="preserve">ounding the resultant value down </w:t>
            </w:r>
          </w:p>
          <w:p w14:paraId="483037A2" w14:textId="0C7BA85A" w:rsidR="00F61E11" w:rsidRDefault="0059347C" w:rsidP="0052709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effects in eyes </w:t>
            </w:r>
            <w:r w:rsidR="00402F9C">
              <w:t>of</w:t>
            </w:r>
            <w:r>
              <w:t xml:space="preserve"> rabbits </w:t>
            </w:r>
            <w:r w:rsidR="00665CDA">
              <w:t xml:space="preserve">and </w:t>
            </w:r>
            <w:r>
              <w:t xml:space="preserve">rats exposed at </w:t>
            </w:r>
            <w:r>
              <w:rPr>
                <w:rFonts w:cs="Arial"/>
              </w:rPr>
              <w:t>10 mg/</w:t>
            </w:r>
            <w:proofErr w:type="spellStart"/>
            <w:r>
              <w:rPr>
                <w:rFonts w:cs="Arial"/>
              </w:rPr>
              <w:t>m</w:t>
            </w:r>
            <w:r>
              <w:rPr>
                <w:rFonts w:cs="Arial"/>
                <w:vertAlign w:val="superscript"/>
              </w:rPr>
              <w:t>3</w:t>
            </w:r>
            <w:proofErr w:type="spellEnd"/>
            <w:r>
              <w:rPr>
                <w:rFonts w:cs="Arial"/>
              </w:rPr>
              <w:t xml:space="preserve"> </w:t>
            </w:r>
            <w:r w:rsidR="00643A17">
              <w:rPr>
                <w:rFonts w:cs="Arial"/>
              </w:rPr>
              <w:t xml:space="preserve">(3.9 ppm) </w:t>
            </w:r>
            <w:r>
              <w:rPr>
                <w:rFonts w:cs="Arial"/>
              </w:rPr>
              <w:t>and 57</w:t>
            </w:r>
            <w:r w:rsidR="007E6E2A">
              <w:rPr>
                <w:rFonts w:cs="Arial"/>
              </w:rPr>
              <w:t> </w:t>
            </w:r>
            <w:r>
              <w:rPr>
                <w:rFonts w:cs="Arial"/>
              </w:rPr>
              <w:t>mg/</w:t>
            </w:r>
            <w:proofErr w:type="spellStart"/>
            <w:r>
              <w:rPr>
                <w:rFonts w:cs="Arial"/>
              </w:rPr>
              <w:t>m</w:t>
            </w:r>
            <w:r>
              <w:rPr>
                <w:rFonts w:cs="Arial"/>
                <w:vertAlign w:val="superscript"/>
              </w:rPr>
              <w:t>3</w:t>
            </w:r>
            <w:proofErr w:type="spellEnd"/>
            <w:r>
              <w:rPr>
                <w:rFonts w:cs="Arial"/>
              </w:rPr>
              <w:t xml:space="preserve"> (</w:t>
            </w:r>
            <w:r>
              <w:t>22</w:t>
            </w:r>
            <w:r w:rsidR="00402F9C">
              <w:t> </w:t>
            </w:r>
            <w:r>
              <w:t>ppm) 8 h/d, 5 d/</w:t>
            </w:r>
            <w:proofErr w:type="spellStart"/>
            <w:r>
              <w:t>wk</w:t>
            </w:r>
            <w:proofErr w:type="spellEnd"/>
            <w:r>
              <w:t xml:space="preserve"> for 6 </w:t>
            </w:r>
            <w:proofErr w:type="spellStart"/>
            <w:r>
              <w:t>wk</w:t>
            </w:r>
            <w:proofErr w:type="spellEnd"/>
            <w:r w:rsidR="007E6E2A">
              <w:t xml:space="preserve"> (cited by </w:t>
            </w:r>
            <w:proofErr w:type="spellStart"/>
            <w:r w:rsidR="007E6E2A">
              <w:t>ACGIH</w:t>
            </w:r>
            <w:proofErr w:type="spellEnd"/>
            <w:r w:rsidR="007E6E2A">
              <w:t>, 2018)</w:t>
            </w:r>
            <w:r w:rsidR="003905B7">
              <w:t>:</w:t>
            </w:r>
          </w:p>
          <w:p w14:paraId="1A29768F" w14:textId="2D4F204F" w:rsidR="009848A8" w:rsidRDefault="00643A17" w:rsidP="00AF2116">
            <w:pPr>
              <w:pStyle w:val="ListBullet"/>
              <w:numPr>
                <w:ilvl w:val="0"/>
                <w:numId w:val="5"/>
              </w:numPr>
              <w:spacing w:before="60" w:after="60"/>
              <w:ind w:left="1077" w:hanging="357"/>
              <w:contextualSpacing w:val="0"/>
            </w:pPr>
            <w:r>
              <w:t>basis for STEL</w:t>
            </w:r>
            <w:r w:rsidR="00234F26">
              <w:t xml:space="preserve"> not</w:t>
            </w:r>
            <w:r>
              <w:t xml:space="preserve"> provided</w:t>
            </w:r>
            <w:r w:rsidR="001A1AC6">
              <w:t>.</w:t>
            </w:r>
          </w:p>
          <w:p w14:paraId="7CD32A39" w14:textId="746C46B9" w:rsidR="00F61E11" w:rsidRDefault="002270F6" w:rsidP="003365A5">
            <w:pPr>
              <w:pStyle w:val="Tabletextprimarysource"/>
            </w:pPr>
            <w:r>
              <w:t>Animal data</w:t>
            </w:r>
          </w:p>
          <w:p w14:paraId="37207543" w14:textId="222E9FBA" w:rsidR="002270F6" w:rsidRDefault="009848A8" w:rsidP="002F2F27">
            <w:pPr>
              <w:pStyle w:val="ListBullet"/>
              <w:spacing w:before="60" w:after="60"/>
              <w:ind w:left="714" w:hanging="357"/>
              <w:contextualSpacing w:val="0"/>
              <w:rPr>
                <w:i/>
              </w:rPr>
            </w:pPr>
            <w:r>
              <w:t>N</w:t>
            </w:r>
            <w:r w:rsidRPr="009848A8">
              <w:t xml:space="preserve">ot genotoxic </w:t>
            </w:r>
            <w:r w:rsidR="00B3291B">
              <w:t>in</w:t>
            </w:r>
            <w:r w:rsidRPr="009848A8">
              <w:t xml:space="preserve"> bacteria</w:t>
            </w:r>
            <w:r w:rsidR="00B3291B">
              <w:t>l</w:t>
            </w:r>
            <w:r w:rsidRPr="009848A8">
              <w:t xml:space="preserve"> or mammalian cells </w:t>
            </w:r>
            <w:r w:rsidRPr="009848A8">
              <w:rPr>
                <w:i/>
              </w:rPr>
              <w:t>in vitro</w:t>
            </w:r>
          </w:p>
          <w:p w14:paraId="119B07E2" w14:textId="4773DA8B" w:rsidR="00402F9C" w:rsidRDefault="00290227" w:rsidP="002F2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Reported e</w:t>
            </w:r>
            <w:r w:rsidR="009848A8" w:rsidRPr="004D68E6">
              <w:t>vidence of dose</w:t>
            </w:r>
            <w:r w:rsidR="00B3291B">
              <w:t>-</w:t>
            </w:r>
            <w:r w:rsidR="009848A8" w:rsidRPr="004D68E6">
              <w:t>related developmental toxicity in rat</w:t>
            </w:r>
            <w:r w:rsidR="001D615C">
              <w:t>s</w:t>
            </w:r>
            <w:r>
              <w:t xml:space="preserve"> and mice following oral dosing and inhalation</w:t>
            </w:r>
            <w:r w:rsidR="003905B7">
              <w:t>:</w:t>
            </w:r>
            <w:r>
              <w:t xml:space="preserve"> </w:t>
            </w:r>
          </w:p>
          <w:p w14:paraId="733F69BF" w14:textId="7C8F9DC6" w:rsidR="009848A8" w:rsidRDefault="00290227" w:rsidP="00402F9C">
            <w:pPr>
              <w:pStyle w:val="ListBullet"/>
              <w:numPr>
                <w:ilvl w:val="0"/>
                <w:numId w:val="19"/>
              </w:numPr>
              <w:spacing w:before="60" w:after="60"/>
              <w:contextualSpacing w:val="0"/>
            </w:pPr>
            <w:r>
              <w:t>no effect levels were 250 mg/kg (oral), 150 mg/</w:t>
            </w:r>
            <w:proofErr w:type="spellStart"/>
            <w:r>
              <w:t>m</w:t>
            </w:r>
            <w:r w:rsidRPr="0071737D">
              <w:rPr>
                <w:vertAlign w:val="superscript"/>
              </w:rPr>
              <w:t>3</w:t>
            </w:r>
            <w:proofErr w:type="spellEnd"/>
            <w:r w:rsidRPr="00402F9C">
              <w:t xml:space="preserve"> </w:t>
            </w:r>
            <w:r>
              <w:t>whole body exposure and 1</w:t>
            </w:r>
            <w:r w:rsidR="00687FE1">
              <w:t>,</w:t>
            </w:r>
            <w:r>
              <w:t>000</w:t>
            </w:r>
            <w:r w:rsidR="00402F9C">
              <w:t> </w:t>
            </w:r>
            <w:r>
              <w:t>mg/</w:t>
            </w:r>
            <w:proofErr w:type="spellStart"/>
            <w:r>
              <w:t>m</w:t>
            </w:r>
            <w:r w:rsidRPr="0071737D">
              <w:rPr>
                <w:vertAlign w:val="superscript"/>
              </w:rPr>
              <w:t>3</w:t>
            </w:r>
            <w:proofErr w:type="spellEnd"/>
            <w:r w:rsidRPr="0071737D">
              <w:rPr>
                <w:vertAlign w:val="superscript"/>
              </w:rPr>
              <w:t xml:space="preserve"> </w:t>
            </w:r>
            <w:r>
              <w:t>nose-only exposure</w:t>
            </w:r>
            <w:r w:rsidR="00234F26">
              <w:t xml:space="preserve"> </w:t>
            </w:r>
            <w:r w:rsidR="00C54005">
              <w:t>(</w:t>
            </w:r>
            <w:r w:rsidR="00234F26">
              <w:t>no further information</w:t>
            </w:r>
            <w:r>
              <w:t>)</w:t>
            </w:r>
            <w:r w:rsidR="001A1AC6">
              <w:t>.</w:t>
            </w:r>
          </w:p>
          <w:p w14:paraId="62C8BF7E" w14:textId="77777777" w:rsidR="001D615C" w:rsidRPr="004D68E6" w:rsidRDefault="001D615C" w:rsidP="001D615C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DA352E" w:rsidRPr="00DA352E" w14:paraId="482526A7" w14:textId="77777777" w:rsidTr="0009785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9221B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F332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FF3328">
                  <w:t>NA</w:t>
                </w:r>
                <w:proofErr w:type="spellEnd"/>
              </w:sdtContent>
            </w:sdt>
          </w:p>
        </w:tc>
      </w:tr>
      <w:tr w:rsidR="00DA352E" w:rsidRPr="00DA352E" w14:paraId="02B4CA67" w14:textId="77777777" w:rsidTr="00097854">
        <w:trPr>
          <w:gridAfter w:val="1"/>
          <w:wAfter w:w="8" w:type="pct"/>
        </w:trPr>
        <w:tc>
          <w:tcPr>
            <w:tcW w:w="4992" w:type="pct"/>
          </w:tcPr>
          <w:p w14:paraId="5448AA29" w14:textId="77777777" w:rsidR="00DA352E" w:rsidRPr="00DA352E" w:rsidRDefault="00FF3328" w:rsidP="003365A5">
            <w:pPr>
              <w:pStyle w:val="Tabletextprimarysource"/>
            </w:pPr>
            <w:r>
              <w:t>No report</w:t>
            </w:r>
            <w:r w:rsidR="004E4432">
              <w:t>.</w:t>
            </w:r>
          </w:p>
        </w:tc>
      </w:tr>
      <w:tr w:rsidR="00DA352E" w:rsidRPr="00DA352E" w14:paraId="71CA0861" w14:textId="77777777" w:rsidTr="0009785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CC58D4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F332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FF3328">
                  <w:t>NA</w:t>
                </w:r>
                <w:proofErr w:type="spellEnd"/>
              </w:sdtContent>
            </w:sdt>
          </w:p>
        </w:tc>
      </w:tr>
      <w:tr w:rsidR="00DA352E" w:rsidRPr="00DA352E" w14:paraId="7F732B06" w14:textId="77777777" w:rsidTr="00097854">
        <w:trPr>
          <w:gridAfter w:val="1"/>
          <w:wAfter w:w="8" w:type="pct"/>
        </w:trPr>
        <w:tc>
          <w:tcPr>
            <w:tcW w:w="4992" w:type="pct"/>
          </w:tcPr>
          <w:p w14:paraId="6EB06081" w14:textId="77777777" w:rsidR="00DA352E" w:rsidRPr="00DA352E" w:rsidRDefault="00FF3328" w:rsidP="003365A5">
            <w:pPr>
              <w:pStyle w:val="Tabletextprimarysource"/>
            </w:pPr>
            <w:r>
              <w:t>No report</w:t>
            </w:r>
            <w:r w:rsidR="004E4432">
              <w:t>.</w:t>
            </w:r>
          </w:p>
        </w:tc>
      </w:tr>
    </w:tbl>
    <w:p w14:paraId="0046704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6DFFF77D" w14:textId="77777777" w:rsidTr="000978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294D36D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23CDB87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3BE859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7F189B0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734F983" w14:textId="77777777" w:rsidTr="00097854">
        <w:trPr>
          <w:cantSplit/>
        </w:trPr>
        <w:tc>
          <w:tcPr>
            <w:tcW w:w="1495" w:type="dxa"/>
          </w:tcPr>
          <w:p w14:paraId="0FC66D2D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4A570714" w14:textId="77777777" w:rsidR="004966BF" w:rsidRPr="00CE617F" w:rsidRDefault="0022631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0450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7B758CB" w14:textId="77777777" w:rsidR="004966BF" w:rsidRPr="004C23F4" w:rsidRDefault="0070450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7" w:type="dxa"/>
          </w:tcPr>
          <w:p w14:paraId="1FD62503" w14:textId="77777777" w:rsidR="004966BF" w:rsidRDefault="00EF0E06" w:rsidP="002F2F27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Systemic t</w:t>
            </w:r>
            <w:r w:rsidR="0064497E">
              <w:rPr>
                <w:rStyle w:val="checkbox"/>
                <w:rFonts w:ascii="Arial" w:hAnsi="Arial" w:cs="Arial"/>
              </w:rPr>
              <w:t>o</w:t>
            </w:r>
            <w:r w:rsidR="0064497E" w:rsidRPr="0064497E">
              <w:rPr>
                <w:rStyle w:val="checkbox"/>
                <w:rFonts w:ascii="Arial" w:hAnsi="Arial" w:cs="Arial"/>
              </w:rPr>
              <w:t xml:space="preserve">xicity attributed to glycolic acid and oxalic acid, </w:t>
            </w:r>
            <w:r w:rsidR="00F4022A">
              <w:rPr>
                <w:rStyle w:val="checkbox"/>
                <w:rFonts w:ascii="Arial" w:hAnsi="Arial" w:cs="Arial"/>
              </w:rPr>
              <w:t xml:space="preserve">which are </w:t>
            </w:r>
            <w:r w:rsidR="0064497E" w:rsidRPr="0064497E">
              <w:rPr>
                <w:rStyle w:val="checkbox"/>
                <w:rFonts w:ascii="Arial" w:hAnsi="Arial" w:cs="Arial"/>
              </w:rPr>
              <w:t>major metabolites</w:t>
            </w:r>
          </w:p>
          <w:p w14:paraId="75569F94" w14:textId="77777777" w:rsidR="007808C9" w:rsidRPr="004C23F4" w:rsidRDefault="007808C9" w:rsidP="002F2F27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Low acute toxicity</w:t>
            </w:r>
            <w:r w:rsidR="004E4432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F0FCD4D" w14:textId="77777777" w:rsidTr="00097854">
        <w:trPr>
          <w:cantSplit/>
        </w:trPr>
        <w:tc>
          <w:tcPr>
            <w:tcW w:w="1495" w:type="dxa"/>
          </w:tcPr>
          <w:p w14:paraId="6654DD18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60B2DEFF" w14:textId="77777777" w:rsidR="004966BF" w:rsidRPr="00CE617F" w:rsidRDefault="0022631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74F6B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4921D173" w14:textId="77777777" w:rsidR="004966BF" w:rsidRPr="004C23F4" w:rsidRDefault="00074F6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7" w:type="dxa"/>
          </w:tcPr>
          <w:p w14:paraId="316D0970" w14:textId="77777777" w:rsidR="004966BF" w:rsidRPr="004C23F4" w:rsidRDefault="004E4432" w:rsidP="002F2F27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Oral assessment only.</w:t>
            </w:r>
          </w:p>
        </w:tc>
      </w:tr>
      <w:tr w:rsidR="004966BF" w:rsidRPr="004C23F4" w14:paraId="160EF7BC" w14:textId="77777777" w:rsidTr="00097854">
        <w:trPr>
          <w:cantSplit/>
        </w:trPr>
        <w:tc>
          <w:tcPr>
            <w:tcW w:w="1495" w:type="dxa"/>
          </w:tcPr>
          <w:p w14:paraId="5C43E4FA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3" w:type="dxa"/>
          </w:tcPr>
          <w:p w14:paraId="33B43B24" w14:textId="77777777" w:rsidR="004966BF" w:rsidRPr="00CE617F" w:rsidRDefault="0022631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0450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44D9245" w14:textId="77777777" w:rsidR="004966BF" w:rsidRPr="004C23F4" w:rsidRDefault="0041566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2004</w:t>
            </w:r>
          </w:p>
        </w:tc>
        <w:tc>
          <w:tcPr>
            <w:tcW w:w="6447" w:type="dxa"/>
          </w:tcPr>
          <w:p w14:paraId="4EF131C3" w14:textId="77777777" w:rsidR="004966BF" w:rsidRPr="004C23F4" w:rsidRDefault="0041566C" w:rsidP="002F2F27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Chemical is a candidate for further risk assessment work</w:t>
            </w:r>
            <w:r w:rsidR="004E4432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7429E5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AE5FB34" w14:textId="77777777" w:rsidTr="00C3467B">
        <w:trPr>
          <w:trHeight w:val="454"/>
          <w:tblHeader/>
        </w:trPr>
        <w:tc>
          <w:tcPr>
            <w:tcW w:w="6603" w:type="dxa"/>
            <w:vAlign w:val="center"/>
          </w:tcPr>
          <w:p w14:paraId="31C2696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A521B17" w14:textId="77777777" w:rsidR="002E0D61" w:rsidRDefault="00C3467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3D70D00" w14:textId="77777777" w:rsidTr="00C3467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3E2B60F" w14:textId="77777777" w:rsidR="008A36CF" w:rsidRPr="006901A2" w:rsidRDefault="00C3467B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B6F31D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C1A65F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90F6858" w14:textId="77777777" w:rsidTr="000978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BC6413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FC1CE2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1DF72B9" w14:textId="77777777" w:rsidTr="00097854">
        <w:trPr>
          <w:cantSplit/>
        </w:trPr>
        <w:tc>
          <w:tcPr>
            <w:tcW w:w="3227" w:type="dxa"/>
          </w:tcPr>
          <w:p w14:paraId="4F22C33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3A73D18" w14:textId="77777777" w:rsidR="00687890" w:rsidRPr="00DD2F9B" w:rsidRDefault="00FF3328" w:rsidP="00DD2F9B">
            <w:pPr>
              <w:pStyle w:val="Tablefont"/>
            </w:pPr>
            <w:r w:rsidRPr="00FF3328">
              <w:t>Skin</w:t>
            </w:r>
          </w:p>
        </w:tc>
      </w:tr>
      <w:tr w:rsidR="007925F0" w:rsidRPr="004C23F4" w14:paraId="36793EE3" w14:textId="77777777" w:rsidTr="00097854">
        <w:trPr>
          <w:cantSplit/>
        </w:trPr>
        <w:tc>
          <w:tcPr>
            <w:tcW w:w="3227" w:type="dxa"/>
          </w:tcPr>
          <w:p w14:paraId="3440F51B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3B07D4BE" w14:textId="77777777" w:rsidR="007925F0" w:rsidRPr="00DD2F9B" w:rsidRDefault="00FF3328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072B5509" w14:textId="77777777" w:rsidTr="00097854">
        <w:trPr>
          <w:cantSplit/>
        </w:trPr>
        <w:tc>
          <w:tcPr>
            <w:tcW w:w="3227" w:type="dxa"/>
          </w:tcPr>
          <w:p w14:paraId="646E5757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78198C61" w14:textId="77777777" w:rsidR="00AF483F" w:rsidRPr="00DD2F9B" w:rsidRDefault="00FF3328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720E266" w14:textId="77777777" w:rsidTr="00097854">
        <w:trPr>
          <w:cantSplit/>
        </w:trPr>
        <w:tc>
          <w:tcPr>
            <w:tcW w:w="3227" w:type="dxa"/>
          </w:tcPr>
          <w:p w14:paraId="2469EE0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EDE098B" w14:textId="77777777" w:rsidR="00687890" w:rsidRPr="00DD2F9B" w:rsidRDefault="00FF332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6705E75" w14:textId="77777777" w:rsidTr="00097854">
        <w:trPr>
          <w:cantSplit/>
        </w:trPr>
        <w:tc>
          <w:tcPr>
            <w:tcW w:w="3227" w:type="dxa"/>
          </w:tcPr>
          <w:p w14:paraId="439A592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35A9E1C" w14:textId="77777777" w:rsidR="00E41A26" w:rsidRPr="00DD2F9B" w:rsidRDefault="00FF332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F1D08BC" w14:textId="77777777" w:rsidTr="00097854">
        <w:trPr>
          <w:cantSplit/>
        </w:trPr>
        <w:tc>
          <w:tcPr>
            <w:tcW w:w="3227" w:type="dxa"/>
          </w:tcPr>
          <w:p w14:paraId="6FE47083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29BD52C5" w14:textId="77777777" w:rsidR="002E0D61" w:rsidRPr="00DD2F9B" w:rsidRDefault="00FF3328" w:rsidP="00DD2F9B">
            <w:pPr>
              <w:pStyle w:val="Tablefont"/>
            </w:pPr>
            <w:r w:rsidRPr="00FF3328">
              <w:t xml:space="preserve">Carcinogenicity – </w:t>
            </w:r>
            <w:proofErr w:type="spellStart"/>
            <w:r w:rsidRPr="00FF3328">
              <w:t>A4</w:t>
            </w:r>
            <w:proofErr w:type="spellEnd"/>
          </w:p>
        </w:tc>
      </w:tr>
      <w:tr w:rsidR="002E0D61" w:rsidRPr="004C23F4" w14:paraId="5CD7B24C" w14:textId="77777777" w:rsidTr="00097854">
        <w:trPr>
          <w:cantSplit/>
        </w:trPr>
        <w:tc>
          <w:tcPr>
            <w:tcW w:w="3227" w:type="dxa"/>
          </w:tcPr>
          <w:p w14:paraId="77E504D6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27F77F34" w14:textId="77777777" w:rsidR="002E0D61" w:rsidRPr="00DD2F9B" w:rsidRDefault="00FF3328" w:rsidP="00DD2F9B">
            <w:pPr>
              <w:pStyle w:val="Tablefont"/>
            </w:pPr>
            <w:r w:rsidRPr="00FF3328">
              <w:t>H (skin)</w:t>
            </w:r>
          </w:p>
        </w:tc>
      </w:tr>
      <w:tr w:rsidR="002E0D61" w:rsidRPr="004C23F4" w14:paraId="6E4DA042" w14:textId="77777777" w:rsidTr="00097854">
        <w:trPr>
          <w:cantSplit/>
        </w:trPr>
        <w:tc>
          <w:tcPr>
            <w:tcW w:w="3227" w:type="dxa"/>
          </w:tcPr>
          <w:p w14:paraId="59E00797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29020F9" w14:textId="77777777" w:rsidR="002E0D61" w:rsidRPr="00DD2F9B" w:rsidRDefault="00FF3328" w:rsidP="00DD2F9B">
            <w:pPr>
              <w:pStyle w:val="Tablefont"/>
            </w:pPr>
            <w:r w:rsidRPr="00FF3328">
              <w:t>Skin</w:t>
            </w:r>
          </w:p>
        </w:tc>
      </w:tr>
      <w:tr w:rsidR="002E0D61" w:rsidRPr="004C23F4" w14:paraId="599845A1" w14:textId="77777777" w:rsidTr="00097854">
        <w:trPr>
          <w:cantSplit/>
        </w:trPr>
        <w:tc>
          <w:tcPr>
            <w:tcW w:w="3227" w:type="dxa"/>
          </w:tcPr>
          <w:p w14:paraId="3309FFD6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1A888E4" w14:textId="77777777" w:rsidR="002E0D61" w:rsidRPr="00DD2F9B" w:rsidRDefault="00FF332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9AEB94D" w14:textId="77777777" w:rsidTr="00097854">
        <w:trPr>
          <w:cantSplit/>
        </w:trPr>
        <w:tc>
          <w:tcPr>
            <w:tcW w:w="3227" w:type="dxa"/>
          </w:tcPr>
          <w:p w14:paraId="41B4112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4039D1A" w14:textId="77777777" w:rsidR="00386093" w:rsidRPr="00DD2F9B" w:rsidRDefault="00FF332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F9C8478" w14:textId="77777777" w:rsidTr="00097854">
        <w:trPr>
          <w:cantSplit/>
        </w:trPr>
        <w:tc>
          <w:tcPr>
            <w:tcW w:w="3227" w:type="dxa"/>
          </w:tcPr>
          <w:p w14:paraId="0F07840F" w14:textId="77777777" w:rsidR="004079B4" w:rsidRDefault="00386093" w:rsidP="00F4402E">
            <w:pPr>
              <w:pStyle w:val="Tablefont"/>
              <w:keepNext/>
            </w:pPr>
            <w:r>
              <w:lastRenderedPageBreak/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2E61F90F" w14:textId="77777777" w:rsidR="00386093" w:rsidRPr="00DD2F9B" w:rsidRDefault="00FF332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292EF7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9FAB76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49C73A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259A85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EF0E06" w:rsidRPr="004C23F4" w14:paraId="452D909B" w14:textId="77777777" w:rsidTr="00EF0E06">
        <w:trPr>
          <w:cantSplit/>
          <w:tblHeader/>
        </w:trPr>
        <w:tc>
          <w:tcPr>
            <w:tcW w:w="5000" w:type="pct"/>
            <w:shd w:val="clear" w:color="auto" w:fill="FFFFFF" w:themeFill="background1"/>
            <w:vAlign w:val="center"/>
          </w:tcPr>
          <w:p w14:paraId="710E1AF8" w14:textId="77777777" w:rsidR="00EF0E06" w:rsidRPr="00EF0E06" w:rsidRDefault="000C47DC" w:rsidP="00F4402E">
            <w:pPr>
              <w:pStyle w:val="Tableheader"/>
              <w:keepNext/>
              <w:tabs>
                <w:tab w:val="right" w:pos="8800"/>
              </w:tabs>
              <w:rPr>
                <w:b w:val="0"/>
              </w:rPr>
            </w:pPr>
            <w:r w:rsidRPr="000C47DC">
              <w:rPr>
                <w:b w:val="0"/>
              </w:rPr>
              <w:t>Insufficient data to assign a skin notation</w:t>
            </w:r>
            <w:r w:rsidR="007E6E2A">
              <w:rPr>
                <w:b w:val="0"/>
              </w:rPr>
              <w:t>.</w:t>
            </w:r>
          </w:p>
        </w:tc>
      </w:tr>
    </w:tbl>
    <w:bookmarkEnd w:id="3"/>
    <w:p w14:paraId="00117589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D3C9D0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8D6B97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0963359" w14:textId="77777777" w:rsidR="00EB3D1B" w:rsidRDefault="00A225D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960B1C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ED2F1E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D917E9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1B1D8B3" w14:textId="77777777" w:rsidR="001B79E5" w:rsidRDefault="006A3C44" w:rsidP="001B79E5">
                <w:pPr>
                  <w:pStyle w:val="Tablefont"/>
                </w:pPr>
                <w:r w:rsidRPr="006A3C44">
                  <w:t>62.07</w:t>
                </w:r>
              </w:p>
            </w:tc>
          </w:sdtContent>
        </w:sdt>
      </w:tr>
      <w:tr w:rsidR="00A31D99" w:rsidRPr="004C23F4" w14:paraId="70D1D25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978244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586D3688" w14:textId="2E2B815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B3291B">
                  <w:t>2.54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B3291B">
                  <w:t>39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F859EE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7FA37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7AE948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45C0FEE" w14:textId="77777777" w:rsidTr="00EA6243">
        <w:trPr>
          <w:cantSplit/>
        </w:trPr>
        <w:tc>
          <w:tcPr>
            <w:tcW w:w="4077" w:type="dxa"/>
            <w:vAlign w:val="center"/>
          </w:tcPr>
          <w:p w14:paraId="542E71F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4D6ED5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CA9AE8B" w14:textId="77777777" w:rsidTr="00EA6243">
        <w:trPr>
          <w:cantSplit/>
        </w:trPr>
        <w:tc>
          <w:tcPr>
            <w:tcW w:w="4077" w:type="dxa"/>
            <w:vAlign w:val="center"/>
          </w:tcPr>
          <w:p w14:paraId="2ADBD17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DFF77F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63877AF" w14:textId="77777777" w:rsidTr="00EA6243">
        <w:trPr>
          <w:cantSplit/>
        </w:trPr>
        <w:tc>
          <w:tcPr>
            <w:tcW w:w="4077" w:type="dxa"/>
            <w:vAlign w:val="center"/>
          </w:tcPr>
          <w:p w14:paraId="749A01B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3405638" w14:textId="77777777" w:rsidR="00E06F40" w:rsidRPr="00A006A0" w:rsidRDefault="0022631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E44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1F54708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6161FE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56CEF5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26945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1B856E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9D3C22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CB4F9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7E9AA1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A2FF31A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0C8DFAC0" w14:textId="77777777" w:rsidR="00FF3328" w:rsidRDefault="00FF3328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>) (</w:t>
      </w:r>
      <w:r w:rsidR="00A225D5">
        <w:t>2000</w:t>
      </w:r>
      <w:r>
        <w:t xml:space="preserve">) </w:t>
      </w:r>
      <w:proofErr w:type="spellStart"/>
      <w:r w:rsidR="00A225D5">
        <w:t>Ethylenglykol</w:t>
      </w:r>
      <w:proofErr w:type="spellEnd"/>
      <w:r>
        <w:t xml:space="preserve"> – MAK value documentation.</w:t>
      </w:r>
    </w:p>
    <w:p w14:paraId="3DD9441C" w14:textId="77777777" w:rsidR="00FF3328" w:rsidRDefault="00FF3328" w:rsidP="00084859">
      <w:r>
        <w:t>EU Scientific Committee on Occupational Exposure Limits (</w:t>
      </w:r>
      <w:proofErr w:type="spellStart"/>
      <w:r>
        <w:t>SCOEL</w:t>
      </w:r>
      <w:proofErr w:type="spellEnd"/>
      <w:r>
        <w:t>) (</w:t>
      </w:r>
      <w:r w:rsidR="00A225D5">
        <w:t>1995</w:t>
      </w:r>
      <w:r>
        <w:t xml:space="preserve">) Recommendation from the Scientific Committee on Occupational Exposure Limits for </w:t>
      </w:r>
      <w:r w:rsidR="00A225D5" w:rsidRPr="00A225D5">
        <w:t>Ethylene glycol</w:t>
      </w:r>
      <w:r>
        <w:t xml:space="preserve">. </w:t>
      </w:r>
      <w:proofErr w:type="spellStart"/>
      <w:r>
        <w:t>SCOEL</w:t>
      </w:r>
      <w:proofErr w:type="spellEnd"/>
      <w:r>
        <w:t>/</w:t>
      </w:r>
      <w:r w:rsidR="00A225D5" w:rsidRPr="00A225D5">
        <w:t>SUM/40</w:t>
      </w:r>
      <w:r>
        <w:t>.</w:t>
      </w:r>
    </w:p>
    <w:p w14:paraId="5316AE07" w14:textId="77777777" w:rsidR="00FF3328" w:rsidRDefault="00A225D5" w:rsidP="00084859">
      <w:r>
        <w:t>National Industrial Chemicals Notification and Assessment Scheme (</w:t>
      </w:r>
      <w:proofErr w:type="spellStart"/>
      <w:r>
        <w:t>NICNAS</w:t>
      </w:r>
      <w:proofErr w:type="spellEnd"/>
      <w:r>
        <w:t>) (</w:t>
      </w:r>
      <w:r w:rsidRPr="00A225D5">
        <w:t>2016</w:t>
      </w:r>
      <w:r>
        <w:t xml:space="preserve">) </w:t>
      </w:r>
      <w:r w:rsidRPr="00A225D5">
        <w:t>1,2-Ethanediol</w:t>
      </w:r>
      <w:r>
        <w:t xml:space="preserve">: Human health </w:t>
      </w:r>
      <w:r w:rsidRPr="00A225D5">
        <w:t>tier II</w:t>
      </w:r>
      <w:r>
        <w:t xml:space="preserve"> assessment – IMAP report.</w:t>
      </w:r>
    </w:p>
    <w:p w14:paraId="281F23CD" w14:textId="77777777" w:rsidR="00F861C8" w:rsidRPr="00B929CC" w:rsidRDefault="00F861C8" w:rsidP="00F861C8">
      <w:r w:rsidRPr="00E819F5">
        <w:t>Organisation for Economic Cooperation and Development (OECD) (</w:t>
      </w:r>
      <w:r>
        <w:t>2004</w:t>
      </w:r>
      <w:r w:rsidRPr="00E819F5">
        <w:t xml:space="preserve">) SIDS initial assessment profile – </w:t>
      </w:r>
      <w:r>
        <w:t>Ethylene glycol.</w:t>
      </w:r>
    </w:p>
    <w:p w14:paraId="4DAD4078" w14:textId="77777777" w:rsidR="00F861C8" w:rsidRPr="00351FE0" w:rsidRDefault="00F861C8" w:rsidP="00084859"/>
    <w:sectPr w:rsidR="00F861C8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0757" w14:textId="77777777" w:rsidR="009E0C7A" w:rsidRDefault="009E0C7A" w:rsidP="00F43AD5">
      <w:pPr>
        <w:spacing w:after="0" w:line="240" w:lineRule="auto"/>
      </w:pPr>
      <w:r>
        <w:separator/>
      </w:r>
    </w:p>
  </w:endnote>
  <w:endnote w:type="continuationSeparator" w:id="0">
    <w:p w14:paraId="659E5018" w14:textId="77777777" w:rsidR="009E0C7A" w:rsidRDefault="009E0C7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CE1607A" w14:textId="4436067F" w:rsidR="008A36CF" w:rsidRDefault="009D61C1" w:rsidP="0034744C">
        <w:pPr>
          <w:pStyle w:val="Footer"/>
          <w:rPr>
            <w:sz w:val="18"/>
            <w:szCs w:val="18"/>
          </w:rPr>
        </w:pPr>
        <w:r w:rsidRPr="009D61C1">
          <w:rPr>
            <w:b/>
            <w:sz w:val="18"/>
            <w:szCs w:val="18"/>
          </w:rPr>
          <w:t>Ethylene glycol (</w:t>
        </w:r>
        <w:r w:rsidR="004B548E">
          <w:rPr>
            <w:b/>
            <w:sz w:val="18"/>
            <w:szCs w:val="18"/>
          </w:rPr>
          <w:t xml:space="preserve">vapour and </w:t>
        </w:r>
        <w:r w:rsidRPr="009D61C1">
          <w:rPr>
            <w:b/>
            <w:sz w:val="18"/>
            <w:szCs w:val="18"/>
          </w:rPr>
          <w:t>particulate)</w:t>
        </w:r>
        <w:r w:rsidR="008A36CF">
          <w:rPr>
            <w:b/>
            <w:sz w:val="18"/>
            <w:szCs w:val="18"/>
          </w:rPr>
          <w:t xml:space="preserve"> (</w:t>
        </w:r>
        <w:r w:rsidRPr="009D61C1">
          <w:rPr>
            <w:b/>
            <w:sz w:val="18"/>
            <w:szCs w:val="18"/>
          </w:rPr>
          <w:t>107-21-1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475A60" w:rsidRPr="00F43AD5">
          <w:rPr>
            <w:sz w:val="18"/>
            <w:szCs w:val="18"/>
          </w:rPr>
          <w:t>20</w:t>
        </w:r>
        <w:r w:rsidR="00475A60">
          <w:rPr>
            <w:sz w:val="18"/>
            <w:szCs w:val="18"/>
          </w:rPr>
          <w:t>20</w:t>
        </w:r>
      </w:p>
      <w:p w14:paraId="7D3EF7D1" w14:textId="03748C4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80961">
          <w:rPr>
            <w:noProof/>
            <w:sz w:val="18"/>
            <w:szCs w:val="18"/>
          </w:rPr>
          <w:t>8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CC11" w14:textId="77777777" w:rsidR="009E0C7A" w:rsidRDefault="009E0C7A" w:rsidP="00F43AD5">
      <w:pPr>
        <w:spacing w:after="0" w:line="240" w:lineRule="auto"/>
      </w:pPr>
      <w:r>
        <w:separator/>
      </w:r>
    </w:p>
  </w:footnote>
  <w:footnote w:type="continuationSeparator" w:id="0">
    <w:p w14:paraId="78C81101" w14:textId="77777777" w:rsidR="009E0C7A" w:rsidRDefault="009E0C7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12145" w14:textId="611B4C06" w:rsidR="00097854" w:rsidRDefault="00097854" w:rsidP="00097854">
    <w:pPr>
      <w:pStyle w:val="Header"/>
      <w:jc w:val="right"/>
    </w:pPr>
    <w:r>
      <w:rPr>
        <w:noProof/>
        <w:lang w:eastAsia="en-AU"/>
      </w:rPr>
      <w:drawing>
        <wp:inline distT="0" distB="0" distL="0" distR="0" wp14:anchorId="259732B5" wp14:editId="0F9E1043">
          <wp:extent cx="2932430" cy="598805"/>
          <wp:effectExtent l="0" t="0" r="127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E633E6" w14:textId="77777777" w:rsidR="00097854" w:rsidRDefault="00097854" w:rsidP="00097854">
    <w:pPr>
      <w:pStyle w:val="Header"/>
    </w:pPr>
  </w:p>
  <w:p w14:paraId="6A6260A3" w14:textId="5EBB42F2" w:rsidR="008A36CF" w:rsidRPr="00097854" w:rsidRDefault="008A36CF" w:rsidP="000978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FDC2" w14:textId="7B0DF9E0" w:rsidR="00097854" w:rsidRDefault="00097854" w:rsidP="00097854">
    <w:pPr>
      <w:pStyle w:val="Header"/>
      <w:jc w:val="right"/>
    </w:pPr>
    <w:r>
      <w:rPr>
        <w:noProof/>
        <w:lang w:eastAsia="en-AU"/>
      </w:rPr>
      <w:drawing>
        <wp:inline distT="0" distB="0" distL="0" distR="0" wp14:anchorId="74D4B879" wp14:editId="4F95863B">
          <wp:extent cx="2932430" cy="598805"/>
          <wp:effectExtent l="0" t="0" r="127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D4C270" w14:textId="77777777" w:rsidR="00097854" w:rsidRDefault="00097854" w:rsidP="00097854">
    <w:pPr>
      <w:pStyle w:val="Header"/>
    </w:pPr>
  </w:p>
  <w:p w14:paraId="28876F28" w14:textId="180B486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95648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222B19"/>
    <w:multiLevelType w:val="hybridMultilevel"/>
    <w:tmpl w:val="4E9C4B9E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0E061C55"/>
    <w:multiLevelType w:val="hybridMultilevel"/>
    <w:tmpl w:val="331E87EE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2030771"/>
    <w:multiLevelType w:val="hybridMultilevel"/>
    <w:tmpl w:val="6C16094C"/>
    <w:lvl w:ilvl="0" w:tplc="04090003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457853E4"/>
    <w:multiLevelType w:val="hybridMultilevel"/>
    <w:tmpl w:val="15525498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481F00FA"/>
    <w:multiLevelType w:val="hybridMultilevel"/>
    <w:tmpl w:val="9EC46D5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4E530FDA"/>
    <w:multiLevelType w:val="hybridMultilevel"/>
    <w:tmpl w:val="89A025AA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5A3C0724"/>
    <w:multiLevelType w:val="hybridMultilevel"/>
    <w:tmpl w:val="25E4FA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F45F8"/>
    <w:multiLevelType w:val="hybridMultilevel"/>
    <w:tmpl w:val="1DACC0A2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E76282F"/>
    <w:multiLevelType w:val="hybridMultilevel"/>
    <w:tmpl w:val="B21A0E0C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0" w15:restartNumberingAfterBreak="0">
    <w:nsid w:val="69BD542E"/>
    <w:multiLevelType w:val="hybridMultilevel"/>
    <w:tmpl w:val="64DE0E8A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7127367B"/>
    <w:multiLevelType w:val="hybridMultilevel"/>
    <w:tmpl w:val="B0AC3F8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9724FED"/>
    <w:multiLevelType w:val="hybridMultilevel"/>
    <w:tmpl w:val="F27AE7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A290C"/>
    <w:multiLevelType w:val="hybridMultilevel"/>
    <w:tmpl w:val="E93E8C20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1428187136">
    <w:abstractNumId w:val="0"/>
  </w:num>
  <w:num w:numId="2" w16cid:durableId="88938053">
    <w:abstractNumId w:val="0"/>
  </w:num>
  <w:num w:numId="3" w16cid:durableId="2074086207">
    <w:abstractNumId w:val="6"/>
  </w:num>
  <w:num w:numId="4" w16cid:durableId="1838501341">
    <w:abstractNumId w:val="1"/>
  </w:num>
  <w:num w:numId="5" w16cid:durableId="86393329">
    <w:abstractNumId w:val="3"/>
  </w:num>
  <w:num w:numId="6" w16cid:durableId="1460494038">
    <w:abstractNumId w:val="0"/>
  </w:num>
  <w:num w:numId="7" w16cid:durableId="266351021">
    <w:abstractNumId w:val="0"/>
  </w:num>
  <w:num w:numId="8" w16cid:durableId="536740526">
    <w:abstractNumId w:val="0"/>
  </w:num>
  <w:num w:numId="9" w16cid:durableId="1818914236">
    <w:abstractNumId w:val="0"/>
  </w:num>
  <w:num w:numId="10" w16cid:durableId="576403777">
    <w:abstractNumId w:val="12"/>
  </w:num>
  <w:num w:numId="11" w16cid:durableId="370111958">
    <w:abstractNumId w:val="10"/>
  </w:num>
  <w:num w:numId="12" w16cid:durableId="1881434727">
    <w:abstractNumId w:val="7"/>
  </w:num>
  <w:num w:numId="13" w16cid:durableId="1691222593">
    <w:abstractNumId w:val="9"/>
  </w:num>
  <w:num w:numId="14" w16cid:durableId="55473113">
    <w:abstractNumId w:val="2"/>
  </w:num>
  <w:num w:numId="15" w16cid:durableId="233704923">
    <w:abstractNumId w:val="13"/>
  </w:num>
  <w:num w:numId="16" w16cid:durableId="1081751381">
    <w:abstractNumId w:val="4"/>
  </w:num>
  <w:num w:numId="17" w16cid:durableId="689523871">
    <w:abstractNumId w:val="8"/>
  </w:num>
  <w:num w:numId="18" w16cid:durableId="1486429818">
    <w:abstractNumId w:val="11"/>
  </w:num>
  <w:num w:numId="19" w16cid:durableId="20268627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358"/>
    <w:rsid w:val="00007B80"/>
    <w:rsid w:val="00013A22"/>
    <w:rsid w:val="00014C3F"/>
    <w:rsid w:val="00017C82"/>
    <w:rsid w:val="00032B88"/>
    <w:rsid w:val="00040591"/>
    <w:rsid w:val="000432CC"/>
    <w:rsid w:val="00046DF5"/>
    <w:rsid w:val="00052060"/>
    <w:rsid w:val="0005574A"/>
    <w:rsid w:val="00055FE1"/>
    <w:rsid w:val="00056EC2"/>
    <w:rsid w:val="00060B48"/>
    <w:rsid w:val="00065885"/>
    <w:rsid w:val="00067F32"/>
    <w:rsid w:val="00071807"/>
    <w:rsid w:val="00074F6B"/>
    <w:rsid w:val="000803E1"/>
    <w:rsid w:val="00084513"/>
    <w:rsid w:val="00084859"/>
    <w:rsid w:val="00086083"/>
    <w:rsid w:val="00092581"/>
    <w:rsid w:val="00092D94"/>
    <w:rsid w:val="0009317F"/>
    <w:rsid w:val="00093882"/>
    <w:rsid w:val="00097854"/>
    <w:rsid w:val="000A22DE"/>
    <w:rsid w:val="000A46C8"/>
    <w:rsid w:val="000A4ECE"/>
    <w:rsid w:val="000B0868"/>
    <w:rsid w:val="000B3E12"/>
    <w:rsid w:val="000B3E78"/>
    <w:rsid w:val="000B7B48"/>
    <w:rsid w:val="000C096D"/>
    <w:rsid w:val="000C139A"/>
    <w:rsid w:val="000C1D4E"/>
    <w:rsid w:val="000C2053"/>
    <w:rsid w:val="000C248C"/>
    <w:rsid w:val="000C47DC"/>
    <w:rsid w:val="000D291C"/>
    <w:rsid w:val="000D51EE"/>
    <w:rsid w:val="000E5A54"/>
    <w:rsid w:val="000E63D3"/>
    <w:rsid w:val="000E67CF"/>
    <w:rsid w:val="0010461E"/>
    <w:rsid w:val="00106FAA"/>
    <w:rsid w:val="00113443"/>
    <w:rsid w:val="00114F55"/>
    <w:rsid w:val="00123A07"/>
    <w:rsid w:val="001269A7"/>
    <w:rsid w:val="00131092"/>
    <w:rsid w:val="00140E6A"/>
    <w:rsid w:val="001413F3"/>
    <w:rsid w:val="00145734"/>
    <w:rsid w:val="00146545"/>
    <w:rsid w:val="00146B75"/>
    <w:rsid w:val="0015266D"/>
    <w:rsid w:val="0015288A"/>
    <w:rsid w:val="00160F47"/>
    <w:rsid w:val="00173B91"/>
    <w:rsid w:val="00177CA1"/>
    <w:rsid w:val="0018008A"/>
    <w:rsid w:val="00183823"/>
    <w:rsid w:val="00183942"/>
    <w:rsid w:val="00194060"/>
    <w:rsid w:val="001977F9"/>
    <w:rsid w:val="001A009E"/>
    <w:rsid w:val="001A05D6"/>
    <w:rsid w:val="001A1287"/>
    <w:rsid w:val="001A1AC6"/>
    <w:rsid w:val="001A3859"/>
    <w:rsid w:val="001A3C9D"/>
    <w:rsid w:val="001A43F8"/>
    <w:rsid w:val="001B0203"/>
    <w:rsid w:val="001B12CD"/>
    <w:rsid w:val="001B31ED"/>
    <w:rsid w:val="001B79E5"/>
    <w:rsid w:val="001D04A4"/>
    <w:rsid w:val="001D56F0"/>
    <w:rsid w:val="001D615C"/>
    <w:rsid w:val="001D663B"/>
    <w:rsid w:val="001D7B41"/>
    <w:rsid w:val="001E0B1C"/>
    <w:rsid w:val="001E46DA"/>
    <w:rsid w:val="001E7D80"/>
    <w:rsid w:val="001F4B6C"/>
    <w:rsid w:val="001F62CB"/>
    <w:rsid w:val="001F6ED0"/>
    <w:rsid w:val="001F72E6"/>
    <w:rsid w:val="001F73C5"/>
    <w:rsid w:val="002008C5"/>
    <w:rsid w:val="002046A6"/>
    <w:rsid w:val="00204956"/>
    <w:rsid w:val="002103A3"/>
    <w:rsid w:val="00213640"/>
    <w:rsid w:val="00221547"/>
    <w:rsid w:val="002216FC"/>
    <w:rsid w:val="00222533"/>
    <w:rsid w:val="00222F30"/>
    <w:rsid w:val="00223E67"/>
    <w:rsid w:val="00224EE2"/>
    <w:rsid w:val="0022631A"/>
    <w:rsid w:val="002270F6"/>
    <w:rsid w:val="00227EC7"/>
    <w:rsid w:val="00234F26"/>
    <w:rsid w:val="002432F3"/>
    <w:rsid w:val="00243ED7"/>
    <w:rsid w:val="002445E3"/>
    <w:rsid w:val="00244AD1"/>
    <w:rsid w:val="002463BC"/>
    <w:rsid w:val="002465CE"/>
    <w:rsid w:val="002513F4"/>
    <w:rsid w:val="0025548E"/>
    <w:rsid w:val="00255EF5"/>
    <w:rsid w:val="0025734A"/>
    <w:rsid w:val="00263255"/>
    <w:rsid w:val="00276494"/>
    <w:rsid w:val="0027670F"/>
    <w:rsid w:val="00277B0C"/>
    <w:rsid w:val="00290227"/>
    <w:rsid w:val="002926E1"/>
    <w:rsid w:val="00292892"/>
    <w:rsid w:val="002A10CA"/>
    <w:rsid w:val="002A735F"/>
    <w:rsid w:val="002B1A2C"/>
    <w:rsid w:val="002B64A9"/>
    <w:rsid w:val="002C34F2"/>
    <w:rsid w:val="002C58FF"/>
    <w:rsid w:val="002C7AFE"/>
    <w:rsid w:val="002D05D2"/>
    <w:rsid w:val="002D3064"/>
    <w:rsid w:val="002D5B14"/>
    <w:rsid w:val="002D7DC8"/>
    <w:rsid w:val="002E0D61"/>
    <w:rsid w:val="002E4C7B"/>
    <w:rsid w:val="002F2F27"/>
    <w:rsid w:val="00305C1F"/>
    <w:rsid w:val="0030740C"/>
    <w:rsid w:val="00315833"/>
    <w:rsid w:val="003215EE"/>
    <w:rsid w:val="00321A46"/>
    <w:rsid w:val="003224BF"/>
    <w:rsid w:val="003241A8"/>
    <w:rsid w:val="003253F0"/>
    <w:rsid w:val="003337DA"/>
    <w:rsid w:val="00334EFB"/>
    <w:rsid w:val="00335CDE"/>
    <w:rsid w:val="003365A5"/>
    <w:rsid w:val="003443B1"/>
    <w:rsid w:val="00347192"/>
    <w:rsid w:val="0034744C"/>
    <w:rsid w:val="00351FE0"/>
    <w:rsid w:val="00352615"/>
    <w:rsid w:val="0035412B"/>
    <w:rsid w:val="003567A8"/>
    <w:rsid w:val="00362815"/>
    <w:rsid w:val="00362895"/>
    <w:rsid w:val="00370DBF"/>
    <w:rsid w:val="00380961"/>
    <w:rsid w:val="00386093"/>
    <w:rsid w:val="003904A4"/>
    <w:rsid w:val="003905B7"/>
    <w:rsid w:val="00391841"/>
    <w:rsid w:val="00391B6D"/>
    <w:rsid w:val="00394922"/>
    <w:rsid w:val="0039770F"/>
    <w:rsid w:val="003A0E32"/>
    <w:rsid w:val="003A2B94"/>
    <w:rsid w:val="003A5F3A"/>
    <w:rsid w:val="003B387D"/>
    <w:rsid w:val="003C0D58"/>
    <w:rsid w:val="003C3799"/>
    <w:rsid w:val="003D2B7E"/>
    <w:rsid w:val="003D4FA3"/>
    <w:rsid w:val="003E0807"/>
    <w:rsid w:val="003E51FB"/>
    <w:rsid w:val="003E6B39"/>
    <w:rsid w:val="003F07E1"/>
    <w:rsid w:val="00402F9C"/>
    <w:rsid w:val="004030BC"/>
    <w:rsid w:val="00403F7D"/>
    <w:rsid w:val="00406785"/>
    <w:rsid w:val="004079B4"/>
    <w:rsid w:val="00411813"/>
    <w:rsid w:val="004141F9"/>
    <w:rsid w:val="0041566C"/>
    <w:rsid w:val="00417A56"/>
    <w:rsid w:val="00417A79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45F0"/>
    <w:rsid w:val="00456690"/>
    <w:rsid w:val="00460A03"/>
    <w:rsid w:val="00472A11"/>
    <w:rsid w:val="00472AAD"/>
    <w:rsid w:val="00474D09"/>
    <w:rsid w:val="00474E33"/>
    <w:rsid w:val="00475A60"/>
    <w:rsid w:val="00476803"/>
    <w:rsid w:val="00482BCE"/>
    <w:rsid w:val="00485BFD"/>
    <w:rsid w:val="004867A2"/>
    <w:rsid w:val="00486F3A"/>
    <w:rsid w:val="004873F2"/>
    <w:rsid w:val="00490D4C"/>
    <w:rsid w:val="00493A35"/>
    <w:rsid w:val="0049527A"/>
    <w:rsid w:val="004966BF"/>
    <w:rsid w:val="00497984"/>
    <w:rsid w:val="004A5088"/>
    <w:rsid w:val="004B4D87"/>
    <w:rsid w:val="004B548E"/>
    <w:rsid w:val="004C1E3F"/>
    <w:rsid w:val="004C23F4"/>
    <w:rsid w:val="004C3475"/>
    <w:rsid w:val="004C3905"/>
    <w:rsid w:val="004C49CB"/>
    <w:rsid w:val="004C4D69"/>
    <w:rsid w:val="004C58B6"/>
    <w:rsid w:val="004C6D7F"/>
    <w:rsid w:val="004D16A3"/>
    <w:rsid w:val="004D1F0E"/>
    <w:rsid w:val="004D3BD9"/>
    <w:rsid w:val="004D4AA1"/>
    <w:rsid w:val="004D68E6"/>
    <w:rsid w:val="004D6D68"/>
    <w:rsid w:val="004E4432"/>
    <w:rsid w:val="004E5EDD"/>
    <w:rsid w:val="004F245A"/>
    <w:rsid w:val="004F448A"/>
    <w:rsid w:val="004F493D"/>
    <w:rsid w:val="004F65E8"/>
    <w:rsid w:val="0050005E"/>
    <w:rsid w:val="00501478"/>
    <w:rsid w:val="00502B88"/>
    <w:rsid w:val="00505111"/>
    <w:rsid w:val="005142C4"/>
    <w:rsid w:val="0051509C"/>
    <w:rsid w:val="00527092"/>
    <w:rsid w:val="005272E2"/>
    <w:rsid w:val="0053108F"/>
    <w:rsid w:val="00532B56"/>
    <w:rsid w:val="00534B10"/>
    <w:rsid w:val="005446A2"/>
    <w:rsid w:val="00544D2F"/>
    <w:rsid w:val="005472A1"/>
    <w:rsid w:val="00551BD8"/>
    <w:rsid w:val="00581055"/>
    <w:rsid w:val="00583C07"/>
    <w:rsid w:val="005872AE"/>
    <w:rsid w:val="00591E38"/>
    <w:rsid w:val="0059347C"/>
    <w:rsid w:val="005A19C5"/>
    <w:rsid w:val="005A2CCD"/>
    <w:rsid w:val="005A3034"/>
    <w:rsid w:val="005A462D"/>
    <w:rsid w:val="005A4A3E"/>
    <w:rsid w:val="005A56F8"/>
    <w:rsid w:val="005B253B"/>
    <w:rsid w:val="005B3F08"/>
    <w:rsid w:val="005B771D"/>
    <w:rsid w:val="005C5D16"/>
    <w:rsid w:val="005D3193"/>
    <w:rsid w:val="005D499E"/>
    <w:rsid w:val="005D4A6E"/>
    <w:rsid w:val="005E5138"/>
    <w:rsid w:val="005E6979"/>
    <w:rsid w:val="005E75CB"/>
    <w:rsid w:val="00600AB0"/>
    <w:rsid w:val="006013C1"/>
    <w:rsid w:val="0060669E"/>
    <w:rsid w:val="00610F2E"/>
    <w:rsid w:val="00611399"/>
    <w:rsid w:val="00617978"/>
    <w:rsid w:val="00624C4E"/>
    <w:rsid w:val="00625200"/>
    <w:rsid w:val="006252F3"/>
    <w:rsid w:val="006363A8"/>
    <w:rsid w:val="00636DB7"/>
    <w:rsid w:val="00643013"/>
    <w:rsid w:val="00643A17"/>
    <w:rsid w:val="0064497E"/>
    <w:rsid w:val="00650905"/>
    <w:rsid w:val="006532ED"/>
    <w:rsid w:val="006549F2"/>
    <w:rsid w:val="006567B7"/>
    <w:rsid w:val="00657BFB"/>
    <w:rsid w:val="00663336"/>
    <w:rsid w:val="0066333C"/>
    <w:rsid w:val="006639B4"/>
    <w:rsid w:val="006650FE"/>
    <w:rsid w:val="00665C14"/>
    <w:rsid w:val="00665CDA"/>
    <w:rsid w:val="0067305D"/>
    <w:rsid w:val="00677D9B"/>
    <w:rsid w:val="006867F3"/>
    <w:rsid w:val="00687890"/>
    <w:rsid w:val="00687FE1"/>
    <w:rsid w:val="006901A2"/>
    <w:rsid w:val="00690368"/>
    <w:rsid w:val="0069079C"/>
    <w:rsid w:val="00690B53"/>
    <w:rsid w:val="00691FA4"/>
    <w:rsid w:val="00695B72"/>
    <w:rsid w:val="006970E7"/>
    <w:rsid w:val="006A3C44"/>
    <w:rsid w:val="006B160A"/>
    <w:rsid w:val="006B4E6C"/>
    <w:rsid w:val="006B50B6"/>
    <w:rsid w:val="006C6858"/>
    <w:rsid w:val="006D73F2"/>
    <w:rsid w:val="006D79EA"/>
    <w:rsid w:val="006E5D05"/>
    <w:rsid w:val="00701053"/>
    <w:rsid w:val="00701507"/>
    <w:rsid w:val="0070450D"/>
    <w:rsid w:val="00714021"/>
    <w:rsid w:val="00716A0F"/>
    <w:rsid w:val="0071737D"/>
    <w:rsid w:val="00717D45"/>
    <w:rsid w:val="007208F7"/>
    <w:rsid w:val="007218AF"/>
    <w:rsid w:val="007234AF"/>
    <w:rsid w:val="007365D1"/>
    <w:rsid w:val="00740E0E"/>
    <w:rsid w:val="0074472E"/>
    <w:rsid w:val="00750212"/>
    <w:rsid w:val="007525D1"/>
    <w:rsid w:val="00754779"/>
    <w:rsid w:val="0075716D"/>
    <w:rsid w:val="00765F14"/>
    <w:rsid w:val="00770BCE"/>
    <w:rsid w:val="00770E31"/>
    <w:rsid w:val="007770F1"/>
    <w:rsid w:val="00777A8E"/>
    <w:rsid w:val="007808C9"/>
    <w:rsid w:val="00783FB1"/>
    <w:rsid w:val="00785CDD"/>
    <w:rsid w:val="00791847"/>
    <w:rsid w:val="007925F0"/>
    <w:rsid w:val="00792789"/>
    <w:rsid w:val="007939B3"/>
    <w:rsid w:val="0079509C"/>
    <w:rsid w:val="00795BEE"/>
    <w:rsid w:val="00796708"/>
    <w:rsid w:val="007B1B42"/>
    <w:rsid w:val="007C063A"/>
    <w:rsid w:val="007C1C6A"/>
    <w:rsid w:val="007C30EB"/>
    <w:rsid w:val="007C6724"/>
    <w:rsid w:val="007E063C"/>
    <w:rsid w:val="007E2A4B"/>
    <w:rsid w:val="007E307D"/>
    <w:rsid w:val="007E6A4E"/>
    <w:rsid w:val="007E6C94"/>
    <w:rsid w:val="007E6E2A"/>
    <w:rsid w:val="007F1005"/>
    <w:rsid w:val="007F25E0"/>
    <w:rsid w:val="007F2FB5"/>
    <w:rsid w:val="007F4774"/>
    <w:rsid w:val="007F5328"/>
    <w:rsid w:val="00800599"/>
    <w:rsid w:val="00804F5A"/>
    <w:rsid w:val="00805496"/>
    <w:rsid w:val="00806093"/>
    <w:rsid w:val="00806F18"/>
    <w:rsid w:val="00810C6D"/>
    <w:rsid w:val="00812887"/>
    <w:rsid w:val="00821010"/>
    <w:rsid w:val="00826F21"/>
    <w:rsid w:val="0083240A"/>
    <w:rsid w:val="008331CD"/>
    <w:rsid w:val="00834A0C"/>
    <w:rsid w:val="00834CC8"/>
    <w:rsid w:val="00835E00"/>
    <w:rsid w:val="00837113"/>
    <w:rsid w:val="008414E4"/>
    <w:rsid w:val="00843E21"/>
    <w:rsid w:val="0084508E"/>
    <w:rsid w:val="008516EA"/>
    <w:rsid w:val="00857A8A"/>
    <w:rsid w:val="008630EE"/>
    <w:rsid w:val="00864B1B"/>
    <w:rsid w:val="00864D13"/>
    <w:rsid w:val="00871CD5"/>
    <w:rsid w:val="008738AC"/>
    <w:rsid w:val="008745A2"/>
    <w:rsid w:val="008768A8"/>
    <w:rsid w:val="0088798F"/>
    <w:rsid w:val="00887E4B"/>
    <w:rsid w:val="008915C8"/>
    <w:rsid w:val="00894056"/>
    <w:rsid w:val="008944A6"/>
    <w:rsid w:val="0089724A"/>
    <w:rsid w:val="008A36CF"/>
    <w:rsid w:val="008A3BC4"/>
    <w:rsid w:val="008B2F14"/>
    <w:rsid w:val="008B403C"/>
    <w:rsid w:val="008B7983"/>
    <w:rsid w:val="008C2511"/>
    <w:rsid w:val="008C5058"/>
    <w:rsid w:val="008D026D"/>
    <w:rsid w:val="008D23AB"/>
    <w:rsid w:val="008D4B8B"/>
    <w:rsid w:val="008D5A78"/>
    <w:rsid w:val="008E7B64"/>
    <w:rsid w:val="008F5DCD"/>
    <w:rsid w:val="00900951"/>
    <w:rsid w:val="00904893"/>
    <w:rsid w:val="009065AF"/>
    <w:rsid w:val="009118A6"/>
    <w:rsid w:val="00916909"/>
    <w:rsid w:val="00916EC0"/>
    <w:rsid w:val="00920467"/>
    <w:rsid w:val="00921CDA"/>
    <w:rsid w:val="00921DE7"/>
    <w:rsid w:val="009257F1"/>
    <w:rsid w:val="00926B6C"/>
    <w:rsid w:val="0093041A"/>
    <w:rsid w:val="00930714"/>
    <w:rsid w:val="00931B03"/>
    <w:rsid w:val="009323B9"/>
    <w:rsid w:val="00932DCE"/>
    <w:rsid w:val="0093327E"/>
    <w:rsid w:val="00934028"/>
    <w:rsid w:val="009361C0"/>
    <w:rsid w:val="0093760E"/>
    <w:rsid w:val="00946044"/>
    <w:rsid w:val="0094660B"/>
    <w:rsid w:val="00946A33"/>
    <w:rsid w:val="0095260E"/>
    <w:rsid w:val="0095433B"/>
    <w:rsid w:val="009578DD"/>
    <w:rsid w:val="00961124"/>
    <w:rsid w:val="009621B6"/>
    <w:rsid w:val="00974310"/>
    <w:rsid w:val="00974F2D"/>
    <w:rsid w:val="00977524"/>
    <w:rsid w:val="00977E88"/>
    <w:rsid w:val="009848A8"/>
    <w:rsid w:val="00984920"/>
    <w:rsid w:val="0099303A"/>
    <w:rsid w:val="00993829"/>
    <w:rsid w:val="009971C2"/>
    <w:rsid w:val="009A1254"/>
    <w:rsid w:val="009A1863"/>
    <w:rsid w:val="009A3DBC"/>
    <w:rsid w:val="009A6595"/>
    <w:rsid w:val="009B2FF2"/>
    <w:rsid w:val="009B380C"/>
    <w:rsid w:val="009B3AE3"/>
    <w:rsid w:val="009B4843"/>
    <w:rsid w:val="009B6543"/>
    <w:rsid w:val="009C199D"/>
    <w:rsid w:val="009C278F"/>
    <w:rsid w:val="009C2B94"/>
    <w:rsid w:val="009C5874"/>
    <w:rsid w:val="009D3B5A"/>
    <w:rsid w:val="009D61C1"/>
    <w:rsid w:val="009E0C05"/>
    <w:rsid w:val="009E0C7A"/>
    <w:rsid w:val="009E0D1C"/>
    <w:rsid w:val="009E2214"/>
    <w:rsid w:val="009E355A"/>
    <w:rsid w:val="009E63E2"/>
    <w:rsid w:val="009F04D2"/>
    <w:rsid w:val="009F05CF"/>
    <w:rsid w:val="009F0F3A"/>
    <w:rsid w:val="009F5825"/>
    <w:rsid w:val="00A01D0C"/>
    <w:rsid w:val="00A0643F"/>
    <w:rsid w:val="00A067EE"/>
    <w:rsid w:val="00A10FCE"/>
    <w:rsid w:val="00A113DC"/>
    <w:rsid w:val="00A14145"/>
    <w:rsid w:val="00A16019"/>
    <w:rsid w:val="00A1690D"/>
    <w:rsid w:val="00A16D91"/>
    <w:rsid w:val="00A174CC"/>
    <w:rsid w:val="00A2073D"/>
    <w:rsid w:val="00A20751"/>
    <w:rsid w:val="00A225D5"/>
    <w:rsid w:val="00A25898"/>
    <w:rsid w:val="00A2713A"/>
    <w:rsid w:val="00A2734B"/>
    <w:rsid w:val="00A27E2D"/>
    <w:rsid w:val="00A31451"/>
    <w:rsid w:val="00A31D99"/>
    <w:rsid w:val="00A33515"/>
    <w:rsid w:val="00A357BA"/>
    <w:rsid w:val="00A35ADC"/>
    <w:rsid w:val="00A402A3"/>
    <w:rsid w:val="00A52A11"/>
    <w:rsid w:val="00A53681"/>
    <w:rsid w:val="00A613AE"/>
    <w:rsid w:val="00A633D4"/>
    <w:rsid w:val="00A6461A"/>
    <w:rsid w:val="00A84504"/>
    <w:rsid w:val="00A85527"/>
    <w:rsid w:val="00A8672F"/>
    <w:rsid w:val="00A927B2"/>
    <w:rsid w:val="00A93057"/>
    <w:rsid w:val="00A968B0"/>
    <w:rsid w:val="00AB2672"/>
    <w:rsid w:val="00AB2817"/>
    <w:rsid w:val="00AB43C4"/>
    <w:rsid w:val="00AB49BE"/>
    <w:rsid w:val="00AC17F0"/>
    <w:rsid w:val="00AC32E7"/>
    <w:rsid w:val="00AC3A9F"/>
    <w:rsid w:val="00AC6D2F"/>
    <w:rsid w:val="00AE2745"/>
    <w:rsid w:val="00AE2F64"/>
    <w:rsid w:val="00AE7E43"/>
    <w:rsid w:val="00AF2116"/>
    <w:rsid w:val="00AF42CB"/>
    <w:rsid w:val="00AF483F"/>
    <w:rsid w:val="00AF5E07"/>
    <w:rsid w:val="00AF5F06"/>
    <w:rsid w:val="00B00265"/>
    <w:rsid w:val="00B0064D"/>
    <w:rsid w:val="00B00A25"/>
    <w:rsid w:val="00B124DA"/>
    <w:rsid w:val="00B1422A"/>
    <w:rsid w:val="00B1765C"/>
    <w:rsid w:val="00B213C4"/>
    <w:rsid w:val="00B3291B"/>
    <w:rsid w:val="00B40C60"/>
    <w:rsid w:val="00B4160B"/>
    <w:rsid w:val="00B444F8"/>
    <w:rsid w:val="00B446F4"/>
    <w:rsid w:val="00B45FEA"/>
    <w:rsid w:val="00B479A9"/>
    <w:rsid w:val="00B52EDF"/>
    <w:rsid w:val="00B561CC"/>
    <w:rsid w:val="00B61213"/>
    <w:rsid w:val="00B65577"/>
    <w:rsid w:val="00B71188"/>
    <w:rsid w:val="00B75B83"/>
    <w:rsid w:val="00B76A41"/>
    <w:rsid w:val="00B82C25"/>
    <w:rsid w:val="00B83C7E"/>
    <w:rsid w:val="00B87D4C"/>
    <w:rsid w:val="00B92713"/>
    <w:rsid w:val="00B93646"/>
    <w:rsid w:val="00BA0B38"/>
    <w:rsid w:val="00BA1DBB"/>
    <w:rsid w:val="00BA4510"/>
    <w:rsid w:val="00BA529A"/>
    <w:rsid w:val="00BB612A"/>
    <w:rsid w:val="00BC3AD5"/>
    <w:rsid w:val="00BD32BA"/>
    <w:rsid w:val="00BD39C9"/>
    <w:rsid w:val="00BD499F"/>
    <w:rsid w:val="00BD56DE"/>
    <w:rsid w:val="00BF1457"/>
    <w:rsid w:val="00BF2406"/>
    <w:rsid w:val="00BF3C87"/>
    <w:rsid w:val="00BF7106"/>
    <w:rsid w:val="00C06E43"/>
    <w:rsid w:val="00C070E8"/>
    <w:rsid w:val="00C12997"/>
    <w:rsid w:val="00C16315"/>
    <w:rsid w:val="00C168C9"/>
    <w:rsid w:val="00C3091E"/>
    <w:rsid w:val="00C30FAC"/>
    <w:rsid w:val="00C3467B"/>
    <w:rsid w:val="00C40FF1"/>
    <w:rsid w:val="00C419E2"/>
    <w:rsid w:val="00C43238"/>
    <w:rsid w:val="00C43380"/>
    <w:rsid w:val="00C5020E"/>
    <w:rsid w:val="00C54005"/>
    <w:rsid w:val="00C57452"/>
    <w:rsid w:val="00C61EDF"/>
    <w:rsid w:val="00C6239D"/>
    <w:rsid w:val="00C6594B"/>
    <w:rsid w:val="00C67FFB"/>
    <w:rsid w:val="00C700C3"/>
    <w:rsid w:val="00C7155E"/>
    <w:rsid w:val="00C71CA5"/>
    <w:rsid w:val="00C71D1E"/>
    <w:rsid w:val="00C71D7D"/>
    <w:rsid w:val="00C73516"/>
    <w:rsid w:val="00C74833"/>
    <w:rsid w:val="00C825AD"/>
    <w:rsid w:val="00C850A0"/>
    <w:rsid w:val="00C85A86"/>
    <w:rsid w:val="00C902E3"/>
    <w:rsid w:val="00C978F0"/>
    <w:rsid w:val="00CA37A1"/>
    <w:rsid w:val="00CA58FE"/>
    <w:rsid w:val="00CB1CB1"/>
    <w:rsid w:val="00CB6BC1"/>
    <w:rsid w:val="00CB6CB8"/>
    <w:rsid w:val="00CB73D6"/>
    <w:rsid w:val="00CC1A68"/>
    <w:rsid w:val="00CC2123"/>
    <w:rsid w:val="00CD117F"/>
    <w:rsid w:val="00CD2BFD"/>
    <w:rsid w:val="00CE5AD6"/>
    <w:rsid w:val="00CE617F"/>
    <w:rsid w:val="00CE78EF"/>
    <w:rsid w:val="00D03273"/>
    <w:rsid w:val="00D048F7"/>
    <w:rsid w:val="00D0517E"/>
    <w:rsid w:val="00D07970"/>
    <w:rsid w:val="00D11FC3"/>
    <w:rsid w:val="00D140FC"/>
    <w:rsid w:val="00D17816"/>
    <w:rsid w:val="00D21D8C"/>
    <w:rsid w:val="00D24258"/>
    <w:rsid w:val="00D25F61"/>
    <w:rsid w:val="00D31357"/>
    <w:rsid w:val="00D33110"/>
    <w:rsid w:val="00D33220"/>
    <w:rsid w:val="00D334D1"/>
    <w:rsid w:val="00D36482"/>
    <w:rsid w:val="00D42721"/>
    <w:rsid w:val="00D44C89"/>
    <w:rsid w:val="00D470BB"/>
    <w:rsid w:val="00D516CD"/>
    <w:rsid w:val="00D55FE7"/>
    <w:rsid w:val="00D65777"/>
    <w:rsid w:val="00D668E6"/>
    <w:rsid w:val="00D70670"/>
    <w:rsid w:val="00D74D80"/>
    <w:rsid w:val="00D76624"/>
    <w:rsid w:val="00D8123E"/>
    <w:rsid w:val="00D87570"/>
    <w:rsid w:val="00D91CB9"/>
    <w:rsid w:val="00D930D4"/>
    <w:rsid w:val="00D969C3"/>
    <w:rsid w:val="00D97989"/>
    <w:rsid w:val="00D97D8D"/>
    <w:rsid w:val="00DA10AD"/>
    <w:rsid w:val="00DA3514"/>
    <w:rsid w:val="00DA352E"/>
    <w:rsid w:val="00DC7694"/>
    <w:rsid w:val="00DD1376"/>
    <w:rsid w:val="00DD1BF6"/>
    <w:rsid w:val="00DD2F9B"/>
    <w:rsid w:val="00DE0CDF"/>
    <w:rsid w:val="00DE150E"/>
    <w:rsid w:val="00DE1EAC"/>
    <w:rsid w:val="00DE2513"/>
    <w:rsid w:val="00DE26E8"/>
    <w:rsid w:val="00DE2C18"/>
    <w:rsid w:val="00DF6F36"/>
    <w:rsid w:val="00E0084C"/>
    <w:rsid w:val="00E025AB"/>
    <w:rsid w:val="00E02B23"/>
    <w:rsid w:val="00E06F40"/>
    <w:rsid w:val="00E07CE8"/>
    <w:rsid w:val="00E26685"/>
    <w:rsid w:val="00E26A07"/>
    <w:rsid w:val="00E32595"/>
    <w:rsid w:val="00E36B8B"/>
    <w:rsid w:val="00E37130"/>
    <w:rsid w:val="00E37CFD"/>
    <w:rsid w:val="00E41A26"/>
    <w:rsid w:val="00E4414B"/>
    <w:rsid w:val="00E45D08"/>
    <w:rsid w:val="00E46BCB"/>
    <w:rsid w:val="00E51CAF"/>
    <w:rsid w:val="00E60F04"/>
    <w:rsid w:val="00E62341"/>
    <w:rsid w:val="00E62AAC"/>
    <w:rsid w:val="00E667CA"/>
    <w:rsid w:val="00E67C2F"/>
    <w:rsid w:val="00E67EF5"/>
    <w:rsid w:val="00E804EA"/>
    <w:rsid w:val="00E80A71"/>
    <w:rsid w:val="00E82337"/>
    <w:rsid w:val="00E83DDF"/>
    <w:rsid w:val="00E92499"/>
    <w:rsid w:val="00E949AF"/>
    <w:rsid w:val="00E96077"/>
    <w:rsid w:val="00EA0A06"/>
    <w:rsid w:val="00EA6243"/>
    <w:rsid w:val="00EA74AB"/>
    <w:rsid w:val="00EA7CD9"/>
    <w:rsid w:val="00EB3D1B"/>
    <w:rsid w:val="00ED1D89"/>
    <w:rsid w:val="00ED66BC"/>
    <w:rsid w:val="00EE792C"/>
    <w:rsid w:val="00EF0E06"/>
    <w:rsid w:val="00EF233A"/>
    <w:rsid w:val="00EF303E"/>
    <w:rsid w:val="00EF3A40"/>
    <w:rsid w:val="00EF68B8"/>
    <w:rsid w:val="00EF7F78"/>
    <w:rsid w:val="00F01B08"/>
    <w:rsid w:val="00F01C4D"/>
    <w:rsid w:val="00F03ABB"/>
    <w:rsid w:val="00F053FA"/>
    <w:rsid w:val="00F10C97"/>
    <w:rsid w:val="00F11C71"/>
    <w:rsid w:val="00F126B1"/>
    <w:rsid w:val="00F16019"/>
    <w:rsid w:val="00F1774F"/>
    <w:rsid w:val="00F20E68"/>
    <w:rsid w:val="00F22093"/>
    <w:rsid w:val="00F236DF"/>
    <w:rsid w:val="00F3481E"/>
    <w:rsid w:val="00F4022A"/>
    <w:rsid w:val="00F43AD5"/>
    <w:rsid w:val="00F4402E"/>
    <w:rsid w:val="00F56DD0"/>
    <w:rsid w:val="00F61E11"/>
    <w:rsid w:val="00F6491C"/>
    <w:rsid w:val="00F67BBB"/>
    <w:rsid w:val="00F71BD6"/>
    <w:rsid w:val="00F75130"/>
    <w:rsid w:val="00F7724C"/>
    <w:rsid w:val="00F82F8C"/>
    <w:rsid w:val="00F82FBD"/>
    <w:rsid w:val="00F861C8"/>
    <w:rsid w:val="00F87D92"/>
    <w:rsid w:val="00F90AA7"/>
    <w:rsid w:val="00F92498"/>
    <w:rsid w:val="00F9496B"/>
    <w:rsid w:val="00F957C8"/>
    <w:rsid w:val="00F970C9"/>
    <w:rsid w:val="00FA06A8"/>
    <w:rsid w:val="00FA3DF5"/>
    <w:rsid w:val="00FA4AA1"/>
    <w:rsid w:val="00FA60D9"/>
    <w:rsid w:val="00FA741F"/>
    <w:rsid w:val="00FA7759"/>
    <w:rsid w:val="00FB4E07"/>
    <w:rsid w:val="00FB755A"/>
    <w:rsid w:val="00FC2F0D"/>
    <w:rsid w:val="00FC4F8B"/>
    <w:rsid w:val="00FC60A2"/>
    <w:rsid w:val="00FD1616"/>
    <w:rsid w:val="00FD16AE"/>
    <w:rsid w:val="00FD1871"/>
    <w:rsid w:val="00FD3110"/>
    <w:rsid w:val="00FF3328"/>
    <w:rsid w:val="00FF5C3D"/>
    <w:rsid w:val="2E768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."/>
  <w:listSeparator w:val=","/>
  <w14:docId w14:val="40A9B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36B8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271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713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713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4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451"/>
    <w:rPr>
      <w:b/>
      <w:bCs/>
      <w:szCs w:val="20"/>
    </w:rPr>
  </w:style>
  <w:style w:type="paragraph" w:styleId="Revision">
    <w:name w:val="Revision"/>
    <w:hidden/>
    <w:uiPriority w:val="99"/>
    <w:semiHidden/>
    <w:rsid w:val="004118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5D556B075124EBB9673417C507B4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201D0-9AD0-4A29-B390-392043CB974B}"/>
      </w:docPartPr>
      <w:docPartBody>
        <w:p w:rsidR="00BE36CE" w:rsidRDefault="00A9798F" w:rsidP="00A9798F">
          <w:pPr>
            <w:pStyle w:val="65D556B075124EBB9673417C507B44FC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15F0"/>
    <w:rsid w:val="000405E9"/>
    <w:rsid w:val="00120E97"/>
    <w:rsid w:val="001A5BB5"/>
    <w:rsid w:val="001B31ED"/>
    <w:rsid w:val="00A9798F"/>
    <w:rsid w:val="00BE36CE"/>
    <w:rsid w:val="00D21A9F"/>
    <w:rsid w:val="00DE7858"/>
    <w:rsid w:val="00E537CF"/>
    <w:rsid w:val="00F20279"/>
    <w:rsid w:val="00F57520"/>
    <w:rsid w:val="00F77795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798F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5D556B075124EBB9673417C507B44FC">
    <w:name w:val="65D556B075124EBB9673417C507B44FC"/>
    <w:rsid w:val="00A979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52C289-FAAD-4397-8F91-C6DB3461F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EB30F6-4118-42EF-A6D0-8299BA394A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F1CF76-C726-42ED-BE0E-E865EDFB6E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5D9044-8864-40DE-A087-A92A4B83A79B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1c567317-0c4d-4a62-8516-c22afd1b5354"/>
    <ds:schemaRef ds:uri="http://schemas.openxmlformats.org/package/2006/metadata/core-properties"/>
    <ds:schemaRef ds:uri="a0509f21-ed56-4150-9955-96be669e5f2d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2113</Words>
  <Characters>11670</Characters>
  <Application>Microsoft Office Word</Application>
  <DocSecurity>0</DocSecurity>
  <Lines>402</Lines>
  <Paragraphs>265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2020-05-15T06:14:00Z</dcterms:created>
  <dcterms:modified xsi:type="dcterms:W3CDTF">2026-01-09T00:08:00Z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2026-01-07T01:10:09Z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52422981-3d40-4a77-8834-5f8aa2161e77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