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5C2F5D2E" w14:textId="3567E978" w:rsidR="00BD499F" w:rsidRPr="004C23F4" w:rsidRDefault="00C06EE6" w:rsidP="00C06EE6">
          <w:pPr>
            <w:pStyle w:val="Heading1"/>
            <w:jc w:val="center"/>
            <w:rPr>
              <w:rFonts w:ascii="Arial" w:hAnsi="Arial" w:cs="Arial"/>
            </w:rPr>
          </w:pPr>
          <w:r w:rsidRPr="00C06EE6">
            <w:rPr>
              <w:rFonts w:ascii="Arial" w:hAnsi="Arial" w:cs="Arial"/>
            </w:rPr>
            <w:t>Ethylene glycol dinitrate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577F3425" w14:textId="77777777" w:rsidTr="00B76A41">
        <w:trPr>
          <w:cantSplit/>
          <w:tblHeader/>
        </w:trPr>
        <w:tc>
          <w:tcPr>
            <w:tcW w:w="4077" w:type="dxa"/>
          </w:tcPr>
          <w:p w14:paraId="20168CA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C1E751A" w14:textId="0ACB6741" w:rsidR="00F43AD5" w:rsidRPr="00717D45" w:rsidRDefault="009F6EC0" w:rsidP="00B76A41">
            <w:pPr>
              <w:pStyle w:val="Tablefont"/>
            </w:pPr>
            <w:r w:rsidRPr="009F6EC0">
              <w:t>628-96-6</w:t>
            </w:r>
          </w:p>
        </w:tc>
      </w:tr>
      <w:tr w:rsidR="00F43AD5" w:rsidRPr="00C44753" w14:paraId="47C2C42D" w14:textId="77777777" w:rsidTr="00B76A41">
        <w:trPr>
          <w:cantSplit/>
        </w:trPr>
        <w:tc>
          <w:tcPr>
            <w:tcW w:w="4077" w:type="dxa"/>
          </w:tcPr>
          <w:p w14:paraId="4600572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61BE8E8" w14:textId="471EB66D" w:rsidR="00F43AD5" w:rsidRPr="00822CE2" w:rsidRDefault="009F6EC0" w:rsidP="00B76A41">
            <w:pPr>
              <w:pStyle w:val="Tablefont"/>
              <w:rPr>
                <w:lang w:val="it-IT"/>
              </w:rPr>
            </w:pPr>
            <w:r w:rsidRPr="00822CE2">
              <w:rPr>
                <w:lang w:val="it-IT"/>
              </w:rPr>
              <w:t>Ethylene dinitrate, glycol dinitrate, nitroglycol, EGDN</w:t>
            </w:r>
          </w:p>
        </w:tc>
      </w:tr>
      <w:tr w:rsidR="00F43AD5" w:rsidRPr="004C23F4" w14:paraId="4A47065A" w14:textId="77777777" w:rsidTr="00B76A41">
        <w:trPr>
          <w:cantSplit/>
        </w:trPr>
        <w:tc>
          <w:tcPr>
            <w:tcW w:w="4077" w:type="dxa"/>
          </w:tcPr>
          <w:p w14:paraId="15ECDF8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B47BDBE" w14:textId="013970BB" w:rsidR="00F43AD5" w:rsidRPr="00717D45" w:rsidRDefault="009F6EC0" w:rsidP="00B76A41">
            <w:pPr>
              <w:pStyle w:val="Tablefont"/>
            </w:pPr>
            <w:proofErr w:type="spellStart"/>
            <w:r>
              <w:t>C</w:t>
            </w:r>
            <w:r w:rsidRPr="003A5CCC">
              <w:rPr>
                <w:vertAlign w:val="subscript"/>
              </w:rPr>
              <w:t>2</w:t>
            </w:r>
            <w:r>
              <w:t>H</w:t>
            </w:r>
            <w:r w:rsidRPr="003A5CCC">
              <w:rPr>
                <w:vertAlign w:val="subscript"/>
              </w:rPr>
              <w:t>6</w:t>
            </w:r>
            <w:r>
              <w:t>O</w:t>
            </w:r>
            <w:r w:rsidRPr="003A5CCC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7F37AB4D" w14:textId="77777777" w:rsidTr="00B76A41">
        <w:trPr>
          <w:cantSplit/>
        </w:trPr>
        <w:tc>
          <w:tcPr>
            <w:tcW w:w="4077" w:type="dxa"/>
          </w:tcPr>
          <w:p w14:paraId="21CB8CD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8E75F17" w14:textId="4C9F3058" w:rsidR="00F43AD5" w:rsidRPr="00B40C60" w:rsidRDefault="009F6EC0" w:rsidP="00B76A41">
            <w:pPr>
              <w:pStyle w:val="Tablerowheading"/>
              <w:rPr>
                <w:b w:val="0"/>
              </w:rPr>
            </w:pPr>
            <w:r w:rsidRPr="0098565E">
              <w:rPr>
                <w:b w:val="0"/>
              </w:rPr>
              <w:t>—</w:t>
            </w:r>
          </w:p>
        </w:tc>
      </w:tr>
    </w:tbl>
    <w:p w14:paraId="15B3A0C9" w14:textId="7A0CC53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404C6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7D504A9" w14:textId="77777777" w:rsidTr="00621CD2">
        <w:trPr>
          <w:cantSplit/>
          <w:tblHeader/>
        </w:trPr>
        <w:tc>
          <w:tcPr>
            <w:tcW w:w="4005" w:type="dxa"/>
            <w:vAlign w:val="center"/>
          </w:tcPr>
          <w:p w14:paraId="272C039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E922652" w14:textId="5359B87E" w:rsidR="002C7AFE" w:rsidRPr="0045121A" w:rsidRDefault="0045121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0.01 ppm (0.063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73864F3F" w14:textId="77777777" w:rsidTr="00621CD2">
        <w:trPr>
          <w:cantSplit/>
        </w:trPr>
        <w:tc>
          <w:tcPr>
            <w:tcW w:w="4005" w:type="dxa"/>
            <w:vAlign w:val="center"/>
          </w:tcPr>
          <w:p w14:paraId="32209E5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8663184" w14:textId="2F08BFA2" w:rsidR="002C7AFE" w:rsidRPr="00EB3D1B" w:rsidRDefault="0045121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72FF814" w14:textId="77777777" w:rsidTr="00621CD2">
        <w:trPr>
          <w:cantSplit/>
        </w:trPr>
        <w:tc>
          <w:tcPr>
            <w:tcW w:w="4005" w:type="dxa"/>
            <w:vAlign w:val="center"/>
          </w:tcPr>
          <w:p w14:paraId="029B09D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0D6455F" w14:textId="3AB4C9F9" w:rsidR="002C7AFE" w:rsidRPr="00EB3D1B" w:rsidRDefault="0045121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D619CD8" w14:textId="77777777" w:rsidTr="00621CD2">
        <w:trPr>
          <w:cantSplit/>
        </w:trPr>
        <w:tc>
          <w:tcPr>
            <w:tcW w:w="4005" w:type="dxa"/>
          </w:tcPr>
          <w:p w14:paraId="564CC1F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9BA5BD3" w14:textId="2D398FF6" w:rsidR="002C7AFE" w:rsidRPr="00EB3D1B" w:rsidRDefault="0045121A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1BBE9ADA" w14:textId="77777777" w:rsidTr="00621CD2">
        <w:trPr>
          <w:cantSplit/>
        </w:trPr>
        <w:tc>
          <w:tcPr>
            <w:tcW w:w="4005" w:type="dxa"/>
            <w:vAlign w:val="center"/>
          </w:tcPr>
          <w:p w14:paraId="04CAF997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79D5D7A4" w14:textId="72A2A9AB" w:rsidR="002C7AFE" w:rsidRPr="00EB3D1B" w:rsidRDefault="00F2546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75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621CD2" w:rsidRPr="004C23F4" w14:paraId="4945F976" w14:textId="77777777" w:rsidTr="00036A21">
        <w:trPr>
          <w:cantSplit/>
        </w:trPr>
        <w:tc>
          <w:tcPr>
            <w:tcW w:w="9026" w:type="dxa"/>
            <w:gridSpan w:val="2"/>
            <w:vAlign w:val="center"/>
          </w:tcPr>
          <w:p w14:paraId="1FA648DD" w14:textId="6C7D76EB" w:rsidR="00621CD2" w:rsidRPr="00EB3D1B" w:rsidRDefault="00621CD2" w:rsidP="00621CD2">
            <w:pPr>
              <w:pStyle w:val="Tablefont"/>
              <w:rPr>
                <w:b/>
              </w:rPr>
            </w:pPr>
            <w:r w:rsidRPr="006F6B15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0FFE01008D34E93A94ACFAFA71D3F5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6F6B1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C80000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58DF66A" w14:textId="223ED8DD" w:rsidR="006639B4" w:rsidRPr="004C23F4" w:rsidRDefault="0045121A" w:rsidP="000C139A">
      <w:pPr>
        <w:rPr>
          <w:rFonts w:cs="Arial"/>
        </w:rPr>
      </w:pPr>
      <w:r w:rsidRPr="0045121A">
        <w:rPr>
          <w:rFonts w:cs="Arial"/>
        </w:rPr>
        <w:t xml:space="preserve">A TWA of </w:t>
      </w:r>
      <w:r>
        <w:rPr>
          <w:rFonts w:cs="Arial"/>
        </w:rPr>
        <w:t xml:space="preserve">0.01 </w:t>
      </w:r>
      <w:r w:rsidRPr="0045121A">
        <w:rPr>
          <w:rFonts w:cs="Arial"/>
        </w:rPr>
        <w:t>ppm (</w:t>
      </w:r>
      <w:r>
        <w:rPr>
          <w:rFonts w:cs="Arial"/>
        </w:rPr>
        <w:t>0.063</w:t>
      </w:r>
      <w:r w:rsidRPr="0045121A">
        <w:rPr>
          <w:rFonts w:cs="Arial"/>
        </w:rPr>
        <w:t xml:space="preserve"> mg/</w:t>
      </w:r>
      <w:proofErr w:type="spellStart"/>
      <w:r w:rsidRPr="0045121A">
        <w:rPr>
          <w:rFonts w:cs="Arial"/>
        </w:rPr>
        <w:t>m</w:t>
      </w:r>
      <w:r w:rsidRPr="0045121A">
        <w:rPr>
          <w:rFonts w:cs="Arial"/>
          <w:vertAlign w:val="superscript"/>
        </w:rPr>
        <w:t>3</w:t>
      </w:r>
      <w:proofErr w:type="spellEnd"/>
      <w:r w:rsidRPr="0045121A">
        <w:rPr>
          <w:rFonts w:cs="Arial"/>
        </w:rPr>
        <w:t xml:space="preserve">) is recommended to protect for </w:t>
      </w:r>
      <w:r>
        <w:rPr>
          <w:rFonts w:cs="Arial"/>
        </w:rPr>
        <w:t>adverse cardiovascular effects in exposed workers.</w:t>
      </w:r>
    </w:p>
    <w:p w14:paraId="6233339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14F4E6B" w14:textId="6BB413F6" w:rsidR="006639B4" w:rsidRDefault="008812FD" w:rsidP="006639B4">
      <w:r>
        <w:rPr>
          <w:rFonts w:cs="Arial"/>
        </w:rPr>
        <w:t>Ethylene glycol dinitrate is used in explosives and may be present in dynamite formulations up 80%.</w:t>
      </w:r>
      <w:r w:rsidR="00E06A85">
        <w:rPr>
          <w:rFonts w:cs="Arial"/>
        </w:rPr>
        <w:t xml:space="preserve"> Critical effects are to the cardiovascular system, which cause increased </w:t>
      </w:r>
      <w:proofErr w:type="gramStart"/>
      <w:r w:rsidR="00E06A85">
        <w:rPr>
          <w:rFonts w:cs="Arial"/>
        </w:rPr>
        <w:t>heart-rate</w:t>
      </w:r>
      <w:proofErr w:type="gramEnd"/>
      <w:r w:rsidR="00E06A85">
        <w:rPr>
          <w:rFonts w:cs="Arial"/>
        </w:rPr>
        <w:t xml:space="preserve">, reduced blood pressure and headaches at </w:t>
      </w:r>
      <w:r w:rsidR="009873D2">
        <w:rPr>
          <w:rFonts w:cs="Arial"/>
        </w:rPr>
        <w:t>0.066</w:t>
      </w:r>
      <w:r w:rsidR="00E06A85">
        <w:rPr>
          <w:rFonts w:cs="Arial"/>
        </w:rPr>
        <w:t xml:space="preserve"> ppm (</w:t>
      </w:r>
      <w:proofErr w:type="spellStart"/>
      <w:r w:rsidR="00E06A85">
        <w:rPr>
          <w:rFonts w:cs="Arial"/>
        </w:rPr>
        <w:t>ACGIH</w:t>
      </w:r>
      <w:proofErr w:type="spellEnd"/>
      <w:r w:rsidR="00E06A85">
        <w:rPr>
          <w:rFonts w:cs="Arial"/>
        </w:rPr>
        <w:t>, 2018)</w:t>
      </w:r>
      <w:r w:rsidR="009873D2">
        <w:rPr>
          <w:rFonts w:cs="Arial"/>
        </w:rPr>
        <w:t>.</w:t>
      </w:r>
    </w:p>
    <w:p w14:paraId="5E7EDF04" w14:textId="3606E7EE" w:rsidR="00FB70CA" w:rsidRDefault="00DB3840" w:rsidP="006639B4">
      <w:r>
        <w:t>W</w:t>
      </w:r>
      <w:r w:rsidR="00E06A85">
        <w:t>orker case studies and volunteer experiments</w:t>
      </w:r>
      <w:r>
        <w:t xml:space="preserve"> </w:t>
      </w:r>
      <w:r w:rsidR="00E06A85">
        <w:t>indicat</w:t>
      </w:r>
      <w:r w:rsidR="00404C6D">
        <w:t>e prolonged occupational exposure above 0.04</w:t>
      </w:r>
      <w:r>
        <w:t> </w:t>
      </w:r>
      <w:r w:rsidR="00404C6D">
        <w:t>ppm causes adverse cardiovascular effects and brief exposures at 0.06 ppm induce headaches (</w:t>
      </w:r>
      <w:proofErr w:type="spellStart"/>
      <w:r w:rsidR="00404C6D">
        <w:t>HCOTN</w:t>
      </w:r>
      <w:proofErr w:type="spellEnd"/>
      <w:r w:rsidR="00404C6D">
        <w:t xml:space="preserve">, 2005). </w:t>
      </w:r>
      <w:r>
        <w:t xml:space="preserve">Occupational exposures to the substance are frequently mixed with </w:t>
      </w:r>
      <w:proofErr w:type="spellStart"/>
      <w:r>
        <w:t>nitroglycerin</w:t>
      </w:r>
      <w:proofErr w:type="spellEnd"/>
      <w:r>
        <w:t>, which exhibits a comparable toxic mechanism of action (</w:t>
      </w:r>
      <w:proofErr w:type="spellStart"/>
      <w:r>
        <w:t>DFG</w:t>
      </w:r>
      <w:proofErr w:type="spellEnd"/>
      <w:r>
        <w:t xml:space="preserve">, 2017). A </w:t>
      </w:r>
      <w:proofErr w:type="spellStart"/>
      <w:r w:rsidR="00532C87">
        <w:t>NOAEC</w:t>
      </w:r>
      <w:proofErr w:type="spellEnd"/>
      <w:r w:rsidR="00532C87">
        <w:t xml:space="preserve"> </w:t>
      </w:r>
      <w:r>
        <w:t xml:space="preserve">of 0.01 ppm for the onset of headaches </w:t>
      </w:r>
      <w:r w:rsidR="00D21B2B">
        <w:t xml:space="preserve">with a corresponding </w:t>
      </w:r>
      <w:proofErr w:type="spellStart"/>
      <w:r w:rsidR="00532C87">
        <w:t>LOAEC</w:t>
      </w:r>
      <w:proofErr w:type="spellEnd"/>
      <w:r w:rsidR="00532C87">
        <w:t xml:space="preserve"> </w:t>
      </w:r>
      <w:r w:rsidR="00D21B2B">
        <w:t>of 0.03 ppm are</w:t>
      </w:r>
      <w:r>
        <w:t xml:space="preserve"> reported for workers exposed to </w:t>
      </w:r>
      <w:proofErr w:type="spellStart"/>
      <w:r>
        <w:t>nitroglycerin</w:t>
      </w:r>
      <w:proofErr w:type="spellEnd"/>
      <w:r w:rsidR="00D21B2B">
        <w:t xml:space="preserve"> (</w:t>
      </w:r>
      <w:proofErr w:type="spellStart"/>
      <w:r w:rsidR="00D21B2B">
        <w:t>DFG</w:t>
      </w:r>
      <w:proofErr w:type="spellEnd"/>
      <w:r w:rsidR="00D21B2B">
        <w:t>, 2017).</w:t>
      </w:r>
    </w:p>
    <w:p w14:paraId="296FA06C" w14:textId="6DC7560F" w:rsidR="00E06A85" w:rsidRDefault="000B2FC3" w:rsidP="006639B4">
      <w:pPr>
        <w:rPr>
          <w:rFonts w:cs="Arial"/>
        </w:rPr>
      </w:pPr>
      <w:r>
        <w:t>A</w:t>
      </w:r>
      <w:r w:rsidR="00404C6D">
        <w:t>dverse effects in human dermal exposure studies</w:t>
      </w:r>
      <w:r>
        <w:t xml:space="preserve"> are</w:t>
      </w:r>
      <w:r w:rsidR="00404C6D">
        <w:t xml:space="preserve"> noted </w:t>
      </w:r>
      <w:r>
        <w:t xml:space="preserve">and </w:t>
      </w:r>
      <w:r w:rsidR="00404C6D">
        <w:t xml:space="preserve">formulations containing the substance may penetrate rubber gloves </w:t>
      </w:r>
      <w:r w:rsidR="00D21B2B">
        <w:t>causing</w:t>
      </w:r>
      <w:r w:rsidR="0045121A">
        <w:t xml:space="preserve"> adverse effects </w:t>
      </w:r>
      <w:r w:rsidR="00404C6D">
        <w:t>within</w:t>
      </w:r>
      <w:r w:rsidR="00AF52FF">
        <w:t xml:space="preserve"> two to four</w:t>
      </w:r>
      <w:r w:rsidR="00404C6D">
        <w:t xml:space="preserve"> hours (</w:t>
      </w:r>
      <w:proofErr w:type="spellStart"/>
      <w:r w:rsidR="00404C6D">
        <w:t>HCOTN</w:t>
      </w:r>
      <w:proofErr w:type="spellEnd"/>
      <w:r w:rsidR="00404C6D">
        <w:t>, 2005).</w:t>
      </w:r>
    </w:p>
    <w:p w14:paraId="7C7D3E79" w14:textId="77777777" w:rsidR="00A07232" w:rsidRDefault="002338BC" w:rsidP="00A07232">
      <w:pPr>
        <w:rPr>
          <w:rFonts w:cs="Arial"/>
        </w:rPr>
      </w:pPr>
      <w:r>
        <w:rPr>
          <w:rFonts w:cs="Arial"/>
        </w:rPr>
        <w:t xml:space="preserve">No </w:t>
      </w:r>
      <w:r w:rsidR="00404C6D">
        <w:rPr>
          <w:rFonts w:cs="Arial"/>
        </w:rPr>
        <w:t xml:space="preserve">substance-specific </w:t>
      </w:r>
      <w:r>
        <w:rPr>
          <w:rFonts w:cs="Arial"/>
        </w:rPr>
        <w:t xml:space="preserve">carcinogenicity studies </w:t>
      </w:r>
      <w:r w:rsidR="00404C6D">
        <w:rPr>
          <w:rFonts w:cs="Arial"/>
        </w:rPr>
        <w:t xml:space="preserve">are currently </w:t>
      </w:r>
      <w:r>
        <w:rPr>
          <w:rFonts w:cs="Arial"/>
        </w:rPr>
        <w:t xml:space="preserve">available, but </w:t>
      </w:r>
      <w:r w:rsidR="00404C6D">
        <w:rPr>
          <w:rFonts w:cs="Arial"/>
        </w:rPr>
        <w:t xml:space="preserve">the compound is </w:t>
      </w:r>
      <w:r>
        <w:rPr>
          <w:rFonts w:cs="Arial"/>
        </w:rPr>
        <w:t>expected to be non-genotoxic by analogy to</w:t>
      </w:r>
      <w:r w:rsidR="00404C6D">
        <w:rPr>
          <w:rFonts w:cs="Arial"/>
        </w:rPr>
        <w:t xml:space="preserve"> the structurally </w:t>
      </w:r>
      <w:r w:rsidR="0045121A">
        <w:rPr>
          <w:rFonts w:cs="Arial"/>
        </w:rPr>
        <w:t>related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nitroglycerin</w:t>
      </w:r>
      <w:proofErr w:type="spellEnd"/>
      <w:r w:rsidR="00404C6D">
        <w:rPr>
          <w:rFonts w:cs="Arial"/>
        </w:rPr>
        <w:t>, which has similar toxic endpoints</w:t>
      </w:r>
      <w:r>
        <w:rPr>
          <w:rFonts w:cs="Arial"/>
        </w:rPr>
        <w:t xml:space="preserve"> (ECHA, 2019). </w:t>
      </w:r>
    </w:p>
    <w:p w14:paraId="14110DE3" w14:textId="5A8A3DA2" w:rsidR="00A07232" w:rsidRDefault="00A07232" w:rsidP="00A07232">
      <w:r>
        <w:t xml:space="preserve">A TWA of 0.01 ppm is recommended based on a weight of evidence from these data, which indicate adverse cardiovascular effects are not expected below this concentration. This approach is </w:t>
      </w:r>
      <w:r w:rsidR="00532C87">
        <w:t xml:space="preserve">adopted from </w:t>
      </w:r>
      <w:r>
        <w:t xml:space="preserve">the evaluation of </w:t>
      </w:r>
      <w:proofErr w:type="spellStart"/>
      <w:r>
        <w:t>DFG</w:t>
      </w:r>
      <w:proofErr w:type="spellEnd"/>
      <w:r>
        <w:t xml:space="preserve"> (2017) and the proposed health-based recommendation </w:t>
      </w:r>
      <w:r w:rsidR="00C44753">
        <w:t xml:space="preserve">reported </w:t>
      </w:r>
      <w:r>
        <w:t xml:space="preserve">by </w:t>
      </w:r>
      <w:proofErr w:type="spellStart"/>
      <w:r>
        <w:t>HCOTN</w:t>
      </w:r>
      <w:proofErr w:type="spellEnd"/>
      <w:r>
        <w:t xml:space="preserve"> (2005).</w:t>
      </w:r>
    </w:p>
    <w:p w14:paraId="3EE448A0" w14:textId="55F09ECE" w:rsidR="002338BC" w:rsidRPr="004C23F4" w:rsidRDefault="002338BC" w:rsidP="006639B4">
      <w:pPr>
        <w:rPr>
          <w:rFonts w:cs="Arial"/>
        </w:rPr>
      </w:pPr>
    </w:p>
    <w:p w14:paraId="3A8056E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470B4E4" w14:textId="3C0891B1" w:rsidR="00C06EE6" w:rsidRPr="00C06EE6" w:rsidRDefault="00C06EE6" w:rsidP="00C06EE6">
      <w:pPr>
        <w:rPr>
          <w:rFonts w:cs="Arial"/>
        </w:rPr>
      </w:pPr>
      <w:r w:rsidRPr="00C06EE6">
        <w:rPr>
          <w:rFonts w:cs="Arial"/>
        </w:rPr>
        <w:t>Not classified as a carcinogen according to the Globally Harmonized System of</w:t>
      </w:r>
      <w:r w:rsidR="00621CD2">
        <w:rPr>
          <w:rFonts w:cs="Arial"/>
        </w:rPr>
        <w:t xml:space="preserve"> Classification and Labelling of</w:t>
      </w:r>
      <w:r w:rsidRPr="00C06EE6">
        <w:rPr>
          <w:rFonts w:cs="Arial"/>
        </w:rPr>
        <w:t xml:space="preserve"> Chemicals (GHS). </w:t>
      </w:r>
    </w:p>
    <w:p w14:paraId="02D8617A" w14:textId="4CDC7F7D" w:rsidR="00C06EE6" w:rsidRPr="00C06EE6" w:rsidRDefault="00C06EE6" w:rsidP="00C06EE6">
      <w:pPr>
        <w:rPr>
          <w:rFonts w:cs="Arial"/>
        </w:rPr>
      </w:pPr>
      <w:r w:rsidRPr="00C06EE6">
        <w:rPr>
          <w:rFonts w:cs="Arial"/>
        </w:rPr>
        <w:t xml:space="preserve">Not classified as a skin </w:t>
      </w:r>
      <w:r w:rsidR="00621CD2" w:rsidRPr="00C06EE6">
        <w:rPr>
          <w:rFonts w:cs="Arial"/>
        </w:rPr>
        <w:t xml:space="preserve">sensitiser </w:t>
      </w:r>
      <w:r w:rsidRPr="00C06EE6">
        <w:rPr>
          <w:rFonts w:cs="Arial"/>
        </w:rPr>
        <w:t>or respiratory sensitiser according to the GHS.</w:t>
      </w:r>
    </w:p>
    <w:p w14:paraId="7252294C" w14:textId="3E52AB26" w:rsidR="005E6979" w:rsidRPr="004C23F4" w:rsidRDefault="0045121A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45121A">
        <w:rPr>
          <w:rFonts w:cs="Arial"/>
        </w:rPr>
        <w:t xml:space="preserve">A skin notation </w:t>
      </w:r>
      <w:r>
        <w:rPr>
          <w:rFonts w:cs="Arial"/>
        </w:rPr>
        <w:t>is</w:t>
      </w:r>
      <w:r w:rsidRPr="0045121A">
        <w:rPr>
          <w:rFonts w:cs="Arial"/>
        </w:rPr>
        <w:t xml:space="preserve"> recommended based on evidence </w:t>
      </w:r>
      <w:r>
        <w:rPr>
          <w:rFonts w:cs="Arial"/>
        </w:rPr>
        <w:t>for</w:t>
      </w:r>
      <w:r w:rsidRPr="0045121A">
        <w:rPr>
          <w:rFonts w:cs="Arial"/>
        </w:rPr>
        <w:t xml:space="preserve"> dermal absorption and adverse systemic effects in </w:t>
      </w:r>
      <w:r>
        <w:rPr>
          <w:rFonts w:cs="Arial"/>
        </w:rPr>
        <w:t xml:space="preserve">humans and </w:t>
      </w:r>
      <w:r w:rsidRPr="0045121A">
        <w:rPr>
          <w:rFonts w:cs="Arial"/>
        </w:rPr>
        <w:t>animals.</w:t>
      </w:r>
    </w:p>
    <w:p w14:paraId="5507495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395447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7472CDC" w14:textId="77777777" w:rsidTr="00D1157E">
        <w:trPr>
          <w:gridAfter w:val="1"/>
          <w:wAfter w:w="8" w:type="pct"/>
          <w:trHeight w:val="393"/>
          <w:tblHeader/>
        </w:trPr>
        <w:tc>
          <w:tcPr>
            <w:tcW w:w="0" w:type="pct"/>
            <w:shd w:val="clear" w:color="auto" w:fill="BFBFBF" w:themeFill="background1" w:themeFillShade="BF"/>
            <w:vAlign w:val="center"/>
          </w:tcPr>
          <w:p w14:paraId="6070ED2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400A0A6" w14:textId="77777777" w:rsidTr="00D1157E">
        <w:tc>
          <w:tcPr>
            <w:tcW w:w="0" w:type="pct"/>
            <w:gridSpan w:val="2"/>
            <w:shd w:val="clear" w:color="auto" w:fill="F2F2F2" w:themeFill="background1" w:themeFillShade="F2"/>
          </w:tcPr>
          <w:p w14:paraId="3090F480" w14:textId="66275C1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9F6EC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9F6EC0">
                  <w:t>TWA: 0.05 ppm (0.31 mg/</w:t>
                </w:r>
                <w:proofErr w:type="spellStart"/>
                <w:r w:rsidR="009F6EC0">
                  <w:t>m</w:t>
                </w:r>
                <w:r w:rsidR="009F6EC0" w:rsidRPr="009F6EC0">
                  <w:rPr>
                    <w:vertAlign w:val="superscript"/>
                  </w:rPr>
                  <w:t>3</w:t>
                </w:r>
                <w:proofErr w:type="spellEnd"/>
                <w:r w:rsidR="009F6EC0">
                  <w:t>)</w:t>
                </w:r>
              </w:sdtContent>
            </w:sdt>
          </w:p>
        </w:tc>
      </w:tr>
      <w:tr w:rsidR="00C978F0" w:rsidRPr="00DA352E" w14:paraId="4E98913D" w14:textId="77777777" w:rsidTr="00D1157E">
        <w:trPr>
          <w:gridAfter w:val="1"/>
          <w:wAfter w:w="8" w:type="pct"/>
        </w:trPr>
        <w:tc>
          <w:tcPr>
            <w:tcW w:w="0" w:type="pct"/>
          </w:tcPr>
          <w:p w14:paraId="671FEB7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E94C52A" w14:textId="77777777" w:rsidTr="002743F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08B1AB" w14:textId="5381589A" w:rsidR="00C978F0" w:rsidRPr="00DA352E" w:rsidRDefault="00DA352E" w:rsidP="002743F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9873D2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9F6EC0">
                  <w:t>TLV</w:t>
                </w:r>
                <w:r w:rsidR="00C00C67">
                  <w:t>-TWA: 0.05 ppm (0.31 mg/</w:t>
                </w:r>
                <w:proofErr w:type="spellStart"/>
                <w:r w:rsidR="00C00C67">
                  <w:t>m</w:t>
                </w:r>
                <w:r w:rsidR="00C00C67" w:rsidRPr="00C00C67">
                  <w:rPr>
                    <w:vertAlign w:val="superscript"/>
                  </w:rPr>
                  <w:t>3</w:t>
                </w:r>
                <w:proofErr w:type="spellEnd"/>
                <w:r w:rsidR="00C00C67">
                  <w:t>)</w:t>
                </w:r>
              </w:sdtContent>
            </w:sdt>
          </w:p>
        </w:tc>
      </w:tr>
      <w:tr w:rsidR="00C978F0" w:rsidRPr="00DA352E" w14:paraId="387874A6" w14:textId="77777777" w:rsidTr="00D1157E">
        <w:trPr>
          <w:gridAfter w:val="1"/>
          <w:wAfter w:w="8" w:type="pct"/>
        </w:trPr>
        <w:tc>
          <w:tcPr>
            <w:tcW w:w="0" w:type="pct"/>
          </w:tcPr>
          <w:p w14:paraId="37EC1EFA" w14:textId="15D9C73B" w:rsidR="00C978F0" w:rsidRDefault="008812FD" w:rsidP="003365A5">
            <w:pPr>
              <w:pStyle w:val="Tabletextprimarysource"/>
            </w:pPr>
            <w:r>
              <w:t xml:space="preserve">TLV-TWA intended to minimise potential for headaches and changes in blood pressure. </w:t>
            </w:r>
          </w:p>
          <w:p w14:paraId="25E34720" w14:textId="77777777" w:rsidR="008812FD" w:rsidRDefault="008812FD" w:rsidP="003365A5">
            <w:pPr>
              <w:pStyle w:val="Tabletextprimarysource"/>
            </w:pPr>
            <w:r>
              <w:t>Summary of data:</w:t>
            </w:r>
          </w:p>
          <w:p w14:paraId="07D014E4" w14:textId="5F95F8F7" w:rsidR="008812FD" w:rsidRDefault="008812FD" w:rsidP="008812FD">
            <w:pPr>
              <w:pStyle w:val="Tabletextprimarysource"/>
            </w:pPr>
            <w:r>
              <w:t>TLV-TWA based on</w:t>
            </w:r>
            <w:r w:rsidR="001706E0">
              <w:t xml:space="preserve"> weight of evidence from</w:t>
            </w:r>
            <w:r>
              <w:t xml:space="preserve"> human case studies, primarily from workers in the explosives industry and by analogy to the similarly toxic propylene glycol dinitrate.</w:t>
            </w:r>
            <w:r w:rsidR="00120D6E">
              <w:t xml:space="preserve"> </w:t>
            </w:r>
            <w:r w:rsidR="007E3259">
              <w:t xml:space="preserve">Most available data are for mixed exposures with </w:t>
            </w:r>
            <w:proofErr w:type="spellStart"/>
            <w:r w:rsidR="007E3259">
              <w:t>nitroglycerin</w:t>
            </w:r>
            <w:proofErr w:type="spellEnd"/>
            <w:r w:rsidR="007E3259">
              <w:t xml:space="preserve">, but reported symptoms are expected to be due to ethylene glycol dinitrate exposure </w:t>
            </w:r>
            <w:r w:rsidR="00532C87">
              <w:t xml:space="preserve">because </w:t>
            </w:r>
            <w:r w:rsidR="004B4765">
              <w:t>volatility is</w:t>
            </w:r>
            <w:r w:rsidR="00F25469">
              <w:t xml:space="preserve"> 160-fold higher</w:t>
            </w:r>
            <w:r w:rsidR="001706E0">
              <w:t>. TLV-TWA expected to be protective of effects from vasodilation that occur above 0.066 ppm.</w:t>
            </w:r>
          </w:p>
          <w:p w14:paraId="7DF82C44" w14:textId="2070971B" w:rsidR="008812FD" w:rsidRDefault="008812FD" w:rsidP="008812FD">
            <w:pPr>
              <w:pStyle w:val="Tabletextprimarysource"/>
            </w:pPr>
            <w:r>
              <w:t>Human data:</w:t>
            </w:r>
          </w:p>
          <w:p w14:paraId="1B8DD732" w14:textId="1248C9C3" w:rsidR="008812FD" w:rsidRDefault="008812FD" w:rsidP="008812FD">
            <w:pPr>
              <w:pStyle w:val="Tabletextprimarysource"/>
              <w:numPr>
                <w:ilvl w:val="0"/>
                <w:numId w:val="4"/>
              </w:numPr>
            </w:pPr>
            <w:r>
              <w:t>No serious adverse effects noted in industries that main</w:t>
            </w:r>
            <w:r w:rsidR="00F25469">
              <w:t>tained a level of 0.16–0.32 ppm</w:t>
            </w:r>
          </w:p>
          <w:p w14:paraId="378FDED8" w14:textId="1916710C" w:rsidR="002701D8" w:rsidRDefault="002701D8" w:rsidP="008812FD">
            <w:pPr>
              <w:pStyle w:val="Tabletextprimarysource"/>
              <w:numPr>
                <w:ilvl w:val="0"/>
                <w:numId w:val="4"/>
              </w:numPr>
            </w:pPr>
            <w:r>
              <w:t>Therapeutic doses of 0.3 mg used as coronary artery dilator, which causes headaches in some individuals</w:t>
            </w:r>
          </w:p>
          <w:p w14:paraId="0CFB92FC" w14:textId="3EB5EAF9" w:rsidR="002701D8" w:rsidRDefault="002701D8" w:rsidP="008812FD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Reported fatalities may </w:t>
            </w:r>
            <w:r w:rsidR="00F25469">
              <w:t xml:space="preserve">have </w:t>
            </w:r>
            <w:r>
              <w:t>result</w:t>
            </w:r>
            <w:r w:rsidR="00F25469">
              <w:t>ed</w:t>
            </w:r>
            <w:r>
              <w:t xml:space="preserve"> from withdrawal symptoms rather than exposure</w:t>
            </w:r>
          </w:p>
          <w:p w14:paraId="5B3D1901" w14:textId="775C5538" w:rsidR="002701D8" w:rsidRDefault="002701D8" w:rsidP="008812FD">
            <w:pPr>
              <w:pStyle w:val="Tabletextprimarysource"/>
              <w:numPr>
                <w:ilvl w:val="0"/>
                <w:numId w:val="4"/>
              </w:numPr>
            </w:pPr>
            <w:r>
              <w:t>Easily absorbed through skin (no further details)</w:t>
            </w:r>
          </w:p>
          <w:p w14:paraId="2C3E416D" w14:textId="2373FBF5" w:rsidR="002701D8" w:rsidRDefault="002701D8" w:rsidP="008812FD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Volunteer inhalation study </w:t>
            </w:r>
            <w:r w:rsidR="001706E0">
              <w:t xml:space="preserve">with mixture of ethylene glycol dinitrate and </w:t>
            </w:r>
            <w:proofErr w:type="spellStart"/>
            <w:r w:rsidR="001706E0">
              <w:t>nitroglycerin</w:t>
            </w:r>
            <w:proofErr w:type="spellEnd"/>
            <w:r w:rsidR="001706E0">
              <w:t xml:space="preserve"> </w:t>
            </w:r>
            <w:r>
              <w:t>reported headaches and immediate blood pressure reduction at 0.32 ppm (2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, duration not specified); slight headaches and lower blood pressure at 0.11 ppm (0.7</w:t>
            </w:r>
            <w:r w:rsidR="00B15BE6">
              <w:t> </w:t>
            </w:r>
            <w:r>
              <w:t>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 for 25 min</w:t>
            </w:r>
          </w:p>
          <w:p w14:paraId="5505FCDF" w14:textId="34D704B6" w:rsidR="002701D8" w:rsidRDefault="002701D8" w:rsidP="008812FD">
            <w:pPr>
              <w:pStyle w:val="Tabletextprimarysource"/>
              <w:numPr>
                <w:ilvl w:val="0"/>
                <w:numId w:val="4"/>
              </w:numPr>
            </w:pPr>
            <w:r>
              <w:t>Case study of explosives production workers (n=1</w:t>
            </w:r>
            <w:r w:rsidR="00CB6992">
              <w:t>,</w:t>
            </w:r>
            <w:r>
              <w:t>271) reported heart-pulse abnormalities in 143 subjects and slight headaches during shift when exposed to 0.066 ppm with peak levels at 0.1 ppm</w:t>
            </w:r>
          </w:p>
          <w:p w14:paraId="26A0B920" w14:textId="10224EA8" w:rsidR="002701D8" w:rsidRDefault="002701D8" w:rsidP="00D1157E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0.5 ppm</w:t>
            </w:r>
            <w:r w:rsidR="006F6B15">
              <w:t>:</w:t>
            </w:r>
            <w:r>
              <w:t xml:space="preserve"> &gt;100 reported cases of poisoning (no further information provided)</w:t>
            </w:r>
          </w:p>
          <w:p w14:paraId="69BA7B48" w14:textId="28201508" w:rsidR="002701D8" w:rsidRDefault="00C97683" w:rsidP="002701D8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US </w:t>
            </w:r>
            <w:proofErr w:type="spellStart"/>
            <w:r>
              <w:t>NIOSH</w:t>
            </w:r>
            <w:proofErr w:type="spellEnd"/>
            <w:r>
              <w:t xml:space="preserve"> reported mixtures with </w:t>
            </w:r>
            <w:proofErr w:type="spellStart"/>
            <w:r>
              <w:t>nitroglycerin</w:t>
            </w:r>
            <w:proofErr w:type="spellEnd"/>
            <w:r>
              <w:t xml:space="preserve"> caused headaches and blood pressure changes between 0.016–2.3 </w:t>
            </w:r>
            <w:r w:rsidR="00F25469">
              <w:t xml:space="preserve">ppm </w:t>
            </w:r>
            <w:r>
              <w:t>in exposed workers</w:t>
            </w:r>
            <w:r w:rsidR="006D7AB4">
              <w:t>:</w:t>
            </w:r>
          </w:p>
          <w:p w14:paraId="162043C4" w14:textId="3620EA6A" w:rsidR="00120D6E" w:rsidRDefault="006F6B15" w:rsidP="00D1157E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c</w:t>
            </w:r>
            <w:r w:rsidR="00120D6E">
              <w:t xml:space="preserve">hanges in electrocardiogram, chest pain, palpitation and nausea </w:t>
            </w:r>
            <w:r w:rsidR="00532C87">
              <w:t xml:space="preserve">were </w:t>
            </w:r>
            <w:r w:rsidR="00C44753">
              <w:t>reported</w:t>
            </w:r>
            <w:r w:rsidR="00532C87">
              <w:t xml:space="preserve"> with</w:t>
            </w:r>
            <w:r w:rsidR="00120D6E">
              <w:t xml:space="preserve"> concentrations between 0.2–2.3 ppm </w:t>
            </w:r>
          </w:p>
          <w:p w14:paraId="7225FFAB" w14:textId="430C7192" w:rsidR="00C97683" w:rsidRDefault="006F6B15" w:rsidP="00D1157E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s</w:t>
            </w:r>
            <w:r w:rsidR="00C97683">
              <w:t>ingle fatality occurred between 0.05–</w:t>
            </w:r>
            <w:r w:rsidR="00120D6E">
              <w:t>0.23</w:t>
            </w:r>
            <w:r w:rsidR="00F25469">
              <w:t xml:space="preserve"> ppm</w:t>
            </w:r>
          </w:p>
          <w:p w14:paraId="122D7318" w14:textId="6C0695E1" w:rsidR="001706E0" w:rsidRDefault="006F6B15" w:rsidP="00D1157E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r</w:t>
            </w:r>
            <w:r w:rsidR="001706E0">
              <w:t xml:space="preserve">ecommended </w:t>
            </w:r>
            <w:proofErr w:type="spellStart"/>
            <w:r w:rsidR="001706E0">
              <w:t>NIOSH</w:t>
            </w:r>
            <w:proofErr w:type="spellEnd"/>
            <w:r w:rsidR="001706E0">
              <w:t xml:space="preserve"> ceiling l</w:t>
            </w:r>
            <w:r w:rsidR="00F25469">
              <w:t>evel of 0.02 ppm</w:t>
            </w:r>
          </w:p>
          <w:p w14:paraId="46C5FC42" w14:textId="441E0C7B" w:rsidR="00C97683" w:rsidRDefault="00C97683" w:rsidP="00C97683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Greater probability of death from heart disease in dynamite production workers than control group that never worked </w:t>
            </w:r>
            <w:r w:rsidR="00F25469">
              <w:t xml:space="preserve">in </w:t>
            </w:r>
            <w:r>
              <w:t>industry</w:t>
            </w:r>
          </w:p>
          <w:p w14:paraId="2933635A" w14:textId="5940EA7D" w:rsidR="001706E0" w:rsidRDefault="001706E0" w:rsidP="00C97683">
            <w:pPr>
              <w:pStyle w:val="Tabletextprimarysource"/>
              <w:numPr>
                <w:ilvl w:val="0"/>
                <w:numId w:val="4"/>
              </w:numPr>
            </w:pPr>
            <w:r>
              <w:t>Tolerance to headaches acquired from repeated exposure (8 h) to propylene glycol dinitrate at 0.2 ppm (no further details)</w:t>
            </w:r>
            <w:r w:rsidR="006F6B15">
              <w:t>.</w:t>
            </w:r>
          </w:p>
          <w:p w14:paraId="697BC529" w14:textId="77777777" w:rsidR="008812FD" w:rsidRDefault="008812FD" w:rsidP="008812FD">
            <w:pPr>
              <w:pStyle w:val="Tabletextprimarysource"/>
            </w:pPr>
            <w:r>
              <w:t>Animal data:</w:t>
            </w:r>
          </w:p>
          <w:p w14:paraId="18DA2105" w14:textId="77777777" w:rsidR="008812FD" w:rsidRDefault="00120D6E" w:rsidP="008812FD">
            <w:pPr>
              <w:pStyle w:val="Tabletextprimarysource"/>
              <w:numPr>
                <w:ilvl w:val="0"/>
                <w:numId w:val="3"/>
              </w:numPr>
            </w:pPr>
            <w:r>
              <w:t>None presented</w:t>
            </w:r>
          </w:p>
          <w:p w14:paraId="719D65BA" w14:textId="27CDB49C" w:rsidR="00120D6E" w:rsidRDefault="00120D6E" w:rsidP="008812FD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No </w:t>
            </w:r>
            <w:proofErr w:type="spellStart"/>
            <w:r>
              <w:t>ADME</w:t>
            </w:r>
            <w:proofErr w:type="spellEnd"/>
            <w:r>
              <w:t>, mutagenicity or carcinogenicity data presented.</w:t>
            </w:r>
          </w:p>
          <w:p w14:paraId="664F7ADD" w14:textId="77777777" w:rsidR="006D7AB4" w:rsidRDefault="006D7AB4" w:rsidP="00D1157E">
            <w:pPr>
              <w:pStyle w:val="Tabletextprimarysource"/>
            </w:pPr>
          </w:p>
          <w:p w14:paraId="7649E1FD" w14:textId="77777777" w:rsidR="006D7AB4" w:rsidRDefault="006D7AB4" w:rsidP="00D1157E">
            <w:pPr>
              <w:pStyle w:val="Tabletextprimarysource"/>
            </w:pPr>
            <w:r>
              <w:t>A skin notation is recommended based on evidence of facile dermal absorption that contributes to overall exposure. Insufficient data to recommend a TLV-STEL or notations for carcinogenicity and sensitisation.</w:t>
            </w:r>
          </w:p>
          <w:p w14:paraId="6C5CA024" w14:textId="5D613C0F" w:rsidR="006D7AB4" w:rsidRPr="00DA352E" w:rsidRDefault="006D7AB4" w:rsidP="00D1157E">
            <w:pPr>
              <w:pStyle w:val="Tabletextprimarysource"/>
            </w:pPr>
          </w:p>
        </w:tc>
      </w:tr>
      <w:tr w:rsidR="00C978F0" w:rsidRPr="00DA352E" w14:paraId="5E86668C" w14:textId="77777777" w:rsidTr="00D1157E">
        <w:trPr>
          <w:gridAfter w:val="1"/>
          <w:wAfter w:w="8" w:type="pct"/>
        </w:trPr>
        <w:tc>
          <w:tcPr>
            <w:tcW w:w="0" w:type="pct"/>
            <w:shd w:val="clear" w:color="auto" w:fill="F2F2F2" w:themeFill="background1" w:themeFillShade="F2"/>
          </w:tcPr>
          <w:p w14:paraId="001FC99E" w14:textId="007E688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C00C67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C00C67">
                  <w:t>MAK: 0.01 ppm (0.063 mg/</w:t>
                </w:r>
                <w:proofErr w:type="spellStart"/>
                <w:r w:rsidR="00C00C67">
                  <w:t>m</w:t>
                </w:r>
                <w:r w:rsidR="00C00C67" w:rsidRPr="00C00C67">
                  <w:rPr>
                    <w:vertAlign w:val="superscript"/>
                  </w:rPr>
                  <w:t>3</w:t>
                </w:r>
                <w:proofErr w:type="spellEnd"/>
                <w:r w:rsidR="00C00C67">
                  <w:t>)</w:t>
                </w:r>
              </w:sdtContent>
            </w:sdt>
          </w:p>
        </w:tc>
      </w:tr>
      <w:tr w:rsidR="00C978F0" w:rsidRPr="00DA352E" w14:paraId="092AB128" w14:textId="77777777" w:rsidTr="00D1157E">
        <w:trPr>
          <w:gridAfter w:val="1"/>
          <w:wAfter w:w="8" w:type="pct"/>
        </w:trPr>
        <w:tc>
          <w:tcPr>
            <w:tcW w:w="0" w:type="pct"/>
          </w:tcPr>
          <w:p w14:paraId="1E32249B" w14:textId="1CF77303" w:rsidR="0030185D" w:rsidRDefault="0030185D" w:rsidP="003365A5">
            <w:pPr>
              <w:pStyle w:val="Tabletextprimarysource"/>
            </w:pPr>
            <w:r>
              <w:t xml:space="preserve">MAK based </w:t>
            </w:r>
            <w:r w:rsidR="00036A21">
              <w:t>on</w:t>
            </w:r>
            <w:r w:rsidR="004358D4">
              <w:t xml:space="preserve"> analogy to </w:t>
            </w:r>
            <w:proofErr w:type="spellStart"/>
            <w:r w:rsidR="004358D4">
              <w:t>nitroglycerin</w:t>
            </w:r>
            <w:proofErr w:type="spellEnd"/>
            <w:r w:rsidR="004358D4">
              <w:t>, which has the same mechanism of action and</w:t>
            </w:r>
            <w:r w:rsidR="00036A21">
              <w:t xml:space="preserve"> </w:t>
            </w:r>
            <w:proofErr w:type="spellStart"/>
            <w:r w:rsidR="00036A21">
              <w:t>LOAEL</w:t>
            </w:r>
            <w:proofErr w:type="spellEnd"/>
            <w:r w:rsidR="00036A21">
              <w:t xml:space="preserve"> of 0.05 ppm for slight headaches in volunteers exposed to mixtures </w:t>
            </w:r>
            <w:r w:rsidR="004358D4">
              <w:t>of ethylene glycol dinitrate and</w:t>
            </w:r>
            <w:r w:rsidR="00036A21">
              <w:t xml:space="preserve"> </w:t>
            </w:r>
            <w:proofErr w:type="spellStart"/>
            <w:r w:rsidR="00036A21">
              <w:t>nitroglycerin</w:t>
            </w:r>
            <w:proofErr w:type="spellEnd"/>
            <w:r w:rsidR="004358D4">
              <w:t>.</w:t>
            </w:r>
            <w:r w:rsidR="00036A21">
              <w:t xml:space="preserve"> </w:t>
            </w:r>
            <w:proofErr w:type="spellStart"/>
            <w:r w:rsidR="00036A21">
              <w:t>NOAEL</w:t>
            </w:r>
            <w:proofErr w:type="spellEnd"/>
            <w:r w:rsidR="00036A21">
              <w:t xml:space="preserve"> expected to be near 0.01</w:t>
            </w:r>
            <w:r w:rsidR="004358D4">
              <w:t> </w:t>
            </w:r>
            <w:r w:rsidR="00036A21">
              <w:t xml:space="preserve">ppm due to mildness of effects at the </w:t>
            </w:r>
            <w:proofErr w:type="spellStart"/>
            <w:r w:rsidR="00036A21">
              <w:t>LOAEL</w:t>
            </w:r>
            <w:proofErr w:type="spellEnd"/>
            <w:r w:rsidR="00036A21">
              <w:t xml:space="preserve"> and is supported by a </w:t>
            </w:r>
            <w:proofErr w:type="spellStart"/>
            <w:r w:rsidR="00036A21">
              <w:t>NOAEL</w:t>
            </w:r>
            <w:proofErr w:type="spellEnd"/>
            <w:r w:rsidR="00036A21">
              <w:t xml:space="preserve"> of 0.01 ppm in workers exposed to </w:t>
            </w:r>
            <w:proofErr w:type="spellStart"/>
            <w:r w:rsidR="00036A21">
              <w:t>nitroglycerin</w:t>
            </w:r>
            <w:proofErr w:type="spellEnd"/>
            <w:r w:rsidR="00036A21">
              <w:t>.</w:t>
            </w:r>
          </w:p>
          <w:p w14:paraId="030C4637" w14:textId="3738EEE9" w:rsidR="00E76DD2" w:rsidRDefault="00E76DD2" w:rsidP="003365A5">
            <w:pPr>
              <w:pStyle w:val="Tabletextprimarysource"/>
            </w:pPr>
            <w:r>
              <w:t>Summary of additional data:</w:t>
            </w:r>
          </w:p>
          <w:p w14:paraId="573FEB8D" w14:textId="0D2F7D2A" w:rsidR="00C978F0" w:rsidRDefault="00E76DD2" w:rsidP="003365A5">
            <w:pPr>
              <w:pStyle w:val="Tabletextprimarysource"/>
            </w:pPr>
            <w:r>
              <w:t xml:space="preserve">A skin notation is recommended based on </w:t>
            </w:r>
            <w:r>
              <w:rPr>
                <w:i/>
              </w:rPr>
              <w:t>in vivo</w:t>
            </w:r>
            <w:r>
              <w:t xml:space="preserve"> data that suggests dermal exposure contributes significantly to overall internal exposure. Sensitisation notation not warranted based on only a single case of allergic reaction and by analogy to </w:t>
            </w:r>
            <w:proofErr w:type="spellStart"/>
            <w:r>
              <w:t>nitroglycerin</w:t>
            </w:r>
            <w:proofErr w:type="spellEnd"/>
            <w:r>
              <w:t>, which demonstrates sensitisation potential only under prolonged or occlusive conditions.</w:t>
            </w:r>
          </w:p>
          <w:p w14:paraId="2D62C489" w14:textId="3CF07A9D" w:rsidR="00E76DD2" w:rsidRDefault="00E76DD2" w:rsidP="003365A5">
            <w:pPr>
              <w:pStyle w:val="Tabletextprimarysource"/>
            </w:pPr>
            <w:r>
              <w:t>Human data:</w:t>
            </w:r>
          </w:p>
          <w:p w14:paraId="709CAAC7" w14:textId="3576897F" w:rsidR="002338BC" w:rsidRDefault="002338BC" w:rsidP="002338BC">
            <w:pPr>
              <w:pStyle w:val="Tabletextprimarysource"/>
              <w:numPr>
                <w:ilvl w:val="0"/>
                <w:numId w:val="3"/>
              </w:numPr>
            </w:pPr>
            <w:r>
              <w:t>Dermal absorption rate: 0.4 mg/</w:t>
            </w:r>
            <w:proofErr w:type="spellStart"/>
            <w:r>
              <w:t>cm</w:t>
            </w:r>
            <w:r>
              <w:rPr>
                <w:vertAlign w:val="superscript"/>
              </w:rPr>
              <w:t>2</w:t>
            </w:r>
            <w:proofErr w:type="spellEnd"/>
            <w:r>
              <w:t>/h</w:t>
            </w:r>
          </w:p>
          <w:p w14:paraId="1F85A6AE" w14:textId="4DE4A86A" w:rsidR="00653366" w:rsidRDefault="00653366" w:rsidP="002338BC">
            <w:pPr>
              <w:pStyle w:val="Tabletextprimarysource"/>
              <w:numPr>
                <w:ilvl w:val="0"/>
                <w:numId w:val="3"/>
              </w:numPr>
            </w:pPr>
            <w:r>
              <w:t>Blood half-life 0.4–1.4 h in exposed workers with 0.01–0.07 µg/mL in blood</w:t>
            </w:r>
          </w:p>
          <w:p w14:paraId="0D4C662B" w14:textId="53820BBB" w:rsidR="00036A21" w:rsidRDefault="00036A21" w:rsidP="002338BC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Slight decrease in blood pressure at 0.05 ppm in volunteer inhalation study with mixed exposure to </w:t>
            </w:r>
            <w:proofErr w:type="spellStart"/>
            <w:r>
              <w:t>nitroglycerin</w:t>
            </w:r>
            <w:proofErr w:type="spellEnd"/>
            <w:r>
              <w:t xml:space="preserve"> (</w:t>
            </w:r>
            <w:r w:rsidR="004358D4">
              <w:t xml:space="preserve">n=7, </w:t>
            </w:r>
            <w:r>
              <w:t>25 min)</w:t>
            </w:r>
          </w:p>
          <w:p w14:paraId="581DD9ED" w14:textId="12882DA9" w:rsidR="00653366" w:rsidRDefault="00653366" w:rsidP="002338BC">
            <w:pPr>
              <w:pStyle w:val="Tabletextprimarysource"/>
              <w:numPr>
                <w:ilvl w:val="0"/>
                <w:numId w:val="3"/>
              </w:numPr>
            </w:pPr>
            <w:r>
              <w:t>Metabolised primarily in the liver, probably via reduction by glutathione to nitrate, nitrite and ethylene glycol</w:t>
            </w:r>
          </w:p>
          <w:p w14:paraId="258C12FC" w14:textId="7D074AC2" w:rsidR="00653366" w:rsidRDefault="00653366" w:rsidP="002338BC">
            <w:pPr>
              <w:pStyle w:val="Tabletextprimarysource"/>
              <w:numPr>
                <w:ilvl w:val="0"/>
                <w:numId w:val="3"/>
              </w:numPr>
            </w:pPr>
            <w:r>
              <w:t>Tolerance to nitrate ester-containing drugs may be acquired, which is resolved in 36–48 h</w:t>
            </w:r>
          </w:p>
          <w:p w14:paraId="47A082BF" w14:textId="77777777" w:rsidR="00240FEC" w:rsidRDefault="00240FEC" w:rsidP="002338BC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Workers in </w:t>
            </w:r>
            <w:proofErr w:type="spellStart"/>
            <w:r>
              <w:t>nitroglycerin</w:t>
            </w:r>
            <w:proofErr w:type="spellEnd"/>
            <w:r>
              <w:t xml:space="preserve"> tablet production developed headaches at 0.03–0.11 ppm, but not at 0.01 ppm</w:t>
            </w:r>
          </w:p>
          <w:p w14:paraId="637754BE" w14:textId="77777777" w:rsidR="00240FEC" w:rsidRDefault="00240FEC" w:rsidP="002338BC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Quantification of effects from inhalational exposure complicated by significant dermal uptake of vapour </w:t>
            </w:r>
          </w:p>
          <w:p w14:paraId="4CAF634F" w14:textId="6BB5F6BE" w:rsidR="00F25469" w:rsidRDefault="00240FEC" w:rsidP="00C41198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One case of contact dermatitis from occupational exposure; </w:t>
            </w:r>
            <w:r w:rsidR="00432550">
              <w:t xml:space="preserve">positive when </w:t>
            </w:r>
            <w:r w:rsidR="00DE4548">
              <w:t>challenge</w:t>
            </w:r>
            <w:r w:rsidR="00432550">
              <w:t>d</w:t>
            </w:r>
            <w:r w:rsidR="00DE4548">
              <w:t xml:space="preserve"> with</w:t>
            </w:r>
            <w:r>
              <w:t xml:space="preserve"> 0.</w:t>
            </w:r>
            <w:r w:rsidR="00DE4548">
              <w:t>0</w:t>
            </w:r>
            <w:r>
              <w:t>1–2% aqueous solution</w:t>
            </w:r>
            <w:r w:rsidR="00DE4548">
              <w:t>s</w:t>
            </w:r>
            <w:r w:rsidR="006F6B15">
              <w:t>.</w:t>
            </w:r>
          </w:p>
          <w:p w14:paraId="3A162B97" w14:textId="77777777" w:rsidR="00E76DD2" w:rsidRDefault="00E76DD2" w:rsidP="003365A5">
            <w:pPr>
              <w:pStyle w:val="Tabletextprimarysource"/>
            </w:pPr>
            <w:r>
              <w:t>Animal data:</w:t>
            </w:r>
          </w:p>
          <w:p w14:paraId="65225D40" w14:textId="540577A8" w:rsidR="00432550" w:rsidRDefault="00432550" w:rsidP="002338BC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Oral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540 mg/kg (rats); 460–616 mg/kg (mice)</w:t>
            </w:r>
          </w:p>
          <w:p w14:paraId="70CC4ADC" w14:textId="58D8E12B" w:rsidR="00432550" w:rsidRDefault="00432550" w:rsidP="002338BC">
            <w:pPr>
              <w:pStyle w:val="Tabletextprimarysource"/>
              <w:numPr>
                <w:ilvl w:val="0"/>
                <w:numId w:val="3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100</w:t>
            </w:r>
            <w:proofErr w:type="spellEnd"/>
            <w:r>
              <w:t>: 100 mg/kg (rabbits</w:t>
            </w:r>
            <w:r w:rsidR="00F25469">
              <w:t>, subcutaneous</w:t>
            </w:r>
            <w:r>
              <w:t>)</w:t>
            </w:r>
          </w:p>
          <w:p w14:paraId="3D04CC6B" w14:textId="057A65E0" w:rsidR="00432550" w:rsidRDefault="00432550" w:rsidP="00432550">
            <w:pPr>
              <w:pStyle w:val="Tabletextprimarysource"/>
              <w:numPr>
                <w:ilvl w:val="0"/>
                <w:numId w:val="3"/>
              </w:numPr>
            </w:pPr>
            <w:r>
              <w:t>Subcutaneous dose</w:t>
            </w:r>
            <w:r w:rsidR="000160C1">
              <w:t xml:space="preserve"> of 65 mg/kg</w:t>
            </w:r>
            <w:r>
              <w:t xml:space="preserve"> </w:t>
            </w:r>
            <w:r w:rsidR="000160C1">
              <w:t xml:space="preserve">peaked at 0.5 h in blood </w:t>
            </w:r>
            <w:r>
              <w:t>no longer detectable in blood after 8 h (rats)</w:t>
            </w:r>
          </w:p>
          <w:p w14:paraId="39891EE2" w14:textId="261F5DC9" w:rsidR="00432550" w:rsidRDefault="00432550" w:rsidP="00432550">
            <w:pPr>
              <w:pStyle w:val="Tabletextprimarysource"/>
              <w:numPr>
                <w:ilvl w:val="0"/>
                <w:numId w:val="3"/>
              </w:numPr>
            </w:pPr>
            <w:r>
              <w:t>Lethal as occlusive patch (4</w:t>
            </w:r>
            <w:r w:rsidR="00C34EE4">
              <w:t xml:space="preserve"> </w:t>
            </w:r>
            <w:r>
              <w:t>x</w:t>
            </w:r>
            <w:r w:rsidR="00C34EE4">
              <w:t xml:space="preserve"> </w:t>
            </w:r>
            <w:r>
              <w:t xml:space="preserve">6 cm) after 4 h – 7 d (cats); severe methemoglobinemia noted </w:t>
            </w:r>
          </w:p>
          <w:p w14:paraId="007DD1E4" w14:textId="7A9925FA" w:rsidR="00E76DD2" w:rsidRDefault="00432550" w:rsidP="002338BC">
            <w:pPr>
              <w:pStyle w:val="Tabletextprimarysource"/>
              <w:numPr>
                <w:ilvl w:val="0"/>
                <w:numId w:val="3"/>
              </w:numPr>
            </w:pPr>
            <w:r>
              <w:t>Repeat inhalation study with treatment range: 2–26 ppm (cats, 8 h/d, 5 d/</w:t>
            </w:r>
            <w:proofErr w:type="spellStart"/>
            <w:r>
              <w:t>wk</w:t>
            </w:r>
            <w:proofErr w:type="spellEnd"/>
            <w:r>
              <w:t>, 97–1,000 d)</w:t>
            </w:r>
            <w:r w:rsidR="006D7AB4">
              <w:t>:</w:t>
            </w:r>
          </w:p>
          <w:p w14:paraId="1D38B6FF" w14:textId="77777777" w:rsidR="00432550" w:rsidRDefault="00432550" w:rsidP="00D1157E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proofErr w:type="spellStart"/>
            <w:r>
              <w:t>NOAEL</w:t>
            </w:r>
            <w:proofErr w:type="spellEnd"/>
            <w:r>
              <w:t>: 2 ppm</w:t>
            </w:r>
          </w:p>
          <w:p w14:paraId="3182B125" w14:textId="00666444" w:rsidR="00432550" w:rsidRDefault="006F6B15" w:rsidP="00D1157E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r>
              <w:t>f</w:t>
            </w:r>
            <w:r w:rsidR="00432550">
              <w:t xml:space="preserve">atty degeneration of heart, liver and kidneys, </w:t>
            </w:r>
            <w:proofErr w:type="spellStart"/>
            <w:r w:rsidR="00432550">
              <w:t>haemosiderosis</w:t>
            </w:r>
            <w:proofErr w:type="spellEnd"/>
            <w:r w:rsidR="00432550">
              <w:t xml:space="preserve"> in liver and spleen and methemoglobinemia</w:t>
            </w:r>
            <w:r w:rsidR="003B5638">
              <w:t xml:space="preserve"> at 26 ppm</w:t>
            </w:r>
          </w:p>
          <w:p w14:paraId="17A00848" w14:textId="175FD6C8" w:rsidR="00F25469" w:rsidRDefault="00F25469" w:rsidP="00F25469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Haemolysis, drowsiness and some convulsions at 47–79 ppm in repeat inhalation study (mice, rats, guinea pigs, 3 </w:t>
            </w:r>
            <w:proofErr w:type="spellStart"/>
            <w:r>
              <w:t>mo</w:t>
            </w:r>
            <w:proofErr w:type="spellEnd"/>
            <w:r>
              <w:t>, exposure duration and frequency not specified)</w:t>
            </w:r>
          </w:p>
          <w:p w14:paraId="4AF38F0B" w14:textId="7C146954" w:rsidR="003B5638" w:rsidRDefault="003B5638" w:rsidP="003B5638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No substance-specific reproductive toxicity studies; developmental with </w:t>
            </w:r>
            <w:proofErr w:type="spellStart"/>
            <w:r>
              <w:t>nitroglycerin</w:t>
            </w:r>
            <w:proofErr w:type="spellEnd"/>
            <w:r>
              <w:t xml:space="preserve"> in feed reported maternal </w:t>
            </w:r>
            <w:proofErr w:type="spellStart"/>
            <w:r>
              <w:t>NOAEL</w:t>
            </w:r>
            <w:proofErr w:type="spellEnd"/>
            <w:r>
              <w:t xml:space="preserve">: 86 mg/kg for reduced </w:t>
            </w:r>
            <w:proofErr w:type="spellStart"/>
            <w:r>
              <w:t>bw</w:t>
            </w:r>
            <w:proofErr w:type="spellEnd"/>
            <w:r>
              <w:t xml:space="preserve"> gain and increased liver weight</w:t>
            </w:r>
            <w:r w:rsidR="006F6B15">
              <w:t>.</w:t>
            </w:r>
          </w:p>
          <w:p w14:paraId="7C381443" w14:textId="77777777" w:rsidR="00206C1C" w:rsidRDefault="00206C1C" w:rsidP="003B5638">
            <w:pPr>
              <w:pStyle w:val="Tabletextprimarysource"/>
              <w:numPr>
                <w:ilvl w:val="0"/>
                <w:numId w:val="3"/>
              </w:numPr>
            </w:pPr>
            <w:r>
              <w:t>No mutagenicity or carcinogenicity data available for assessment.</w:t>
            </w:r>
          </w:p>
          <w:p w14:paraId="6518F2E2" w14:textId="0225B908" w:rsidR="006D7AB4" w:rsidRPr="00E76DD2" w:rsidRDefault="006D7AB4" w:rsidP="00D1157E">
            <w:pPr>
              <w:pStyle w:val="Tabletextprimarysource"/>
            </w:pPr>
          </w:p>
        </w:tc>
      </w:tr>
      <w:tr w:rsidR="00C978F0" w:rsidRPr="00DA352E" w14:paraId="7B8197E6" w14:textId="77777777" w:rsidTr="00D1157E">
        <w:trPr>
          <w:gridAfter w:val="1"/>
          <w:wAfter w:w="8" w:type="pct"/>
        </w:trPr>
        <w:tc>
          <w:tcPr>
            <w:tcW w:w="0" w:type="pct"/>
            <w:shd w:val="clear" w:color="auto" w:fill="F2F2F2" w:themeFill="background1" w:themeFillShade="F2"/>
          </w:tcPr>
          <w:p w14:paraId="45DAF1F8" w14:textId="20F6363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C00C6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C00C67">
                  <w:t>NA</w:t>
                </w:r>
                <w:proofErr w:type="spellEnd"/>
              </w:sdtContent>
            </w:sdt>
          </w:p>
        </w:tc>
      </w:tr>
      <w:tr w:rsidR="00C978F0" w:rsidRPr="00DA352E" w14:paraId="5375436F" w14:textId="77777777" w:rsidTr="00D1157E">
        <w:trPr>
          <w:gridAfter w:val="1"/>
          <w:wAfter w:w="8" w:type="pct"/>
        </w:trPr>
        <w:tc>
          <w:tcPr>
            <w:tcW w:w="0" w:type="pct"/>
          </w:tcPr>
          <w:p w14:paraId="35AD4678" w14:textId="767BC5BC" w:rsidR="00C978F0" w:rsidRPr="00DA352E" w:rsidRDefault="00C00C67" w:rsidP="003365A5">
            <w:pPr>
              <w:pStyle w:val="Tabletextprimarysource"/>
            </w:pPr>
            <w:r>
              <w:t>No report</w:t>
            </w:r>
            <w:r w:rsidR="00F25469">
              <w:t>.</w:t>
            </w:r>
          </w:p>
        </w:tc>
      </w:tr>
      <w:tr w:rsidR="00DA352E" w:rsidRPr="00DA352E" w14:paraId="6A807206" w14:textId="77777777" w:rsidTr="00D1157E">
        <w:trPr>
          <w:gridAfter w:val="1"/>
          <w:wAfter w:w="8" w:type="pct"/>
        </w:trPr>
        <w:tc>
          <w:tcPr>
            <w:tcW w:w="0" w:type="pct"/>
            <w:shd w:val="clear" w:color="auto" w:fill="F2F2F2" w:themeFill="background1" w:themeFillShade="F2"/>
          </w:tcPr>
          <w:p w14:paraId="54A8CAFF" w14:textId="102CC0D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C00C6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C00C67">
                  <w:t>NA</w:t>
                </w:r>
                <w:proofErr w:type="spellEnd"/>
              </w:sdtContent>
            </w:sdt>
          </w:p>
        </w:tc>
      </w:tr>
      <w:tr w:rsidR="00DA352E" w:rsidRPr="00DA352E" w14:paraId="7E920551" w14:textId="77777777" w:rsidTr="00D1157E">
        <w:trPr>
          <w:gridAfter w:val="1"/>
          <w:wAfter w:w="8" w:type="pct"/>
        </w:trPr>
        <w:tc>
          <w:tcPr>
            <w:tcW w:w="0" w:type="pct"/>
          </w:tcPr>
          <w:p w14:paraId="5CA344C4" w14:textId="673BFAAD" w:rsidR="00DA352E" w:rsidRPr="00DA352E" w:rsidRDefault="00C00C67" w:rsidP="003365A5">
            <w:pPr>
              <w:pStyle w:val="Tabletextprimarysource"/>
            </w:pPr>
            <w:r>
              <w:t>No report</w:t>
            </w:r>
            <w:r w:rsidR="00F25469">
              <w:t>.</w:t>
            </w:r>
          </w:p>
        </w:tc>
      </w:tr>
      <w:tr w:rsidR="00DA352E" w:rsidRPr="00DA352E" w14:paraId="15BBCE3D" w14:textId="77777777" w:rsidTr="00D1157E">
        <w:trPr>
          <w:gridAfter w:val="1"/>
          <w:wAfter w:w="8" w:type="pct"/>
        </w:trPr>
        <w:tc>
          <w:tcPr>
            <w:tcW w:w="0" w:type="pct"/>
            <w:shd w:val="clear" w:color="auto" w:fill="F2F2F2" w:themeFill="background1" w:themeFillShade="F2"/>
          </w:tcPr>
          <w:p w14:paraId="42E2E6C4" w14:textId="21C5F19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C00C67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6A23EE" w:rsidRPr="006A23EE">
                  <w:t>TWA</w:t>
                </w:r>
                <w:r w:rsidR="00C00C67">
                  <w:t xml:space="preserve">: </w:t>
                </w:r>
                <w:r w:rsidR="008812FD">
                  <w:t>0.05 ppm (</w:t>
                </w:r>
                <w:r w:rsidR="00C00C67">
                  <w:t>0.3 mg/</w:t>
                </w:r>
                <w:proofErr w:type="spellStart"/>
                <w:r w:rsidR="00C00C67">
                  <w:t>m</w:t>
                </w:r>
                <w:r w:rsidR="00C00C67" w:rsidRPr="00C00C67">
                  <w:rPr>
                    <w:vertAlign w:val="superscript"/>
                  </w:rPr>
                  <w:t>3</w:t>
                </w:r>
                <w:proofErr w:type="spellEnd"/>
                <w:r w:rsidR="008812FD">
                  <w:t>)</w:t>
                </w:r>
              </w:sdtContent>
            </w:sdt>
          </w:p>
        </w:tc>
      </w:tr>
      <w:tr w:rsidR="00DA352E" w:rsidRPr="00DA352E" w14:paraId="1AD3A904" w14:textId="77777777" w:rsidTr="00D1157E">
        <w:trPr>
          <w:gridAfter w:val="1"/>
          <w:wAfter w:w="8" w:type="pct"/>
        </w:trPr>
        <w:tc>
          <w:tcPr>
            <w:tcW w:w="0" w:type="pct"/>
          </w:tcPr>
          <w:p w14:paraId="51A60E5A" w14:textId="1CFC284C" w:rsidR="00DA352E" w:rsidRDefault="00206C1C" w:rsidP="003365A5">
            <w:pPr>
              <w:pStyle w:val="Tabletextprimarysource"/>
            </w:pPr>
            <w:r>
              <w:t>Summary of additional data:</w:t>
            </w:r>
          </w:p>
          <w:p w14:paraId="7A14A0DF" w14:textId="17942317" w:rsidR="00FB70CA" w:rsidRDefault="00874D30" w:rsidP="003365A5">
            <w:pPr>
              <w:pStyle w:val="Tabletextprimarysource"/>
            </w:pPr>
            <w:r>
              <w:lastRenderedPageBreak/>
              <w:t xml:space="preserve">Current administrative </w:t>
            </w:r>
            <w:r w:rsidR="00F25469">
              <w:t>OEL</w:t>
            </w:r>
            <w:r>
              <w:t xml:space="preserve"> is an 8-h TWA of 0.05 ppm (0.3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) with skin notation. </w:t>
            </w:r>
          </w:p>
          <w:p w14:paraId="2912F137" w14:textId="77777777" w:rsidR="00A07232" w:rsidRDefault="00A07232" w:rsidP="003365A5">
            <w:pPr>
              <w:pStyle w:val="Tabletextprimarysource"/>
            </w:pPr>
          </w:p>
          <w:p w14:paraId="10A2BCFC" w14:textId="27FC758E" w:rsidR="00874D30" w:rsidRPr="00E06A85" w:rsidRDefault="00874D30" w:rsidP="003365A5">
            <w:pPr>
              <w:pStyle w:val="Tabletextprimarysource"/>
            </w:pPr>
            <w:r>
              <w:t xml:space="preserve">Health-based recommendation (HBR-OEL) is based on a </w:t>
            </w:r>
            <w:proofErr w:type="spellStart"/>
            <w:r>
              <w:t>NOAEL</w:t>
            </w:r>
            <w:proofErr w:type="spellEnd"/>
            <w:r>
              <w:t xml:space="preserve"> of 0.04 ppm (0.25 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) for changes in </w:t>
            </w:r>
            <w:proofErr w:type="gramStart"/>
            <w:r>
              <w:t>heart-rate</w:t>
            </w:r>
            <w:proofErr w:type="gramEnd"/>
            <w:r>
              <w:t xml:space="preserve"> and reduced blood pressure </w:t>
            </w:r>
            <w:r w:rsidR="00FB70CA">
              <w:t>and</w:t>
            </w:r>
            <w:r>
              <w:t xml:space="preserve"> a </w:t>
            </w:r>
            <w:proofErr w:type="spellStart"/>
            <w:r>
              <w:t>LOAEL</w:t>
            </w:r>
            <w:proofErr w:type="spellEnd"/>
            <w:r>
              <w:t xml:space="preserve"> </w:t>
            </w:r>
            <w:r w:rsidR="00FB70CA">
              <w:t xml:space="preserve">of 0.04 ppm </w:t>
            </w:r>
            <w:r>
              <w:t xml:space="preserve">for headaches in the same study. An overall factor of 4 is applied to the </w:t>
            </w:r>
            <w:proofErr w:type="spellStart"/>
            <w:r>
              <w:t>NOAEL</w:t>
            </w:r>
            <w:proofErr w:type="spellEnd"/>
            <w:r>
              <w:t>/</w:t>
            </w:r>
            <w:proofErr w:type="spellStart"/>
            <w:r>
              <w:t>LOAEL</w:t>
            </w:r>
            <w:proofErr w:type="spellEnd"/>
            <w:r>
              <w:t xml:space="preserve"> to account for uncertainties in the monitoring methods and absence of a </w:t>
            </w:r>
            <w:proofErr w:type="spellStart"/>
            <w:r>
              <w:t>NOAEL</w:t>
            </w:r>
            <w:proofErr w:type="spellEnd"/>
            <w:r>
              <w:t xml:space="preserve"> for the onset of headaches. Based on the relatively rapid onset of headaches at higher concentrations (1–3 min) and sampling time of 10</w:t>
            </w:r>
            <w:r w:rsidR="00C34EE4">
              <w:noBreakHyphen/>
            </w:r>
            <w:r>
              <w:t>20</w:t>
            </w:r>
            <w:r w:rsidR="00E738C6">
              <w:t> </w:t>
            </w:r>
            <w:r>
              <w:t>min in the cited case study</w:t>
            </w:r>
            <w:r w:rsidR="00E06A85">
              <w:t>, a 15-min STEL value is proposed in favour of an 8-h TWA.</w:t>
            </w:r>
            <w:r>
              <w:t xml:space="preserve"> The proposed HBR-OEL is therefore</w:t>
            </w:r>
            <w:r w:rsidR="00E06A85">
              <w:t xml:space="preserve"> a 15-min STEL of </w:t>
            </w:r>
            <w:r>
              <w:t>0.008 ppm (</w:t>
            </w:r>
            <w:r w:rsidR="00E06A85">
              <w:t>0.05 mg/</w:t>
            </w:r>
            <w:proofErr w:type="spellStart"/>
            <w:r w:rsidR="00E06A85">
              <w:t>m</w:t>
            </w:r>
            <w:r w:rsidR="00E06A85">
              <w:rPr>
                <w:vertAlign w:val="superscript"/>
              </w:rPr>
              <w:t>3</w:t>
            </w:r>
            <w:proofErr w:type="spellEnd"/>
            <w:r w:rsidR="00E06A85">
              <w:t xml:space="preserve">) and is considered protective of prolonged headaches and changes in blood pressure and </w:t>
            </w:r>
            <w:proofErr w:type="gramStart"/>
            <w:r w:rsidR="00E06A85">
              <w:t>heart-rate</w:t>
            </w:r>
            <w:proofErr w:type="gramEnd"/>
            <w:r w:rsidR="00E06A85">
              <w:t>.</w:t>
            </w:r>
          </w:p>
          <w:p w14:paraId="2B1ADA82" w14:textId="77777777" w:rsidR="00206C1C" w:rsidRDefault="00206C1C" w:rsidP="003365A5">
            <w:pPr>
              <w:pStyle w:val="Tabletextprimarysource"/>
            </w:pPr>
            <w:r>
              <w:t>Human data:</w:t>
            </w:r>
          </w:p>
          <w:p w14:paraId="227C9D18" w14:textId="77777777" w:rsidR="00206C1C" w:rsidRDefault="00206C1C" w:rsidP="00206C1C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Cardiovascular system is </w:t>
            </w:r>
            <w:proofErr w:type="gramStart"/>
            <w:r>
              <w:t>target</w:t>
            </w:r>
            <w:proofErr w:type="gramEnd"/>
            <w:r>
              <w:t xml:space="preserve"> organ</w:t>
            </w:r>
          </w:p>
          <w:p w14:paraId="09B6E7A8" w14:textId="66E871F3" w:rsidR="00206C1C" w:rsidRDefault="00206C1C" w:rsidP="00206C1C">
            <w:pPr>
              <w:pStyle w:val="Tabletextprimarysource"/>
              <w:numPr>
                <w:ilvl w:val="0"/>
                <w:numId w:val="3"/>
              </w:numPr>
            </w:pPr>
            <w:r>
              <w:t>13.7% of substance in explosive formulation (22%) absorbed through skin</w:t>
            </w:r>
          </w:p>
          <w:p w14:paraId="4AD9A9E9" w14:textId="033656BC" w:rsidR="00206C1C" w:rsidRDefault="00206C1C" w:rsidP="00206C1C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Substance, as component of dynamite, can penetrate rubber gloves; 1.5 g dynamite applied to rubber gloves for 2 h, substance present in blood samples of arms at </w:t>
            </w:r>
            <w:r w:rsidR="00AF52FF">
              <w:br/>
            </w:r>
            <w:r>
              <w:t>2.2</w:t>
            </w:r>
            <w:r w:rsidR="00E738C6">
              <w:t xml:space="preserve"> and</w:t>
            </w:r>
            <w:r w:rsidR="00A73D3F">
              <w:t xml:space="preserve"> </w:t>
            </w:r>
            <w:r>
              <w:t>1.9 mg/L and signs of intoxication developed</w:t>
            </w:r>
          </w:p>
          <w:p w14:paraId="2F822561" w14:textId="57645DBF" w:rsidR="00206C1C" w:rsidRDefault="00206C1C" w:rsidP="00206C1C">
            <w:pPr>
              <w:pStyle w:val="Tabletextprimarysource"/>
              <w:numPr>
                <w:ilvl w:val="0"/>
                <w:numId w:val="3"/>
              </w:numPr>
            </w:pPr>
            <w:r>
              <w:t>Mean blood concentrations in dynamite factory workers 40–123 µg/L; measured over 4 d</w:t>
            </w:r>
            <w:r w:rsidR="006D7AB4">
              <w:t>:</w:t>
            </w:r>
          </w:p>
          <w:p w14:paraId="0A7C58E4" w14:textId="494D98B5" w:rsidR="000160C1" w:rsidRDefault="006F6B15" w:rsidP="00D1157E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r>
              <w:t>c</w:t>
            </w:r>
            <w:r w:rsidR="00206C1C">
              <w:t>orresponding concentrations in urine: 4.3–37.7 µg/L</w:t>
            </w:r>
          </w:p>
          <w:p w14:paraId="4AB96C67" w14:textId="5FBBE4C4" w:rsidR="000160C1" w:rsidRDefault="000160C1" w:rsidP="000160C1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Volunteer chamber study with dynamite workers reported 18% </w:t>
            </w:r>
            <w:r w:rsidR="00F0751F">
              <w:t>of subjects had headaches at 0.06–0.12 ppm (0.4–0.74 mg/</w:t>
            </w:r>
            <w:proofErr w:type="spellStart"/>
            <w:r w:rsidR="00F0751F">
              <w:t>m</w:t>
            </w:r>
            <w:r w:rsidR="00F0751F">
              <w:rPr>
                <w:vertAlign w:val="superscript"/>
              </w:rPr>
              <w:t>3</w:t>
            </w:r>
            <w:proofErr w:type="spellEnd"/>
            <w:r w:rsidR="00F0751F">
              <w:t>) and 83% at 0.32 ppm (2 mg/</w:t>
            </w:r>
            <w:proofErr w:type="spellStart"/>
            <w:r w:rsidR="00F0751F">
              <w:t>m</w:t>
            </w:r>
            <w:r w:rsidR="00F0751F">
              <w:rPr>
                <w:vertAlign w:val="superscript"/>
              </w:rPr>
              <w:t>3</w:t>
            </w:r>
            <w:proofErr w:type="spellEnd"/>
            <w:r w:rsidR="00F0751F">
              <w:t>)</w:t>
            </w:r>
            <w:r w:rsidR="00874D30">
              <w:t xml:space="preserve"> within 1–3 min</w:t>
            </w:r>
          </w:p>
          <w:p w14:paraId="2345DE1F" w14:textId="7520913C" w:rsidR="00F0751F" w:rsidRDefault="00F0751F" w:rsidP="000160C1">
            <w:pPr>
              <w:pStyle w:val="Tabletextprimarysource"/>
              <w:numPr>
                <w:ilvl w:val="0"/>
                <w:numId w:val="3"/>
              </w:numPr>
            </w:pPr>
            <w:r>
              <w:t>Case study (n=19) of combined skin and air exposure in explosives factory reported increased incidence of headaches, pulse rates and drop in blood pressure</w:t>
            </w:r>
            <w:r w:rsidR="006D7AB4">
              <w:t>:</w:t>
            </w:r>
          </w:p>
          <w:p w14:paraId="131449B4" w14:textId="3BE98F90" w:rsidR="00F0751F" w:rsidRDefault="006F6B15" w:rsidP="00D1157E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r>
              <w:t>w</w:t>
            </w:r>
            <w:r w:rsidR="00F0751F">
              <w:t xml:space="preserve">orkers were exposed to 0.005–0.7 ppm </w:t>
            </w:r>
            <w:r w:rsidR="00F0751F">
              <w:rPr>
                <w:rFonts w:cs="Arial"/>
              </w:rPr>
              <w:t>≡</w:t>
            </w:r>
            <w:r w:rsidR="00F0751F">
              <w:t>0.03–4.35 mg/</w:t>
            </w:r>
            <w:proofErr w:type="spellStart"/>
            <w:r w:rsidR="00F0751F">
              <w:t>m</w:t>
            </w:r>
            <w:r w:rsidR="00F0751F">
              <w:rPr>
                <w:vertAlign w:val="superscript"/>
              </w:rPr>
              <w:t>3</w:t>
            </w:r>
            <w:proofErr w:type="spellEnd"/>
            <w:r w:rsidR="00F0751F">
              <w:t xml:space="preserve"> (sampled over 10–20 min) and potential skin exposures of &lt;0.1–1.0 mg over 2–4 h</w:t>
            </w:r>
          </w:p>
          <w:p w14:paraId="6389BFA6" w14:textId="5CF17611" w:rsidR="00007AD6" w:rsidRDefault="006F6B15" w:rsidP="00D1157E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r>
              <w:t>w</w:t>
            </w:r>
            <w:r w:rsidR="00007AD6">
              <w:t>orkers exposed to 0.04 ppm (0.25 mg/</w:t>
            </w:r>
            <w:proofErr w:type="spellStart"/>
            <w:r w:rsidR="00007AD6">
              <w:t>m</w:t>
            </w:r>
            <w:r w:rsidR="00007AD6">
              <w:rPr>
                <w:vertAlign w:val="superscript"/>
              </w:rPr>
              <w:t>3</w:t>
            </w:r>
            <w:proofErr w:type="spellEnd"/>
            <w:r w:rsidR="00007AD6">
              <w:t>) in air and no- or minimal skin exposure only reported onset of headaches</w:t>
            </w:r>
          </w:p>
          <w:p w14:paraId="0F6808FD" w14:textId="4F03464B" w:rsidR="00F0751F" w:rsidRDefault="00F0751F" w:rsidP="00D1157E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proofErr w:type="spellStart"/>
            <w:r>
              <w:t>NOAEL</w:t>
            </w:r>
            <w:proofErr w:type="spellEnd"/>
            <w:r w:rsidR="00007AD6">
              <w:t>: 0.04 ppm (0.25 mg/</w:t>
            </w:r>
            <w:proofErr w:type="spellStart"/>
            <w:r w:rsidR="00007AD6">
              <w:t>mg</w:t>
            </w:r>
            <w:r w:rsidR="00007AD6">
              <w:rPr>
                <w:vertAlign w:val="superscript"/>
              </w:rPr>
              <w:t>3</w:t>
            </w:r>
            <w:proofErr w:type="spellEnd"/>
            <w:r w:rsidR="00007AD6">
              <w:t>)</w:t>
            </w:r>
            <w:r>
              <w:t xml:space="preserve"> for </w:t>
            </w:r>
            <w:r w:rsidR="00007AD6">
              <w:t>heart rate and blood pressure changes, but headaches were still reported at this level</w:t>
            </w:r>
          </w:p>
          <w:p w14:paraId="2E43474F" w14:textId="4E6E01F2" w:rsidR="000160C1" w:rsidRDefault="00007AD6" w:rsidP="00D1157E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proofErr w:type="spellStart"/>
            <w:r>
              <w:t>LOAEL</w:t>
            </w:r>
            <w:proofErr w:type="spellEnd"/>
            <w:r>
              <w:t>: 0.04 ppm (0.25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 for onset of headaches</w:t>
            </w:r>
            <w:r w:rsidR="006F6B15">
              <w:t>.</w:t>
            </w:r>
          </w:p>
          <w:p w14:paraId="1B2BC4DA" w14:textId="77777777" w:rsidR="00007AD6" w:rsidRDefault="00007AD6" w:rsidP="00007AD6">
            <w:pPr>
              <w:pStyle w:val="Tabletextprimarysource"/>
            </w:pPr>
            <w:r>
              <w:t>Animal data:</w:t>
            </w:r>
          </w:p>
          <w:p w14:paraId="3CAFD3F3" w14:textId="3F1354B0" w:rsidR="00007AD6" w:rsidRDefault="00007AD6" w:rsidP="00007AD6">
            <w:pPr>
              <w:pStyle w:val="Tabletextprimarysource"/>
              <w:numPr>
                <w:ilvl w:val="0"/>
                <w:numId w:val="3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3,800 mg/kg (rats</w:t>
            </w:r>
            <w:r w:rsidR="00F25469">
              <w:t>, dermal</w:t>
            </w:r>
            <w:r>
              <w:t>)</w:t>
            </w:r>
          </w:p>
          <w:p w14:paraId="7EC02659" w14:textId="77777777" w:rsidR="00007AD6" w:rsidRDefault="00007AD6" w:rsidP="00007AD6">
            <w:pPr>
              <w:pStyle w:val="Tabletextprimarysource"/>
              <w:numPr>
                <w:ilvl w:val="0"/>
                <w:numId w:val="3"/>
              </w:numPr>
            </w:pPr>
            <w:r>
              <w:t>Inhibits monoamine oxidase function in heart muscle, which regulates catecholamine release; withdrawal symptoms may be related to sudden release of stored catecholamines upon cessation of inhibition/exposure</w:t>
            </w:r>
          </w:p>
          <w:p w14:paraId="722E8FE5" w14:textId="7AEE04E0" w:rsidR="00874D30" w:rsidRDefault="00874D30" w:rsidP="00007AD6">
            <w:pPr>
              <w:pStyle w:val="Tabletextprimarysource"/>
              <w:numPr>
                <w:ilvl w:val="0"/>
                <w:numId w:val="3"/>
              </w:numPr>
            </w:pPr>
            <w:r>
              <w:t>No substance-specific carcinogenicity, genotoxicity or reproductive toxicity data available for assessment.</w:t>
            </w:r>
          </w:p>
          <w:p w14:paraId="60E3B640" w14:textId="52967C62" w:rsidR="006D7AB4" w:rsidRPr="00DA352E" w:rsidRDefault="006D7AB4" w:rsidP="00D1157E">
            <w:pPr>
              <w:pStyle w:val="Tabletextprimarysource"/>
            </w:pPr>
          </w:p>
        </w:tc>
      </w:tr>
    </w:tbl>
    <w:p w14:paraId="4507CA48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8"/>
        <w:gridCol w:w="422"/>
        <w:gridCol w:w="717"/>
        <w:gridCol w:w="6399"/>
      </w:tblGrid>
      <w:tr w:rsidR="004966BF" w:rsidRPr="00263255" w14:paraId="33BD66EF" w14:textId="77777777" w:rsidTr="00F25469">
        <w:trPr>
          <w:cantSplit/>
          <w:trHeight w:val="393"/>
          <w:tblHeader/>
        </w:trPr>
        <w:tc>
          <w:tcPr>
            <w:tcW w:w="1488" w:type="dxa"/>
            <w:shd w:val="clear" w:color="auto" w:fill="BFBFBF" w:themeFill="background1" w:themeFillShade="BF"/>
            <w:vAlign w:val="center"/>
          </w:tcPr>
          <w:p w14:paraId="56E7FF1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D32653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3161772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399" w:type="dxa"/>
            <w:shd w:val="clear" w:color="auto" w:fill="BFBFBF" w:themeFill="background1" w:themeFillShade="BF"/>
            <w:vAlign w:val="center"/>
          </w:tcPr>
          <w:p w14:paraId="0324BEE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1F99931" w14:textId="77777777" w:rsidTr="00F25469">
        <w:trPr>
          <w:cantSplit/>
        </w:trPr>
        <w:tc>
          <w:tcPr>
            <w:tcW w:w="1488" w:type="dxa"/>
          </w:tcPr>
          <w:p w14:paraId="108EFD36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5894B777" w14:textId="56E723C0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2338B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5C4F2892" w14:textId="47ACE047" w:rsidR="004966BF" w:rsidRPr="004C23F4" w:rsidRDefault="002338B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399" w:type="dxa"/>
          </w:tcPr>
          <w:p w14:paraId="4B88EE22" w14:textId="44D59732" w:rsidR="002338BC" w:rsidRDefault="00120AA9" w:rsidP="00D1157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120AA9">
              <w:rPr>
                <w:rStyle w:val="checkbox"/>
                <w:rFonts w:ascii="Arial" w:hAnsi="Arial" w:cs="Arial"/>
              </w:rPr>
              <w:t xml:space="preserve">No studies were </w:t>
            </w:r>
            <w:r w:rsidR="002338BC" w:rsidRPr="00120AA9">
              <w:rPr>
                <w:rStyle w:val="checkbox"/>
                <w:rFonts w:ascii="Arial" w:hAnsi="Arial" w:cs="Arial"/>
              </w:rPr>
              <w:t>available;</w:t>
            </w:r>
            <w:r w:rsidRPr="00120AA9">
              <w:rPr>
                <w:rStyle w:val="checkbox"/>
                <w:rFonts w:ascii="Arial" w:hAnsi="Arial" w:cs="Arial"/>
              </w:rPr>
              <w:t xml:space="preserve"> conclusion based on available genotoxicity assays on </w:t>
            </w:r>
            <w:proofErr w:type="spellStart"/>
            <w:r w:rsidR="002338BC">
              <w:rPr>
                <w:rStyle w:val="checkbox"/>
                <w:rFonts w:ascii="Arial" w:hAnsi="Arial" w:cs="Arial"/>
              </w:rPr>
              <w:t>nitroglycerin</w:t>
            </w:r>
            <w:proofErr w:type="spellEnd"/>
            <w:r w:rsidR="002338BC">
              <w:rPr>
                <w:rStyle w:val="checkbox"/>
                <w:rFonts w:ascii="Arial" w:hAnsi="Arial" w:cs="Arial"/>
              </w:rPr>
              <w:t xml:space="preserve">; </w:t>
            </w:r>
            <w:r w:rsidRPr="00120AA9">
              <w:rPr>
                <w:rStyle w:val="checkbox"/>
                <w:rFonts w:ascii="Arial" w:hAnsi="Arial" w:cs="Arial"/>
              </w:rPr>
              <w:t xml:space="preserve">not considered mutagenic based on negative results </w:t>
            </w:r>
            <w:r w:rsidRPr="002338BC">
              <w:rPr>
                <w:rStyle w:val="checkbox"/>
                <w:rFonts w:ascii="Arial" w:hAnsi="Arial" w:cs="Arial"/>
                <w:i/>
              </w:rPr>
              <w:t>in vitro</w:t>
            </w:r>
            <w:r w:rsidRPr="00120AA9">
              <w:rPr>
                <w:rStyle w:val="checkbox"/>
                <w:rFonts w:ascii="Arial" w:hAnsi="Arial" w:cs="Arial"/>
              </w:rPr>
              <w:t xml:space="preserve"> in bacteria and mammalian cells and </w:t>
            </w:r>
            <w:r w:rsidRPr="002338BC">
              <w:rPr>
                <w:rStyle w:val="checkbox"/>
                <w:rFonts w:ascii="Arial" w:hAnsi="Arial" w:cs="Arial"/>
                <w:i/>
              </w:rPr>
              <w:t>in</w:t>
            </w:r>
            <w:r w:rsidR="002338BC" w:rsidRPr="002338BC">
              <w:rPr>
                <w:rStyle w:val="checkbox"/>
                <w:rFonts w:ascii="Arial" w:hAnsi="Arial" w:cs="Arial"/>
                <w:i/>
              </w:rPr>
              <w:t xml:space="preserve"> vivo</w:t>
            </w:r>
            <w:r w:rsidR="002338BC">
              <w:rPr>
                <w:rStyle w:val="checkbox"/>
                <w:rFonts w:ascii="Arial" w:hAnsi="Arial" w:cs="Arial"/>
              </w:rPr>
              <w:t xml:space="preserve"> assays in mammalian cells</w:t>
            </w:r>
          </w:p>
          <w:p w14:paraId="63D448CC" w14:textId="48D06592" w:rsidR="002338BC" w:rsidRPr="004C23F4" w:rsidRDefault="002338BC" w:rsidP="00D1157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carcinogenicity studies available</w:t>
            </w:r>
            <w:r w:rsidR="006F6B1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01293BD8" w14:textId="77777777" w:rsidTr="00F25469">
        <w:trPr>
          <w:cantSplit/>
        </w:trPr>
        <w:tc>
          <w:tcPr>
            <w:tcW w:w="1488" w:type="dxa"/>
          </w:tcPr>
          <w:p w14:paraId="2E5655A9" w14:textId="77777777" w:rsidR="004966BF" w:rsidRDefault="004966BF" w:rsidP="00224EE2">
            <w:pPr>
              <w:pStyle w:val="Tablefont"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2" w:type="dxa"/>
          </w:tcPr>
          <w:p w14:paraId="4120FFD9" w14:textId="44095F18" w:rsidR="004966B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120AA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2A03FE4D" w14:textId="1D05D6B0" w:rsidR="004966BF" w:rsidRPr="004C23F4" w:rsidRDefault="00120AA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399" w:type="dxa"/>
          </w:tcPr>
          <w:p w14:paraId="763F9AF9" w14:textId="011102F8" w:rsidR="00120AA9" w:rsidRPr="00B15BE6" w:rsidRDefault="00120AA9" w:rsidP="00C4119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SK:SYS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assigned; c</w:t>
            </w:r>
            <w:r w:rsidRPr="00120AA9">
              <w:rPr>
                <w:rStyle w:val="checkbox"/>
                <w:rFonts w:ascii="Arial" w:hAnsi="Arial" w:cs="Arial"/>
              </w:rPr>
              <w:t>apable of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120AA9">
              <w:rPr>
                <w:rStyle w:val="checkbox"/>
                <w:rFonts w:ascii="Arial" w:hAnsi="Arial" w:cs="Arial"/>
              </w:rPr>
              <w:t xml:space="preserve">causing decreased blood pressure, vasodilation, </w:t>
            </w:r>
            <w:r>
              <w:rPr>
                <w:rStyle w:val="checkbox"/>
                <w:rFonts w:ascii="Arial" w:hAnsi="Arial" w:cs="Arial"/>
              </w:rPr>
              <w:t>h</w:t>
            </w:r>
            <w:r w:rsidRPr="00120AA9">
              <w:rPr>
                <w:rStyle w:val="checkbox"/>
                <w:rFonts w:ascii="Arial" w:hAnsi="Arial" w:cs="Arial"/>
              </w:rPr>
              <w:t>eadaches, dizziness, nausea, chest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120AA9">
              <w:rPr>
                <w:rStyle w:val="checkbox"/>
                <w:rFonts w:ascii="Arial" w:hAnsi="Arial" w:cs="Arial"/>
              </w:rPr>
              <w:t>pains and palpitations following dermal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120AA9">
              <w:rPr>
                <w:rStyle w:val="checkbox"/>
                <w:rFonts w:ascii="Arial" w:hAnsi="Arial" w:cs="Arial"/>
              </w:rPr>
              <w:t>ex</w:t>
            </w:r>
            <w:r>
              <w:rPr>
                <w:rStyle w:val="checkbox"/>
                <w:rFonts w:ascii="Arial" w:hAnsi="Arial" w:cs="Arial"/>
              </w:rPr>
              <w:t>posures</w:t>
            </w:r>
            <w:r w:rsidR="00B15BE6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25E98AD6" w14:textId="77777777" w:rsidR="007E2A4B" w:rsidRDefault="007E2A4B"/>
    <w:bookmarkEnd w:id="0"/>
    <w:p w14:paraId="0B800485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83F7D27" w14:textId="77777777" w:rsidTr="002338BC">
        <w:trPr>
          <w:trHeight w:val="454"/>
          <w:tblHeader/>
        </w:trPr>
        <w:tc>
          <w:tcPr>
            <w:tcW w:w="6597" w:type="dxa"/>
            <w:vAlign w:val="center"/>
          </w:tcPr>
          <w:p w14:paraId="493A19F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5502673D" w14:textId="2F8BE062" w:rsidR="002E0D61" w:rsidRDefault="002338B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BA28F26" w14:textId="77777777" w:rsidTr="002338BC">
        <w:trPr>
          <w:trHeight w:val="454"/>
        </w:trPr>
        <w:tc>
          <w:tcPr>
            <w:tcW w:w="6597" w:type="dxa"/>
            <w:vAlign w:val="center"/>
          </w:tcPr>
          <w:p w14:paraId="16B133E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27204277" w14:textId="3A3AFBD9" w:rsidR="008A36CF" w:rsidRDefault="002338B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12232CC" w14:textId="77777777" w:rsidTr="002338B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597" w:type="dxa"/>
                <w:vAlign w:val="center"/>
              </w:tcPr>
              <w:p w14:paraId="465A55F5" w14:textId="3C24E91E" w:rsidR="008A36CF" w:rsidRPr="006901A2" w:rsidRDefault="002338B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2A077D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F6E38F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C99466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28BAC9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369601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1870445" w14:textId="77777777" w:rsidTr="00812887">
        <w:trPr>
          <w:cantSplit/>
        </w:trPr>
        <w:tc>
          <w:tcPr>
            <w:tcW w:w="3227" w:type="dxa"/>
          </w:tcPr>
          <w:p w14:paraId="6F2DA4C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517EA5E" w14:textId="1C71AF37" w:rsidR="00687890" w:rsidRPr="00DD2F9B" w:rsidRDefault="00C00C67" w:rsidP="00DD2F9B">
            <w:pPr>
              <w:pStyle w:val="Tablefont"/>
            </w:pPr>
            <w:r w:rsidRPr="00C00C67">
              <w:t>Skin</w:t>
            </w:r>
          </w:p>
        </w:tc>
      </w:tr>
      <w:tr w:rsidR="007925F0" w:rsidRPr="004C23F4" w14:paraId="7F210F17" w14:textId="77777777" w:rsidTr="00812887">
        <w:trPr>
          <w:cantSplit/>
        </w:trPr>
        <w:tc>
          <w:tcPr>
            <w:tcW w:w="3227" w:type="dxa"/>
          </w:tcPr>
          <w:p w14:paraId="73BBA906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015042D8" w14:textId="47919097" w:rsidR="007925F0" w:rsidRPr="00DD2F9B" w:rsidRDefault="00C00C67" w:rsidP="00DD2F9B">
            <w:pPr>
              <w:pStyle w:val="Tablefont"/>
            </w:pPr>
            <w:r w:rsidRPr="00C00C67">
              <w:t>—</w:t>
            </w:r>
          </w:p>
        </w:tc>
      </w:tr>
      <w:tr w:rsidR="00AF483F" w:rsidRPr="004C23F4" w14:paraId="5FDD5BED" w14:textId="77777777" w:rsidTr="00812887">
        <w:trPr>
          <w:cantSplit/>
        </w:trPr>
        <w:tc>
          <w:tcPr>
            <w:tcW w:w="3227" w:type="dxa"/>
          </w:tcPr>
          <w:p w14:paraId="324CCF28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47B402D4" w14:textId="08448904" w:rsidR="00AF483F" w:rsidRPr="00DD2F9B" w:rsidRDefault="00C00C6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AA4E831" w14:textId="77777777" w:rsidTr="00812887">
        <w:trPr>
          <w:cantSplit/>
        </w:trPr>
        <w:tc>
          <w:tcPr>
            <w:tcW w:w="3227" w:type="dxa"/>
          </w:tcPr>
          <w:p w14:paraId="4A1C75E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0E4F557" w14:textId="3907DDC9" w:rsidR="00687890" w:rsidRPr="00DD2F9B" w:rsidRDefault="0045121A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4BC6BF7" w14:textId="77777777" w:rsidTr="00812887">
        <w:trPr>
          <w:cantSplit/>
        </w:trPr>
        <w:tc>
          <w:tcPr>
            <w:tcW w:w="3227" w:type="dxa"/>
          </w:tcPr>
          <w:p w14:paraId="136C749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2C2C2EA" w14:textId="1ED99E42" w:rsidR="00E41A26" w:rsidRPr="00DD2F9B" w:rsidRDefault="00C00C6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0D17F19" w14:textId="77777777" w:rsidTr="00812887">
        <w:trPr>
          <w:cantSplit/>
        </w:trPr>
        <w:tc>
          <w:tcPr>
            <w:tcW w:w="3227" w:type="dxa"/>
          </w:tcPr>
          <w:p w14:paraId="0B86BE39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4B3C3BDE" w14:textId="344346D9" w:rsidR="002E0D61" w:rsidRPr="00DD2F9B" w:rsidRDefault="00C00C67" w:rsidP="00DD2F9B">
            <w:pPr>
              <w:pStyle w:val="Tablefont"/>
            </w:pPr>
            <w:r w:rsidRPr="00C00C67">
              <w:t>Skin</w:t>
            </w:r>
          </w:p>
        </w:tc>
      </w:tr>
      <w:tr w:rsidR="002E0D61" w:rsidRPr="004C23F4" w14:paraId="7199801C" w14:textId="77777777" w:rsidTr="00812887">
        <w:trPr>
          <w:cantSplit/>
        </w:trPr>
        <w:tc>
          <w:tcPr>
            <w:tcW w:w="3227" w:type="dxa"/>
          </w:tcPr>
          <w:p w14:paraId="6005DEE9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5C458202" w14:textId="3FB71EAC" w:rsidR="002E0D61" w:rsidRPr="00DD2F9B" w:rsidRDefault="00C00C67" w:rsidP="00DD2F9B">
            <w:pPr>
              <w:pStyle w:val="Tablefont"/>
            </w:pPr>
            <w:r w:rsidRPr="00C00C67">
              <w:t>H (skin)</w:t>
            </w:r>
          </w:p>
        </w:tc>
      </w:tr>
      <w:tr w:rsidR="002E0D61" w:rsidRPr="004C23F4" w14:paraId="31A32BAB" w14:textId="77777777" w:rsidTr="00812887">
        <w:trPr>
          <w:cantSplit/>
        </w:trPr>
        <w:tc>
          <w:tcPr>
            <w:tcW w:w="3227" w:type="dxa"/>
          </w:tcPr>
          <w:p w14:paraId="28D495E7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7E878FC3" w14:textId="698C7695" w:rsidR="002E0D61" w:rsidRPr="00DD2F9B" w:rsidRDefault="00C00C6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5E5F295" w14:textId="77777777" w:rsidTr="00812887">
        <w:trPr>
          <w:cantSplit/>
        </w:trPr>
        <w:tc>
          <w:tcPr>
            <w:tcW w:w="3227" w:type="dxa"/>
          </w:tcPr>
          <w:p w14:paraId="5BCF1477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3250EECD" w14:textId="4D80EBDB" w:rsidR="002E0D61" w:rsidRPr="00DD2F9B" w:rsidRDefault="00C00C67" w:rsidP="00DD2F9B">
            <w:pPr>
              <w:pStyle w:val="Tablefont"/>
            </w:pPr>
            <w:r w:rsidRPr="00C00C67">
              <w:t>Skin</w:t>
            </w:r>
          </w:p>
        </w:tc>
      </w:tr>
      <w:tr w:rsidR="00386093" w:rsidRPr="004C23F4" w14:paraId="67A70A5C" w14:textId="77777777" w:rsidTr="00812887">
        <w:trPr>
          <w:cantSplit/>
        </w:trPr>
        <w:tc>
          <w:tcPr>
            <w:tcW w:w="3227" w:type="dxa"/>
          </w:tcPr>
          <w:p w14:paraId="41981C3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3802F66" w14:textId="7AFF0319" w:rsidR="00386093" w:rsidRPr="00DD2F9B" w:rsidRDefault="00C00C6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A192B44" w14:textId="77777777" w:rsidTr="00812887">
        <w:trPr>
          <w:cantSplit/>
        </w:trPr>
        <w:tc>
          <w:tcPr>
            <w:tcW w:w="3227" w:type="dxa"/>
          </w:tcPr>
          <w:p w14:paraId="0E454F01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13F49C34" w14:textId="3E9F1358" w:rsidR="00386093" w:rsidRPr="00DD2F9B" w:rsidRDefault="00C00C67" w:rsidP="00D87570">
            <w:pPr>
              <w:pStyle w:val="Tablefont"/>
              <w:keepNext/>
            </w:pPr>
            <w:proofErr w:type="spellStart"/>
            <w:r w:rsidRPr="00C00C67">
              <w:t>SK:SYS</w:t>
            </w:r>
            <w:proofErr w:type="spellEnd"/>
          </w:p>
        </w:tc>
      </w:tr>
    </w:tbl>
    <w:bookmarkEnd w:id="2"/>
    <w:p w14:paraId="229DA84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54D2D5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935CFD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CD241D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A838D4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4006"/>
              <w:gridCol w:w="768"/>
              <w:gridCol w:w="650"/>
              <w:gridCol w:w="3386"/>
            </w:tblGrid>
            <w:tr w:rsidR="00E06A85" w:rsidRPr="00E06A85" w14:paraId="7022ECD0" w14:textId="77777777" w:rsidTr="00E06A85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2A6527" w14:textId="77777777" w:rsidR="00E06A85" w:rsidRPr="00E06A85" w:rsidRDefault="00E06A85" w:rsidP="00E06A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5775213" w14:textId="77777777" w:rsidR="00E06A85" w:rsidRPr="00E06A85" w:rsidRDefault="00E06A85" w:rsidP="00E06A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9472A0" w14:textId="77777777" w:rsidR="00E06A85" w:rsidRPr="00E06A85" w:rsidRDefault="00E06A85" w:rsidP="00E06A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FE4829" w14:textId="77777777" w:rsidR="00E06A85" w:rsidRPr="00E06A85" w:rsidRDefault="00E06A85" w:rsidP="00E06A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06A85" w:rsidRPr="00E06A85" w14:paraId="65E2C85D" w14:textId="77777777" w:rsidTr="00E06A85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E3CFF2" w14:textId="77777777" w:rsidR="00E06A85" w:rsidRPr="00E06A85" w:rsidRDefault="00E06A85" w:rsidP="00E06A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AD1C00" w14:textId="77777777" w:rsidR="00E06A85" w:rsidRPr="00E06A85" w:rsidRDefault="00E06A85" w:rsidP="00E06A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1828D5" w14:textId="77777777" w:rsidR="00E06A85" w:rsidRPr="00E06A85" w:rsidRDefault="00E06A85" w:rsidP="00E06A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E33E88" w14:textId="77777777" w:rsidR="00E06A85" w:rsidRPr="00E06A85" w:rsidRDefault="00E06A85" w:rsidP="00E06A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06A85" w:rsidRPr="00E06A85" w14:paraId="6BF7F497" w14:textId="77777777" w:rsidTr="00E06A85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2D7346" w14:textId="77777777" w:rsidR="00E06A85" w:rsidRPr="00E06A85" w:rsidRDefault="00E06A85" w:rsidP="00E06A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AC15F4" w14:textId="77777777" w:rsidR="00E06A85" w:rsidRPr="00E06A85" w:rsidRDefault="00E06A85" w:rsidP="00E06A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D2FD17" w14:textId="77777777" w:rsidR="00E06A85" w:rsidRPr="00E06A85" w:rsidRDefault="00E06A85" w:rsidP="00E06A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445830" w14:textId="77777777" w:rsidR="00E06A85" w:rsidRPr="00E06A85" w:rsidRDefault="00E06A85" w:rsidP="00E06A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06A85" w:rsidRPr="00E06A85" w14:paraId="4DEE887A" w14:textId="77777777" w:rsidTr="00E06A85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6F25D1" w14:textId="77777777" w:rsidR="00E06A85" w:rsidRPr="00E06A85" w:rsidRDefault="00E06A85" w:rsidP="00E06A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0A7834" w14:textId="77777777" w:rsidR="00E06A85" w:rsidRPr="00E06A85" w:rsidRDefault="00E06A85" w:rsidP="00E06A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B21BFD" w14:textId="77777777" w:rsidR="00E06A85" w:rsidRPr="00E06A85" w:rsidRDefault="00E06A85" w:rsidP="00E06A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E87C20" w14:textId="77777777" w:rsidR="00E06A85" w:rsidRPr="00E06A85" w:rsidRDefault="00E06A85" w:rsidP="00E06A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06A85" w:rsidRPr="00E06A85" w14:paraId="710AAE59" w14:textId="77777777" w:rsidTr="00E06A85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F69AA5" w14:textId="77777777" w:rsidR="00E06A85" w:rsidRPr="00E06A85" w:rsidRDefault="00E06A85" w:rsidP="00E06A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977C1D" w14:textId="77777777" w:rsidR="00E06A85" w:rsidRPr="00E06A85" w:rsidRDefault="00E06A85" w:rsidP="00E06A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814C03" w14:textId="77777777" w:rsidR="00E06A85" w:rsidRPr="00E06A85" w:rsidRDefault="00E06A85" w:rsidP="00E06A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4DE303" w14:textId="77777777" w:rsidR="00E06A85" w:rsidRPr="00E06A85" w:rsidRDefault="00E06A85" w:rsidP="00E06A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06A85" w:rsidRPr="00E06A85" w14:paraId="19877BB2" w14:textId="77777777" w:rsidTr="00E06A85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CF7861" w14:textId="77777777" w:rsidR="00E06A85" w:rsidRPr="00E06A85" w:rsidRDefault="00E06A85" w:rsidP="00E06A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F49F861" w14:textId="77777777" w:rsidR="00E06A85" w:rsidRPr="00E06A85" w:rsidRDefault="00E06A85" w:rsidP="00E06A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CA8497" w14:textId="77777777" w:rsidR="00E06A85" w:rsidRPr="00E06A85" w:rsidRDefault="00E06A85" w:rsidP="00E06A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4D8F83" w14:textId="77777777" w:rsidR="00E06A85" w:rsidRPr="00E06A85" w:rsidRDefault="00E06A85" w:rsidP="00E06A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06A85" w:rsidRPr="00E06A85" w14:paraId="5CDB0F0F" w14:textId="77777777" w:rsidTr="00E06A85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A10CBD" w14:textId="77777777" w:rsidR="00E06A85" w:rsidRPr="00E06A85" w:rsidRDefault="00E06A85" w:rsidP="00E06A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72ADE4" w14:textId="77777777" w:rsidR="00E06A85" w:rsidRPr="00E06A85" w:rsidRDefault="00E06A85" w:rsidP="00E06A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85C7CA" w14:textId="77777777" w:rsidR="00E06A85" w:rsidRPr="00E06A85" w:rsidRDefault="00E06A85" w:rsidP="00E06A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4E608E" w14:textId="77777777" w:rsidR="00E06A85" w:rsidRPr="00E06A85" w:rsidRDefault="00E06A85" w:rsidP="00E06A8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07458E7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3CFC431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465117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4A67F1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62676A47" w14:textId="3A5149B1" w:rsidR="00EB3D1B" w:rsidRDefault="00F2546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45BDCBF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86B69E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304F0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1F555A06" w14:textId="64C7F8F5" w:rsidR="001B79E5" w:rsidRDefault="007807D8" w:rsidP="001B79E5">
                <w:pPr>
                  <w:pStyle w:val="Tablefont"/>
                </w:pPr>
                <w:r w:rsidRPr="007807D8">
                  <w:t>152.1</w:t>
                </w:r>
                <w:r>
                  <w:t>0</w:t>
                </w:r>
              </w:p>
            </w:tc>
          </w:sdtContent>
        </w:sdt>
      </w:tr>
      <w:tr w:rsidR="00A31D99" w:rsidRPr="004C23F4" w14:paraId="634787C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CB8975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A65179D" w14:textId="4981E40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7807D8">
                  <w:t>6.22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7807D8">
                  <w:t>0.161</w:t>
                </w:r>
              </w:sdtContent>
            </w:sdt>
            <w:r w:rsidRPr="007807D8">
              <w:t xml:space="preserve"> </w:t>
            </w:r>
            <w:r>
              <w:t>ppm</w:t>
            </w:r>
          </w:p>
        </w:tc>
      </w:tr>
      <w:tr w:rsidR="00687890" w:rsidRPr="004C23F4" w14:paraId="36CD2A0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A318BE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9D1F5B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84B5DA" w14:textId="77777777" w:rsidTr="00EA6243">
        <w:trPr>
          <w:cantSplit/>
        </w:trPr>
        <w:tc>
          <w:tcPr>
            <w:tcW w:w="4077" w:type="dxa"/>
            <w:vAlign w:val="center"/>
          </w:tcPr>
          <w:p w14:paraId="77D31F1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95DBF6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22CACBC" w14:textId="77777777" w:rsidTr="00EA6243">
        <w:trPr>
          <w:cantSplit/>
        </w:trPr>
        <w:tc>
          <w:tcPr>
            <w:tcW w:w="4077" w:type="dxa"/>
            <w:vAlign w:val="center"/>
          </w:tcPr>
          <w:p w14:paraId="2A41212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FA2589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9CDD172" w14:textId="77777777" w:rsidTr="00EA6243">
        <w:trPr>
          <w:cantSplit/>
        </w:trPr>
        <w:tc>
          <w:tcPr>
            <w:tcW w:w="4077" w:type="dxa"/>
            <w:vAlign w:val="center"/>
          </w:tcPr>
          <w:p w14:paraId="76EB7E0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34E3180" w14:textId="2575961A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7807D8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57E8C30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7E9BC8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78DC6D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51313C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7F9668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1CF2C36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83F85B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5DFAAA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0A29F70" w14:textId="322D45F1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0DE0F390" w14:textId="2C735C6B" w:rsidR="007807D8" w:rsidRDefault="007807D8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(2018) </w:t>
      </w:r>
      <w:r w:rsidRPr="007807D8">
        <w:t>Ethylene glycol dinitrate</w:t>
      </w:r>
      <w:r>
        <w:t xml:space="preserve"> – MAK value documentation.</w:t>
      </w:r>
    </w:p>
    <w:p w14:paraId="27D1AB22" w14:textId="1D4DBC94" w:rsidR="007807D8" w:rsidRDefault="007807D8" w:rsidP="00084859">
      <w:r>
        <w:t>Health Council of the Netherlands (</w:t>
      </w:r>
      <w:proofErr w:type="spellStart"/>
      <w:r>
        <w:t>HCOTN</w:t>
      </w:r>
      <w:proofErr w:type="spellEnd"/>
      <w:r>
        <w:t xml:space="preserve">) (2005) </w:t>
      </w:r>
      <w:r w:rsidRPr="007807D8">
        <w:t>Ethylene dinitrate</w:t>
      </w:r>
      <w:r>
        <w:t xml:space="preserve">. Health-based calculated occupational cancer risk values. The Hague: Health Council of the Netherlands; publication no. </w:t>
      </w:r>
      <w:r w:rsidRPr="007807D8">
        <w:t>2000/</w:t>
      </w:r>
      <w:proofErr w:type="spellStart"/>
      <w:r w:rsidRPr="007807D8">
        <w:t>15OSH</w:t>
      </w:r>
      <w:proofErr w:type="spellEnd"/>
      <w:r w:rsidRPr="007807D8">
        <w:t>/148</w:t>
      </w:r>
      <w:r>
        <w:t>.</w:t>
      </w:r>
    </w:p>
    <w:p w14:paraId="4A4843B8" w14:textId="01E2B706" w:rsidR="002338BC" w:rsidRDefault="00E06A85" w:rsidP="00084859">
      <w:r>
        <w:t xml:space="preserve">European Chemicals Agency (ECHA) (2019) </w:t>
      </w:r>
      <w:r w:rsidRPr="002338BC">
        <w:t>Ethylene dinitrate</w:t>
      </w:r>
      <w:r>
        <w:t xml:space="preserve"> – REACH assessment.</w:t>
      </w:r>
    </w:p>
    <w:p w14:paraId="71940285" w14:textId="6512C0DF" w:rsidR="0045121A" w:rsidRDefault="0045121A" w:rsidP="00084859"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6DB31AD7" w14:textId="55F287A0" w:rsidR="007807D8" w:rsidRDefault="007807D8" w:rsidP="00084859">
      <w:r>
        <w:t>US National Institute for Occupational Safety and Health (</w:t>
      </w:r>
      <w:proofErr w:type="spellStart"/>
      <w:r>
        <w:t>NIOSH</w:t>
      </w:r>
      <w:proofErr w:type="spellEnd"/>
      <w:r>
        <w:t xml:space="preserve">) (2011) </w:t>
      </w:r>
      <w:proofErr w:type="spellStart"/>
      <w:r>
        <w:t>NIOSH</w:t>
      </w:r>
      <w:proofErr w:type="spellEnd"/>
      <w:r>
        <w:t xml:space="preserve"> Skin Notation Profiles: </w:t>
      </w:r>
      <w:r w:rsidRPr="007807D8">
        <w:t>Ethylene Glycol Dinitrate (</w:t>
      </w:r>
      <w:proofErr w:type="spellStart"/>
      <w:r w:rsidRPr="007807D8">
        <w:t>EGDN</w:t>
      </w:r>
      <w:proofErr w:type="spellEnd"/>
      <w:r w:rsidRPr="007807D8">
        <w:t>)</w:t>
      </w:r>
      <w:r>
        <w:t>.</w:t>
      </w:r>
    </w:p>
    <w:p w14:paraId="5449E0FC" w14:textId="250EA91A" w:rsidR="00D2141A" w:rsidRPr="00351FE0" w:rsidRDefault="00D2141A" w:rsidP="00084859">
      <w:r>
        <w:t>US National Institute for Occupational Safety and Health (</w:t>
      </w:r>
      <w:proofErr w:type="spellStart"/>
      <w:r>
        <w:t>NIOSH</w:t>
      </w:r>
      <w:proofErr w:type="spellEnd"/>
      <w:r>
        <w:t>) (</w:t>
      </w:r>
      <w:r w:rsidRPr="00D2141A">
        <w:t>1994</w:t>
      </w:r>
      <w:r>
        <w:t xml:space="preserve">) Immediately dangerous to life or health concentrations – </w:t>
      </w:r>
      <w:r w:rsidRPr="00D2141A">
        <w:t>Ethylene glycol dinitrate</w:t>
      </w:r>
      <w:r>
        <w:t>.</w:t>
      </w:r>
    </w:p>
    <w:sectPr w:rsidR="00D2141A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A4EB9" w14:textId="77777777" w:rsidR="00B75743" w:rsidRDefault="00B75743" w:rsidP="00F43AD5">
      <w:pPr>
        <w:spacing w:after="0" w:line="240" w:lineRule="auto"/>
      </w:pPr>
      <w:r>
        <w:separator/>
      </w:r>
    </w:p>
  </w:endnote>
  <w:endnote w:type="continuationSeparator" w:id="0">
    <w:p w14:paraId="5D2B0D1E" w14:textId="77777777" w:rsidR="00B75743" w:rsidRDefault="00B7574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arnock Pro">
    <w:altName w:val="Warnock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7A73F" w14:textId="77777777" w:rsidR="00036A21" w:rsidRDefault="00036A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3C95694" w14:textId="77777777" w:rsidR="00036A21" w:rsidRPr="00C06EE6" w:rsidRDefault="00036A21" w:rsidP="00C06EE6">
        <w:pPr>
          <w:pStyle w:val="Footer"/>
          <w:rPr>
            <w:b/>
            <w:sz w:val="18"/>
            <w:szCs w:val="18"/>
          </w:rPr>
        </w:pPr>
      </w:p>
      <w:p w14:paraId="50A4F057" w14:textId="7A5E2B14" w:rsidR="00036A21" w:rsidRDefault="00036A21" w:rsidP="00C06EE6">
        <w:pPr>
          <w:pStyle w:val="Footer"/>
          <w:rPr>
            <w:sz w:val="18"/>
            <w:szCs w:val="18"/>
          </w:rPr>
        </w:pPr>
        <w:r w:rsidRPr="00C06EE6">
          <w:rPr>
            <w:b/>
            <w:sz w:val="18"/>
            <w:szCs w:val="18"/>
          </w:rPr>
          <w:t>Ethylene glycol dinitrate</w:t>
        </w:r>
        <w:r>
          <w:rPr>
            <w:b/>
            <w:sz w:val="18"/>
            <w:szCs w:val="18"/>
          </w:rPr>
          <w:t xml:space="preserve"> (</w:t>
        </w:r>
        <w:r w:rsidRPr="00C06EE6">
          <w:rPr>
            <w:b/>
            <w:sz w:val="18"/>
            <w:szCs w:val="18"/>
          </w:rPr>
          <w:t>628-96-6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2A51637" w14:textId="3D5C0D14" w:rsidR="00036A21" w:rsidRPr="00F43AD5" w:rsidRDefault="00036A2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46196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C5C99" w14:textId="77777777" w:rsidR="00036A21" w:rsidRDefault="00036A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8A949" w14:textId="77777777" w:rsidR="00B75743" w:rsidRDefault="00B75743" w:rsidP="00F43AD5">
      <w:pPr>
        <w:spacing w:after="0" w:line="240" w:lineRule="auto"/>
      </w:pPr>
      <w:r>
        <w:separator/>
      </w:r>
    </w:p>
  </w:footnote>
  <w:footnote w:type="continuationSeparator" w:id="0">
    <w:p w14:paraId="54D83821" w14:textId="77777777" w:rsidR="00B75743" w:rsidRDefault="00B7574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827C" w14:textId="3C1DC9BB" w:rsidR="00036A21" w:rsidRDefault="00036A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6DEFD" w14:textId="5DD0E166" w:rsidR="00036A21" w:rsidRDefault="00036A21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553ED" w14:textId="522DA4F2" w:rsidR="00036A21" w:rsidRDefault="00036A2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0269E" w14:textId="6317BD41" w:rsidR="00046196" w:rsidRDefault="0004619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7296E" w14:textId="20C44A58" w:rsidR="00036A21" w:rsidRDefault="00036A21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B9CDD" w14:textId="3163F76C" w:rsidR="00046196" w:rsidRDefault="00046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2EA1B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C919FE"/>
    <w:multiLevelType w:val="hybridMultilevel"/>
    <w:tmpl w:val="F16C8026"/>
    <w:lvl w:ilvl="0" w:tplc="C56EAD8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10DE1"/>
    <w:multiLevelType w:val="hybridMultilevel"/>
    <w:tmpl w:val="DA489BE4"/>
    <w:lvl w:ilvl="0" w:tplc="FF9A675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32FA1"/>
    <w:multiLevelType w:val="hybridMultilevel"/>
    <w:tmpl w:val="CD4458C4"/>
    <w:lvl w:ilvl="0" w:tplc="E7368D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B25F8"/>
    <w:multiLevelType w:val="hybridMultilevel"/>
    <w:tmpl w:val="25CA198E"/>
    <w:lvl w:ilvl="0" w:tplc="D2E0794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202853">
    <w:abstractNumId w:val="4"/>
  </w:num>
  <w:num w:numId="2" w16cid:durableId="512960967">
    <w:abstractNumId w:val="1"/>
  </w:num>
  <w:num w:numId="3" w16cid:durableId="4602776">
    <w:abstractNumId w:val="2"/>
  </w:num>
  <w:num w:numId="4" w16cid:durableId="424496570">
    <w:abstractNumId w:val="3"/>
  </w:num>
  <w:num w:numId="5" w16cid:durableId="1545218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AD6"/>
    <w:rsid w:val="00007B80"/>
    <w:rsid w:val="00013A22"/>
    <w:rsid w:val="00014C3F"/>
    <w:rsid w:val="000160C1"/>
    <w:rsid w:val="00017C82"/>
    <w:rsid w:val="00022FE1"/>
    <w:rsid w:val="00032B88"/>
    <w:rsid w:val="00036A21"/>
    <w:rsid w:val="00046196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2FC3"/>
    <w:rsid w:val="000B3E12"/>
    <w:rsid w:val="000B3E78"/>
    <w:rsid w:val="000B7B48"/>
    <w:rsid w:val="000C096D"/>
    <w:rsid w:val="000C139A"/>
    <w:rsid w:val="000C2053"/>
    <w:rsid w:val="000C248C"/>
    <w:rsid w:val="000D1BE5"/>
    <w:rsid w:val="000D291C"/>
    <w:rsid w:val="000E5A54"/>
    <w:rsid w:val="000E63D3"/>
    <w:rsid w:val="000E67CF"/>
    <w:rsid w:val="0010461E"/>
    <w:rsid w:val="00106FAA"/>
    <w:rsid w:val="00113443"/>
    <w:rsid w:val="0011428C"/>
    <w:rsid w:val="00120AA9"/>
    <w:rsid w:val="00120D6E"/>
    <w:rsid w:val="001269A7"/>
    <w:rsid w:val="00131092"/>
    <w:rsid w:val="00140E6A"/>
    <w:rsid w:val="00146545"/>
    <w:rsid w:val="00146B75"/>
    <w:rsid w:val="0015266D"/>
    <w:rsid w:val="0015288A"/>
    <w:rsid w:val="00160F47"/>
    <w:rsid w:val="001706E0"/>
    <w:rsid w:val="00177CA1"/>
    <w:rsid w:val="00183823"/>
    <w:rsid w:val="00183942"/>
    <w:rsid w:val="00196B94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6C1C"/>
    <w:rsid w:val="00213640"/>
    <w:rsid w:val="00221547"/>
    <w:rsid w:val="002216FC"/>
    <w:rsid w:val="00222533"/>
    <w:rsid w:val="00222F30"/>
    <w:rsid w:val="00224EE2"/>
    <w:rsid w:val="00227EC7"/>
    <w:rsid w:val="002338BC"/>
    <w:rsid w:val="00240FEC"/>
    <w:rsid w:val="00244AD1"/>
    <w:rsid w:val="002463BC"/>
    <w:rsid w:val="002465CE"/>
    <w:rsid w:val="0025734A"/>
    <w:rsid w:val="00263255"/>
    <w:rsid w:val="002701D8"/>
    <w:rsid w:val="002743F3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F7E3D"/>
    <w:rsid w:val="0030185D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042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3C8A"/>
    <w:rsid w:val="003B5638"/>
    <w:rsid w:val="003C0D58"/>
    <w:rsid w:val="003D4FA3"/>
    <w:rsid w:val="003E0807"/>
    <w:rsid w:val="003E51FB"/>
    <w:rsid w:val="003E6B39"/>
    <w:rsid w:val="003F07E1"/>
    <w:rsid w:val="003F6442"/>
    <w:rsid w:val="004030BC"/>
    <w:rsid w:val="00403F7D"/>
    <w:rsid w:val="00404C6D"/>
    <w:rsid w:val="00406785"/>
    <w:rsid w:val="004079B4"/>
    <w:rsid w:val="00417A56"/>
    <w:rsid w:val="00420957"/>
    <w:rsid w:val="00422A10"/>
    <w:rsid w:val="00430179"/>
    <w:rsid w:val="00432550"/>
    <w:rsid w:val="004358D4"/>
    <w:rsid w:val="004414B5"/>
    <w:rsid w:val="00444482"/>
    <w:rsid w:val="00444B42"/>
    <w:rsid w:val="00445E44"/>
    <w:rsid w:val="004509E2"/>
    <w:rsid w:val="0045121A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117"/>
    <w:rsid w:val="004B4765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2C87"/>
    <w:rsid w:val="00534B10"/>
    <w:rsid w:val="005446A2"/>
    <w:rsid w:val="00544D2F"/>
    <w:rsid w:val="00551BD8"/>
    <w:rsid w:val="00581055"/>
    <w:rsid w:val="0058740E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1CD2"/>
    <w:rsid w:val="00624C4E"/>
    <w:rsid w:val="00625200"/>
    <w:rsid w:val="006363A8"/>
    <w:rsid w:val="00636DB7"/>
    <w:rsid w:val="00650905"/>
    <w:rsid w:val="006532ED"/>
    <w:rsid w:val="00653366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23EE"/>
    <w:rsid w:val="006B160A"/>
    <w:rsid w:val="006B4E6C"/>
    <w:rsid w:val="006B50B6"/>
    <w:rsid w:val="006D79EA"/>
    <w:rsid w:val="006D7AB4"/>
    <w:rsid w:val="006E3766"/>
    <w:rsid w:val="006E5D05"/>
    <w:rsid w:val="006F6B1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07D8"/>
    <w:rsid w:val="00783FB1"/>
    <w:rsid w:val="00785CDD"/>
    <w:rsid w:val="00791847"/>
    <w:rsid w:val="007925F0"/>
    <w:rsid w:val="007939B3"/>
    <w:rsid w:val="0079509C"/>
    <w:rsid w:val="00796708"/>
    <w:rsid w:val="007A2BEA"/>
    <w:rsid w:val="007B1B42"/>
    <w:rsid w:val="007C30EB"/>
    <w:rsid w:val="007E063C"/>
    <w:rsid w:val="007E2A4B"/>
    <w:rsid w:val="007E307D"/>
    <w:rsid w:val="007E3259"/>
    <w:rsid w:val="007E6A4E"/>
    <w:rsid w:val="007E6C94"/>
    <w:rsid w:val="007F1005"/>
    <w:rsid w:val="007F25E0"/>
    <w:rsid w:val="007F5328"/>
    <w:rsid w:val="00804F5A"/>
    <w:rsid w:val="00810C6D"/>
    <w:rsid w:val="00812887"/>
    <w:rsid w:val="00822CE2"/>
    <w:rsid w:val="00826F21"/>
    <w:rsid w:val="00831303"/>
    <w:rsid w:val="00834CC8"/>
    <w:rsid w:val="00835E00"/>
    <w:rsid w:val="00837048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4D30"/>
    <w:rsid w:val="008768A8"/>
    <w:rsid w:val="008812FD"/>
    <w:rsid w:val="0088798F"/>
    <w:rsid w:val="00887E4B"/>
    <w:rsid w:val="00890050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5577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73D2"/>
    <w:rsid w:val="0099303A"/>
    <w:rsid w:val="009971C2"/>
    <w:rsid w:val="009A1254"/>
    <w:rsid w:val="009A7ED3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6EC0"/>
    <w:rsid w:val="00A01D0C"/>
    <w:rsid w:val="00A0377F"/>
    <w:rsid w:val="00A0643F"/>
    <w:rsid w:val="00A067EE"/>
    <w:rsid w:val="00A07232"/>
    <w:rsid w:val="00A10FCE"/>
    <w:rsid w:val="00A12A92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3D3F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2FF"/>
    <w:rsid w:val="00AF5E07"/>
    <w:rsid w:val="00AF5F06"/>
    <w:rsid w:val="00B00A25"/>
    <w:rsid w:val="00B1422A"/>
    <w:rsid w:val="00B15BE6"/>
    <w:rsid w:val="00B1765C"/>
    <w:rsid w:val="00B213C4"/>
    <w:rsid w:val="00B40C60"/>
    <w:rsid w:val="00B479A9"/>
    <w:rsid w:val="00B52EDF"/>
    <w:rsid w:val="00B71188"/>
    <w:rsid w:val="00B75743"/>
    <w:rsid w:val="00B76A41"/>
    <w:rsid w:val="00B84BA7"/>
    <w:rsid w:val="00B87D4C"/>
    <w:rsid w:val="00B93646"/>
    <w:rsid w:val="00BA0B38"/>
    <w:rsid w:val="00BA1DBB"/>
    <w:rsid w:val="00BA4510"/>
    <w:rsid w:val="00BA529A"/>
    <w:rsid w:val="00BB612A"/>
    <w:rsid w:val="00BC2CF5"/>
    <w:rsid w:val="00BD499F"/>
    <w:rsid w:val="00BD56DE"/>
    <w:rsid w:val="00BF2406"/>
    <w:rsid w:val="00C00C67"/>
    <w:rsid w:val="00C06E43"/>
    <w:rsid w:val="00C06EE6"/>
    <w:rsid w:val="00C16315"/>
    <w:rsid w:val="00C23AEC"/>
    <w:rsid w:val="00C3091E"/>
    <w:rsid w:val="00C34EE4"/>
    <w:rsid w:val="00C40FF1"/>
    <w:rsid w:val="00C41198"/>
    <w:rsid w:val="00C419E2"/>
    <w:rsid w:val="00C44753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683"/>
    <w:rsid w:val="00C978F0"/>
    <w:rsid w:val="00CA58FE"/>
    <w:rsid w:val="00CB1CB1"/>
    <w:rsid w:val="00CB6992"/>
    <w:rsid w:val="00CB6BC1"/>
    <w:rsid w:val="00CB6CB8"/>
    <w:rsid w:val="00CC1A68"/>
    <w:rsid w:val="00CC2123"/>
    <w:rsid w:val="00CD2BFD"/>
    <w:rsid w:val="00CD706B"/>
    <w:rsid w:val="00CE5AD6"/>
    <w:rsid w:val="00CE617F"/>
    <w:rsid w:val="00CE78EF"/>
    <w:rsid w:val="00D048F7"/>
    <w:rsid w:val="00D0517E"/>
    <w:rsid w:val="00D1157E"/>
    <w:rsid w:val="00D140FC"/>
    <w:rsid w:val="00D20486"/>
    <w:rsid w:val="00D2141A"/>
    <w:rsid w:val="00D21B2B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3840"/>
    <w:rsid w:val="00DC7694"/>
    <w:rsid w:val="00DD1BF6"/>
    <w:rsid w:val="00DD2F9B"/>
    <w:rsid w:val="00DE2513"/>
    <w:rsid w:val="00DE26E8"/>
    <w:rsid w:val="00DE4548"/>
    <w:rsid w:val="00DF6F36"/>
    <w:rsid w:val="00E0084C"/>
    <w:rsid w:val="00E025AB"/>
    <w:rsid w:val="00E02B23"/>
    <w:rsid w:val="00E06A85"/>
    <w:rsid w:val="00E06F40"/>
    <w:rsid w:val="00E07CE8"/>
    <w:rsid w:val="00E26A07"/>
    <w:rsid w:val="00E32595"/>
    <w:rsid w:val="00E37CFD"/>
    <w:rsid w:val="00E41A26"/>
    <w:rsid w:val="00E4597A"/>
    <w:rsid w:val="00E46BCB"/>
    <w:rsid w:val="00E51CAF"/>
    <w:rsid w:val="00E60F04"/>
    <w:rsid w:val="00E62AAC"/>
    <w:rsid w:val="00E67C2F"/>
    <w:rsid w:val="00E67EF5"/>
    <w:rsid w:val="00E738C6"/>
    <w:rsid w:val="00E76DD2"/>
    <w:rsid w:val="00E804EA"/>
    <w:rsid w:val="00E80A71"/>
    <w:rsid w:val="00E82337"/>
    <w:rsid w:val="00E83981"/>
    <w:rsid w:val="00E92499"/>
    <w:rsid w:val="00E949AF"/>
    <w:rsid w:val="00E96077"/>
    <w:rsid w:val="00EA0745"/>
    <w:rsid w:val="00EA0A06"/>
    <w:rsid w:val="00EA6243"/>
    <w:rsid w:val="00EA74AB"/>
    <w:rsid w:val="00EB3D1B"/>
    <w:rsid w:val="00EB65D9"/>
    <w:rsid w:val="00ED1D89"/>
    <w:rsid w:val="00ED66BC"/>
    <w:rsid w:val="00ED7513"/>
    <w:rsid w:val="00EF233A"/>
    <w:rsid w:val="00EF303E"/>
    <w:rsid w:val="00EF3A40"/>
    <w:rsid w:val="00EF7F78"/>
    <w:rsid w:val="00F01B08"/>
    <w:rsid w:val="00F01C4D"/>
    <w:rsid w:val="00F053FA"/>
    <w:rsid w:val="00F0751F"/>
    <w:rsid w:val="00F10C97"/>
    <w:rsid w:val="00F11C71"/>
    <w:rsid w:val="00F16019"/>
    <w:rsid w:val="00F20E68"/>
    <w:rsid w:val="00F22093"/>
    <w:rsid w:val="00F236DF"/>
    <w:rsid w:val="00F25469"/>
    <w:rsid w:val="00F27BAE"/>
    <w:rsid w:val="00F413C8"/>
    <w:rsid w:val="00F43AD5"/>
    <w:rsid w:val="00F4402E"/>
    <w:rsid w:val="00F54ACD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0CA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20AA9"/>
    <w:pPr>
      <w:numPr>
        <w:numId w:val="5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7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AB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AB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AB4"/>
    <w:rPr>
      <w:b/>
      <w:bCs/>
      <w:szCs w:val="20"/>
    </w:rPr>
  </w:style>
  <w:style w:type="paragraph" w:customStyle="1" w:styleId="Default">
    <w:name w:val="Default"/>
    <w:rsid w:val="0030185D"/>
    <w:pPr>
      <w:autoSpaceDE w:val="0"/>
      <w:autoSpaceDN w:val="0"/>
      <w:adjustRightInd w:val="0"/>
      <w:spacing w:after="0" w:line="240" w:lineRule="auto"/>
    </w:pPr>
    <w:rPr>
      <w:rFonts w:ascii="Warnock Pro" w:hAnsi="Warnock Pro" w:cs="Warnock Pro"/>
      <w:color w:val="000000"/>
      <w:sz w:val="24"/>
      <w:szCs w:val="24"/>
    </w:rPr>
  </w:style>
  <w:style w:type="character" w:customStyle="1" w:styleId="A7">
    <w:name w:val="A7"/>
    <w:uiPriority w:val="99"/>
    <w:rsid w:val="0030185D"/>
    <w:rPr>
      <w:rFonts w:cs="Warnock Pro"/>
      <w:color w:val="000000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0FFE01008D34E93A94ACFAFA71D3F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9AA9D9-54A4-4B8A-AA2C-D023DD4FA1A2}"/>
      </w:docPartPr>
      <w:docPartBody>
        <w:p w:rsidR="00A53E90" w:rsidRDefault="00423129" w:rsidP="00423129">
          <w:pPr>
            <w:pStyle w:val="00FFE01008D34E93A94ACFAFA71D3F5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arnock Pro">
    <w:altName w:val="Warnock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974D6"/>
    <w:rsid w:val="000C04E1"/>
    <w:rsid w:val="00143562"/>
    <w:rsid w:val="00423129"/>
    <w:rsid w:val="00673CE9"/>
    <w:rsid w:val="006E3766"/>
    <w:rsid w:val="00A53E90"/>
    <w:rsid w:val="00AA6354"/>
    <w:rsid w:val="00D21A9F"/>
    <w:rsid w:val="00D24FE8"/>
    <w:rsid w:val="00E04E6C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312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0FFE01008D34E93A94ACFAFA71D3F56">
    <w:name w:val="00FFE01008D34E93A94ACFAFA71D3F56"/>
    <w:rsid w:val="00423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681435-6A45-4B2F-9478-697C250FAF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CBB429-0CDF-47AA-98DC-11209938B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C87949-EC81-4D1A-8AF2-553774DF1B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66E7F1-02B9-4273-B30F-0FB3A9844323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2039</Words>
  <Characters>11259</Characters>
  <Application>Microsoft Office Word</Application>
  <DocSecurity>0</DocSecurity>
  <Lines>388</Lines>
  <Paragraphs>255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2019-11-15T05:16:00Z</dcterms:created>
  <dcterms:modified xsi:type="dcterms:W3CDTF">2026-01-09T00:06:00Z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2025-12-23T00:35:04Z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73b7776d-95d2-43ce-871c-48df48d810f1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