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915F5EA" w14:textId="6B1EFCFA" w:rsidR="00BD499F" w:rsidRPr="004C23F4" w:rsidRDefault="000B3DA2" w:rsidP="00B40C60">
          <w:pPr>
            <w:pStyle w:val="Heading1"/>
            <w:jc w:val="center"/>
            <w:rPr>
              <w:rFonts w:ascii="Arial" w:hAnsi="Arial" w:cs="Arial"/>
            </w:rPr>
          </w:pPr>
          <w:r w:rsidRPr="000B3DA2">
            <w:rPr>
              <w:rFonts w:ascii="Arial" w:hAnsi="Arial" w:cs="Arial"/>
            </w:rPr>
            <w:t>Ethylene dichloride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3"/>
        <w:gridCol w:w="5043"/>
      </w:tblGrid>
      <w:tr w:rsidR="00F43AD5" w:rsidRPr="004C23F4" w14:paraId="7290E3ED" w14:textId="77777777" w:rsidTr="00B76A41">
        <w:trPr>
          <w:cantSplit/>
          <w:tblHeader/>
        </w:trPr>
        <w:tc>
          <w:tcPr>
            <w:tcW w:w="4077" w:type="dxa"/>
          </w:tcPr>
          <w:p w14:paraId="5A881727" w14:textId="77777777" w:rsidR="00F43AD5" w:rsidRPr="00921DE7" w:rsidRDefault="00CB1CB1" w:rsidP="00B76A41">
            <w:pPr>
              <w:pStyle w:val="Tablerowright"/>
            </w:pPr>
            <w:r w:rsidRPr="00921DE7">
              <w:t>CAS number:</w:t>
            </w:r>
          </w:p>
        </w:tc>
        <w:tc>
          <w:tcPr>
            <w:tcW w:w="5165" w:type="dxa"/>
          </w:tcPr>
          <w:p w14:paraId="31ED2AD4" w14:textId="7992487A" w:rsidR="00F43AD5" w:rsidRPr="00717D45" w:rsidRDefault="000B3DA2" w:rsidP="00B76A41">
            <w:pPr>
              <w:pStyle w:val="Tablefont"/>
            </w:pPr>
            <w:r w:rsidRPr="000B3DA2">
              <w:t>107-06-2</w:t>
            </w:r>
          </w:p>
        </w:tc>
      </w:tr>
      <w:tr w:rsidR="00F43AD5" w:rsidRPr="004C23F4" w14:paraId="6269700F" w14:textId="77777777" w:rsidTr="00B76A41">
        <w:trPr>
          <w:cantSplit/>
        </w:trPr>
        <w:tc>
          <w:tcPr>
            <w:tcW w:w="4077" w:type="dxa"/>
          </w:tcPr>
          <w:p w14:paraId="3B84DDEE" w14:textId="77777777" w:rsidR="00F43AD5" w:rsidRPr="00921DE7" w:rsidRDefault="00CB1CB1" w:rsidP="00B76A41">
            <w:pPr>
              <w:pStyle w:val="Tablerowright"/>
            </w:pPr>
            <w:r w:rsidRPr="00921DE7">
              <w:t>Synonyms:</w:t>
            </w:r>
          </w:p>
        </w:tc>
        <w:tc>
          <w:tcPr>
            <w:tcW w:w="5165" w:type="dxa"/>
          </w:tcPr>
          <w:p w14:paraId="7342BD6A" w14:textId="66FF08BD" w:rsidR="00F43AD5" w:rsidRPr="00717D45" w:rsidRDefault="000B3DA2" w:rsidP="00B76A41">
            <w:pPr>
              <w:pStyle w:val="Tablefont"/>
            </w:pPr>
            <w:r w:rsidRPr="000B3DA2">
              <w:t>1,2-Dichloroethane</w:t>
            </w:r>
          </w:p>
        </w:tc>
      </w:tr>
      <w:tr w:rsidR="00F43AD5" w:rsidRPr="004C23F4" w14:paraId="01F25F1F" w14:textId="77777777" w:rsidTr="00B76A41">
        <w:trPr>
          <w:cantSplit/>
        </w:trPr>
        <w:tc>
          <w:tcPr>
            <w:tcW w:w="4077" w:type="dxa"/>
          </w:tcPr>
          <w:p w14:paraId="01FCE6AA" w14:textId="77777777" w:rsidR="00F43AD5" w:rsidRPr="00921DE7" w:rsidRDefault="00CB1CB1" w:rsidP="00B76A41">
            <w:pPr>
              <w:pStyle w:val="Tablerowright"/>
            </w:pPr>
            <w:r w:rsidRPr="00921DE7">
              <w:t>Chemical formula:</w:t>
            </w:r>
          </w:p>
        </w:tc>
        <w:tc>
          <w:tcPr>
            <w:tcW w:w="5165" w:type="dxa"/>
          </w:tcPr>
          <w:p w14:paraId="5E29BADB" w14:textId="6F8540A4" w:rsidR="00F43AD5" w:rsidRPr="00717D45" w:rsidRDefault="000B3DA2" w:rsidP="00B76A41">
            <w:pPr>
              <w:pStyle w:val="Tablefont"/>
            </w:pPr>
            <w:proofErr w:type="spellStart"/>
            <w:r>
              <w:t>C</w:t>
            </w:r>
            <w:r w:rsidRPr="000B3DA2">
              <w:rPr>
                <w:vertAlign w:val="subscript"/>
              </w:rPr>
              <w:t>2</w:t>
            </w:r>
            <w:r>
              <w:t>H</w:t>
            </w:r>
            <w:r w:rsidRPr="000B3DA2">
              <w:rPr>
                <w:vertAlign w:val="subscript"/>
              </w:rPr>
              <w:t>4</w:t>
            </w:r>
            <w:r>
              <w:t>Cl</w:t>
            </w:r>
            <w:r w:rsidRPr="000B3DA2">
              <w:rPr>
                <w:vertAlign w:val="subscript"/>
              </w:rPr>
              <w:t>2</w:t>
            </w:r>
            <w:proofErr w:type="spellEnd"/>
          </w:p>
        </w:tc>
      </w:tr>
      <w:tr w:rsidR="00F43AD5" w:rsidRPr="004C23F4" w14:paraId="0D882D47" w14:textId="77777777" w:rsidTr="00B76A41">
        <w:trPr>
          <w:cantSplit/>
        </w:trPr>
        <w:tc>
          <w:tcPr>
            <w:tcW w:w="4077" w:type="dxa"/>
          </w:tcPr>
          <w:p w14:paraId="4A37E088" w14:textId="77777777" w:rsidR="00F43AD5" w:rsidRPr="00921DE7" w:rsidRDefault="00CB1CB1" w:rsidP="00B76A41">
            <w:pPr>
              <w:pStyle w:val="Tablerowright"/>
            </w:pPr>
            <w:r w:rsidRPr="00921DE7">
              <w:t>Structural formula:</w:t>
            </w:r>
          </w:p>
        </w:tc>
        <w:tc>
          <w:tcPr>
            <w:tcW w:w="5165" w:type="dxa"/>
          </w:tcPr>
          <w:p w14:paraId="5CADAB0E" w14:textId="725DF703" w:rsidR="00F43AD5" w:rsidRPr="007D16A8" w:rsidRDefault="000B3DA2" w:rsidP="00B76A41">
            <w:pPr>
              <w:pStyle w:val="Tablerowheading"/>
              <w:rPr>
                <w:b w:val="0"/>
              </w:rPr>
            </w:pPr>
            <w:r w:rsidRPr="00546E66">
              <w:rPr>
                <w:b w:val="0"/>
              </w:rPr>
              <w:t>—</w:t>
            </w:r>
          </w:p>
        </w:tc>
      </w:tr>
    </w:tbl>
    <w:p w14:paraId="3C3DB391" w14:textId="3919C3FF" w:rsidR="00AE2745" w:rsidRDefault="00AE2745" w:rsidP="00AE2745">
      <w:pPr>
        <w:pStyle w:val="WES"/>
        <w:tabs>
          <w:tab w:val="left" w:pos="2041"/>
        </w:tabs>
      </w:pPr>
      <w:r>
        <w:tab/>
      </w:r>
      <w:r w:rsidRPr="002C58FF">
        <w:t xml:space="preserve">Workplace </w:t>
      </w:r>
      <w:r>
        <w:t xml:space="preserve">exposure </w:t>
      </w:r>
      <w:r w:rsidRPr="00422A9B">
        <w:t xml:space="preserve">standard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24687A" w:rsidRPr="0024687A">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4B145DDF" w14:textId="77777777" w:rsidTr="007D16A8">
        <w:trPr>
          <w:cantSplit/>
          <w:tblHeader/>
        </w:trPr>
        <w:tc>
          <w:tcPr>
            <w:tcW w:w="4005" w:type="dxa"/>
            <w:vAlign w:val="center"/>
          </w:tcPr>
          <w:p w14:paraId="261E930D" w14:textId="77777777" w:rsidR="002C7AFE" w:rsidRPr="002C58FF" w:rsidRDefault="00921DE7" w:rsidP="00921DE7">
            <w:pPr>
              <w:pStyle w:val="Tablerowright"/>
            </w:pPr>
            <w:r>
              <w:t>TWA:</w:t>
            </w:r>
          </w:p>
        </w:tc>
        <w:tc>
          <w:tcPr>
            <w:tcW w:w="5021" w:type="dxa"/>
          </w:tcPr>
          <w:p w14:paraId="7DFC173C" w14:textId="468DCE76" w:rsidR="002C7AFE" w:rsidRPr="000371E0" w:rsidRDefault="00796289" w:rsidP="00017C82">
            <w:pPr>
              <w:pStyle w:val="Tablefont"/>
              <w:rPr>
                <w:b/>
              </w:rPr>
            </w:pPr>
            <w:r w:rsidRPr="000371E0">
              <w:rPr>
                <w:b/>
              </w:rPr>
              <w:t xml:space="preserve">3.1 </w:t>
            </w:r>
            <w:r w:rsidRPr="000371E0">
              <w:rPr>
                <w:rFonts w:cs="Arial"/>
                <w:b/>
              </w:rPr>
              <w:t>µ</w:t>
            </w:r>
            <w:r w:rsidRPr="000371E0">
              <w:rPr>
                <w:b/>
              </w:rPr>
              <w:t>g/</w:t>
            </w:r>
            <w:proofErr w:type="spellStart"/>
            <w:r w:rsidRPr="000371E0">
              <w:rPr>
                <w:b/>
              </w:rPr>
              <w:t>m</w:t>
            </w:r>
            <w:r w:rsidRPr="000371E0">
              <w:rPr>
                <w:b/>
                <w:vertAlign w:val="superscript"/>
              </w:rPr>
              <w:t>3</w:t>
            </w:r>
            <w:proofErr w:type="spellEnd"/>
            <w:r w:rsidRPr="000371E0">
              <w:rPr>
                <w:b/>
              </w:rPr>
              <w:t xml:space="preserve"> (0.7 ppb)</w:t>
            </w:r>
          </w:p>
        </w:tc>
      </w:tr>
      <w:tr w:rsidR="00796289" w:rsidRPr="004C23F4" w14:paraId="647B55C7" w14:textId="77777777" w:rsidTr="007D16A8">
        <w:trPr>
          <w:cantSplit/>
        </w:trPr>
        <w:tc>
          <w:tcPr>
            <w:tcW w:w="4005" w:type="dxa"/>
            <w:vAlign w:val="center"/>
          </w:tcPr>
          <w:p w14:paraId="6761FE43" w14:textId="77777777" w:rsidR="00796289" w:rsidRPr="002C58FF" w:rsidRDefault="00796289" w:rsidP="00796289">
            <w:pPr>
              <w:pStyle w:val="Tablerowright"/>
            </w:pPr>
            <w:r w:rsidRPr="002C58FF">
              <w:t>STEL</w:t>
            </w:r>
            <w:r>
              <w:t>:</w:t>
            </w:r>
          </w:p>
        </w:tc>
        <w:tc>
          <w:tcPr>
            <w:tcW w:w="5021" w:type="dxa"/>
          </w:tcPr>
          <w:p w14:paraId="356450C5" w14:textId="0FCA5CBF" w:rsidR="00796289" w:rsidRPr="00B55167" w:rsidRDefault="00796289" w:rsidP="00796289">
            <w:pPr>
              <w:pStyle w:val="Tablefont"/>
              <w:rPr>
                <w:b/>
              </w:rPr>
            </w:pPr>
            <w:r w:rsidRPr="00546E66">
              <w:rPr>
                <w:b/>
              </w:rPr>
              <w:t>—</w:t>
            </w:r>
          </w:p>
        </w:tc>
      </w:tr>
      <w:tr w:rsidR="002C7AFE" w:rsidRPr="004C23F4" w14:paraId="0664834A" w14:textId="77777777" w:rsidTr="007D16A8">
        <w:trPr>
          <w:cantSplit/>
        </w:trPr>
        <w:tc>
          <w:tcPr>
            <w:tcW w:w="4005" w:type="dxa"/>
            <w:vAlign w:val="center"/>
          </w:tcPr>
          <w:p w14:paraId="6A96A6AE" w14:textId="77777777" w:rsidR="002C7AFE" w:rsidRPr="002C58FF" w:rsidRDefault="00921DE7" w:rsidP="00921DE7">
            <w:pPr>
              <w:pStyle w:val="Tablerowright"/>
            </w:pPr>
            <w:r>
              <w:t>Peak limitation:</w:t>
            </w:r>
          </w:p>
        </w:tc>
        <w:tc>
          <w:tcPr>
            <w:tcW w:w="5021" w:type="dxa"/>
          </w:tcPr>
          <w:p w14:paraId="308556ED" w14:textId="390EBC62" w:rsidR="002C7AFE" w:rsidRPr="007D16A8" w:rsidRDefault="00ED57B3" w:rsidP="00017C82">
            <w:pPr>
              <w:pStyle w:val="Tablefont"/>
              <w:rPr>
                <w:b/>
              </w:rPr>
            </w:pPr>
            <w:r w:rsidRPr="00546E66">
              <w:rPr>
                <w:b/>
              </w:rPr>
              <w:t>—</w:t>
            </w:r>
          </w:p>
        </w:tc>
      </w:tr>
      <w:tr w:rsidR="002C7AFE" w:rsidRPr="004C23F4" w14:paraId="19B4B495" w14:textId="77777777" w:rsidTr="007D16A8">
        <w:trPr>
          <w:cantSplit/>
        </w:trPr>
        <w:tc>
          <w:tcPr>
            <w:tcW w:w="4005" w:type="dxa"/>
          </w:tcPr>
          <w:p w14:paraId="590D6268"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71851648" w14:textId="04595293" w:rsidR="002C7AFE" w:rsidRPr="00546E66" w:rsidRDefault="00ED57B3" w:rsidP="008A36CF">
            <w:pPr>
              <w:pStyle w:val="Tablefont"/>
              <w:rPr>
                <w:b/>
              </w:rPr>
            </w:pPr>
            <w:proofErr w:type="spellStart"/>
            <w:r w:rsidRPr="00546E66">
              <w:rPr>
                <w:b/>
              </w:rPr>
              <w:t>Ca</w:t>
            </w:r>
            <w:r w:rsidR="001859D5">
              <w:rPr>
                <w:b/>
              </w:rPr>
              <w:t>rc</w:t>
            </w:r>
            <w:proofErr w:type="spellEnd"/>
            <w:r w:rsidR="001859D5">
              <w:rPr>
                <w:b/>
              </w:rPr>
              <w:t xml:space="preserve">. </w:t>
            </w:r>
            <w:proofErr w:type="spellStart"/>
            <w:r w:rsidR="001859D5">
              <w:rPr>
                <w:b/>
              </w:rPr>
              <w:t>1</w:t>
            </w:r>
            <w:r w:rsidR="00AA3CF2" w:rsidRPr="00546E66">
              <w:rPr>
                <w:b/>
              </w:rPr>
              <w:t>B</w:t>
            </w:r>
            <w:proofErr w:type="spellEnd"/>
            <w:r w:rsidR="009C36F9">
              <w:rPr>
                <w:b/>
              </w:rPr>
              <w:t xml:space="preserve">, Sk. </w:t>
            </w:r>
          </w:p>
        </w:tc>
      </w:tr>
      <w:tr w:rsidR="00796289" w:rsidRPr="004C23F4" w14:paraId="0EA4B9C3" w14:textId="77777777" w:rsidTr="007D16A8">
        <w:trPr>
          <w:cantSplit/>
        </w:trPr>
        <w:tc>
          <w:tcPr>
            <w:tcW w:w="4005" w:type="dxa"/>
            <w:vAlign w:val="center"/>
          </w:tcPr>
          <w:p w14:paraId="44806550" w14:textId="77777777" w:rsidR="00796289" w:rsidRPr="002C58FF" w:rsidRDefault="00796289" w:rsidP="00796289">
            <w:pPr>
              <w:pStyle w:val="Tablerowright"/>
            </w:pPr>
            <w:proofErr w:type="spellStart"/>
            <w:r>
              <w:t>IDLH</w:t>
            </w:r>
            <w:proofErr w:type="spellEnd"/>
            <w:r>
              <w:t>:</w:t>
            </w:r>
          </w:p>
        </w:tc>
        <w:tc>
          <w:tcPr>
            <w:tcW w:w="5021" w:type="dxa"/>
          </w:tcPr>
          <w:p w14:paraId="0CBB75D9" w14:textId="7425CB16" w:rsidR="00796289" w:rsidRPr="00546E66" w:rsidRDefault="00796289" w:rsidP="00796289">
            <w:pPr>
              <w:pStyle w:val="Tablefont"/>
              <w:rPr>
                <w:b/>
              </w:rPr>
            </w:pPr>
            <w:r w:rsidRPr="00546E66">
              <w:rPr>
                <w:b/>
              </w:rPr>
              <w:t>—</w:t>
            </w:r>
          </w:p>
        </w:tc>
      </w:tr>
      <w:tr w:rsidR="00796289" w:rsidRPr="004C23F4" w14:paraId="5411735C" w14:textId="77777777" w:rsidTr="00863DA6">
        <w:trPr>
          <w:cantSplit/>
        </w:trPr>
        <w:tc>
          <w:tcPr>
            <w:tcW w:w="9026" w:type="dxa"/>
            <w:gridSpan w:val="2"/>
            <w:vAlign w:val="center"/>
          </w:tcPr>
          <w:p w14:paraId="5490DA3F" w14:textId="5CFF7530" w:rsidR="00796289" w:rsidRPr="00EB3D1B" w:rsidRDefault="00796289" w:rsidP="00796289">
            <w:pPr>
              <w:pStyle w:val="Tablerowright"/>
              <w:jc w:val="left"/>
            </w:pPr>
            <w:r>
              <w:t>Sampling and analysis:</w:t>
            </w:r>
            <w:r w:rsidRPr="00EC521E">
              <w:rPr>
                <w:rStyle w:val="WESstatus"/>
                <w:color w:val="auto"/>
              </w:rPr>
              <w:t xml:space="preserve"> </w:t>
            </w:r>
            <w:sdt>
              <w:sdtPr>
                <w:rPr>
                  <w:rStyle w:val="WESstatus"/>
                  <w:b w:val="0"/>
                  <w:color w:val="auto"/>
                </w:rPr>
                <w:id w:val="-2105258949"/>
                <w:placeholder>
                  <w:docPart w:val="EC151BAA6F844D4981EE1F3EC2C5BCF7"/>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b w:val="0"/>
                    <w:color w:val="auto"/>
                  </w:rPr>
                  <w:t>The recommended value is likely to be below the current limit of detection for standard sampling and analysis techniques.</w:t>
                </w:r>
              </w:sdtContent>
            </w:sdt>
            <w:r w:rsidDel="007D16A8">
              <w:t xml:space="preserve"> </w:t>
            </w:r>
          </w:p>
        </w:tc>
      </w:tr>
    </w:tbl>
    <w:p w14:paraId="3C836D69" w14:textId="77777777" w:rsidR="00CB1CB1" w:rsidRPr="003365A5" w:rsidRDefault="00F10C97" w:rsidP="003365A5">
      <w:pPr>
        <w:pStyle w:val="Heading2"/>
      </w:pPr>
      <w:r>
        <w:t>Recommendation and basis for workplace exposure standard</w:t>
      </w:r>
    </w:p>
    <w:p w14:paraId="19091895" w14:textId="313034A8" w:rsidR="006639B4" w:rsidRDefault="00FC5C40" w:rsidP="000C139A">
      <w:pPr>
        <w:rPr>
          <w:rFonts w:cs="Arial"/>
        </w:rPr>
      </w:pPr>
      <w:r w:rsidRPr="00B55167">
        <w:rPr>
          <w:rFonts w:cs="Arial"/>
        </w:rPr>
        <w:t>A</w:t>
      </w:r>
      <w:r w:rsidR="004538EC" w:rsidRPr="00B55167">
        <w:rPr>
          <w:rFonts w:cs="Arial"/>
        </w:rPr>
        <w:t xml:space="preserve"> TWA of </w:t>
      </w:r>
      <w:r w:rsidR="00796289">
        <w:t xml:space="preserve">3.1 </w:t>
      </w:r>
      <w:r w:rsidR="00796289">
        <w:rPr>
          <w:rFonts w:cs="Arial"/>
        </w:rPr>
        <w:t>µ</w:t>
      </w:r>
      <w:r w:rsidR="00796289">
        <w:t>g/</w:t>
      </w:r>
      <w:proofErr w:type="spellStart"/>
      <w:r w:rsidR="00796289">
        <w:t>m</w:t>
      </w:r>
      <w:r w:rsidR="00796289">
        <w:rPr>
          <w:vertAlign w:val="superscript"/>
        </w:rPr>
        <w:t>3</w:t>
      </w:r>
      <w:proofErr w:type="spellEnd"/>
      <w:r w:rsidR="00796289">
        <w:t xml:space="preserve"> (0.7 ppb) </w:t>
      </w:r>
      <w:r w:rsidR="004538EC" w:rsidRPr="00B55167">
        <w:rPr>
          <w:rFonts w:cs="Arial"/>
        </w:rPr>
        <w:t xml:space="preserve">is </w:t>
      </w:r>
      <w:r w:rsidR="00AA3CF2" w:rsidRPr="00B55167">
        <w:rPr>
          <w:rFonts w:cs="Arial"/>
        </w:rPr>
        <w:t xml:space="preserve">recommended </w:t>
      </w:r>
      <w:r w:rsidR="004538EC" w:rsidRPr="00B55167">
        <w:rPr>
          <w:rFonts w:cs="Arial"/>
        </w:rPr>
        <w:t xml:space="preserve">to </w:t>
      </w:r>
      <w:r w:rsidR="00796289">
        <w:rPr>
          <w:rFonts w:cs="Arial"/>
        </w:rPr>
        <w:t>minimise the risk of cancer</w:t>
      </w:r>
      <w:r w:rsidR="00635241" w:rsidRPr="00B55167">
        <w:rPr>
          <w:rFonts w:cs="Arial"/>
        </w:rPr>
        <w:t xml:space="preserve"> </w:t>
      </w:r>
      <w:r w:rsidRPr="00B55167">
        <w:rPr>
          <w:rFonts w:cs="Arial"/>
        </w:rPr>
        <w:t>in exposed workers</w:t>
      </w:r>
      <w:r w:rsidR="00635241" w:rsidRPr="00B55167">
        <w:rPr>
          <w:rFonts w:cs="Arial"/>
        </w:rPr>
        <w:t xml:space="preserve">. </w:t>
      </w:r>
    </w:p>
    <w:p w14:paraId="2160E015" w14:textId="08B4053F" w:rsidR="0020417C" w:rsidRPr="00B55167" w:rsidRDefault="0020417C" w:rsidP="000C139A">
      <w:pPr>
        <w:rPr>
          <w:rFonts w:cs="Arial"/>
        </w:rPr>
      </w:pPr>
      <w:r>
        <w:rPr>
          <w:rFonts w:cs="Arial"/>
        </w:rPr>
        <w:t xml:space="preserve">Given the </w:t>
      </w:r>
      <w:r w:rsidRPr="0020417C">
        <w:rPr>
          <w:rFonts w:cs="Arial"/>
        </w:rPr>
        <w:t>data available from the primary sources</w:t>
      </w:r>
      <w:r>
        <w:rPr>
          <w:rFonts w:cs="Arial"/>
        </w:rPr>
        <w:t xml:space="preserve"> </w:t>
      </w:r>
      <w:r w:rsidR="00304642">
        <w:rPr>
          <w:rFonts w:cs="Arial"/>
        </w:rPr>
        <w:t>regarding</w:t>
      </w:r>
      <w:r>
        <w:rPr>
          <w:rFonts w:cs="Arial"/>
        </w:rPr>
        <w:t xml:space="preserve"> the carcinogenicity of ethylene dichloride in humans</w:t>
      </w:r>
      <w:r w:rsidRPr="0020417C">
        <w:rPr>
          <w:rFonts w:cs="Arial"/>
        </w:rPr>
        <w:t>, it is recommended that a review of additional sources be conducted at the next scheduled review.</w:t>
      </w:r>
    </w:p>
    <w:p w14:paraId="0D00D1E4" w14:textId="77777777" w:rsidR="00C7155E" w:rsidRPr="00B55167" w:rsidRDefault="00F10C97" w:rsidP="003365A5">
      <w:pPr>
        <w:pStyle w:val="Heading2"/>
      </w:pPr>
      <w:r w:rsidRPr="00B55167">
        <w:t>Discussion and conclusions</w:t>
      </w:r>
    </w:p>
    <w:p w14:paraId="44E0856F" w14:textId="41706B61" w:rsidR="004972B5" w:rsidRDefault="00445242" w:rsidP="001859D5">
      <w:pPr>
        <w:rPr>
          <w:rFonts w:cs="Arial"/>
        </w:rPr>
      </w:pPr>
      <w:r w:rsidRPr="001859D5">
        <w:rPr>
          <w:rFonts w:cs="Arial"/>
        </w:rPr>
        <w:t xml:space="preserve">Ethylene </w:t>
      </w:r>
      <w:r w:rsidR="004972B5">
        <w:rPr>
          <w:rFonts w:cs="Arial"/>
        </w:rPr>
        <w:t>d</w:t>
      </w:r>
      <w:r w:rsidRPr="001859D5">
        <w:rPr>
          <w:rFonts w:cs="Arial"/>
        </w:rPr>
        <w:t xml:space="preserve">ichloride </w:t>
      </w:r>
      <w:r w:rsidR="00B60638">
        <w:rPr>
          <w:rFonts w:cs="Arial"/>
        </w:rPr>
        <w:t>has been</w:t>
      </w:r>
      <w:r w:rsidRPr="001859D5">
        <w:rPr>
          <w:rFonts w:cs="Arial"/>
        </w:rPr>
        <w:t xml:space="preserve"> used as a</w:t>
      </w:r>
      <w:r w:rsidR="006B7043" w:rsidRPr="001859D5">
        <w:rPr>
          <w:rFonts w:cs="Arial"/>
        </w:rPr>
        <w:t xml:space="preserve"> degreaser, fumigant, solvent and as a</w:t>
      </w:r>
      <w:r w:rsidRPr="001859D5">
        <w:rPr>
          <w:rFonts w:cs="Arial"/>
        </w:rPr>
        <w:t>n intermediate in the production of vinyl chloride</w:t>
      </w:r>
      <w:r w:rsidR="006B7043" w:rsidRPr="001859D5">
        <w:rPr>
          <w:rFonts w:cs="Arial"/>
        </w:rPr>
        <w:t xml:space="preserve"> (</w:t>
      </w:r>
      <w:proofErr w:type="spellStart"/>
      <w:r w:rsidR="006B7043" w:rsidRPr="001859D5">
        <w:rPr>
          <w:rFonts w:cs="Arial"/>
        </w:rPr>
        <w:t>ACGIH</w:t>
      </w:r>
      <w:proofErr w:type="spellEnd"/>
      <w:r w:rsidR="006B7043" w:rsidRPr="001859D5">
        <w:rPr>
          <w:rFonts w:cs="Arial"/>
        </w:rPr>
        <w:t>, 2018)</w:t>
      </w:r>
      <w:r w:rsidRPr="001859D5">
        <w:rPr>
          <w:rFonts w:cs="Arial"/>
        </w:rPr>
        <w:t xml:space="preserve">. </w:t>
      </w:r>
    </w:p>
    <w:p w14:paraId="15B2EDEE" w14:textId="7C388D5A" w:rsidR="001859D5" w:rsidRPr="00314520" w:rsidRDefault="0020417C" w:rsidP="001859D5">
      <w:pPr>
        <w:rPr>
          <w:rFonts w:cs="Arial"/>
        </w:rPr>
      </w:pPr>
      <w:r>
        <w:t>Ethylene dichloride</w:t>
      </w:r>
      <w:r w:rsidR="004972B5">
        <w:t xml:space="preserve"> is carcinogenic in animals </w:t>
      </w:r>
      <w:r>
        <w:t xml:space="preserve">through multiple routes of exposure </w:t>
      </w:r>
      <w:r w:rsidR="004972B5">
        <w:t xml:space="preserve">and it is assumed to have carcinogenic potential in humans by some sources. </w:t>
      </w:r>
      <w:proofErr w:type="spellStart"/>
      <w:r w:rsidR="004972B5">
        <w:t>ACGIH</w:t>
      </w:r>
      <w:proofErr w:type="spellEnd"/>
      <w:r w:rsidR="004972B5">
        <w:t xml:space="preserve"> (2018) classify </w:t>
      </w:r>
      <w:r w:rsidR="00F11B80">
        <w:t>its</w:t>
      </w:r>
      <w:r w:rsidR="004972B5">
        <w:t xml:space="preserve"> carcinogenicity as non-classifiable to humans</w:t>
      </w:r>
      <w:r>
        <w:t xml:space="preserve"> and </w:t>
      </w:r>
      <w:proofErr w:type="spellStart"/>
      <w:r>
        <w:t>SCOEL</w:t>
      </w:r>
      <w:proofErr w:type="spellEnd"/>
      <w:r>
        <w:t xml:space="preserve"> (2016) note that human carcinogenicity potential is not well characterised</w:t>
      </w:r>
      <w:r w:rsidR="004972B5">
        <w:t xml:space="preserve">. However, </w:t>
      </w:r>
      <w:proofErr w:type="spellStart"/>
      <w:r>
        <w:t>DFG</w:t>
      </w:r>
      <w:proofErr w:type="spellEnd"/>
      <w:r>
        <w:t xml:space="preserve"> (2013</w:t>
      </w:r>
      <w:r w:rsidR="00E958E3">
        <w:t>)</w:t>
      </w:r>
      <w:r>
        <w:t xml:space="preserve"> and </w:t>
      </w:r>
      <w:proofErr w:type="spellStart"/>
      <w:r w:rsidR="004972B5">
        <w:t>NICNAS</w:t>
      </w:r>
      <w:proofErr w:type="spellEnd"/>
      <w:r w:rsidR="004972B5">
        <w:t xml:space="preserve"> (2013) </w:t>
      </w:r>
      <w:r>
        <w:t xml:space="preserve">cite the critical effects </w:t>
      </w:r>
      <w:r w:rsidR="00E958E3">
        <w:t>in</w:t>
      </w:r>
      <w:r>
        <w:t xml:space="preserve"> humans as carcinogenicity and genotoxicity</w:t>
      </w:r>
      <w:r w:rsidR="001859D5">
        <w:t xml:space="preserve">. </w:t>
      </w:r>
      <w:r w:rsidR="001859D5">
        <w:rPr>
          <w:rStyle w:val="checkbox"/>
          <w:rFonts w:ascii="Arial" w:hAnsi="Arial" w:cs="Arial"/>
        </w:rPr>
        <w:t>M</w:t>
      </w:r>
      <w:r w:rsidR="001859D5" w:rsidRPr="00696909">
        <w:rPr>
          <w:rStyle w:val="checkbox"/>
          <w:rFonts w:ascii="Arial" w:hAnsi="Arial" w:cs="Arial"/>
        </w:rPr>
        <w:t>utagenicity</w:t>
      </w:r>
      <w:r w:rsidR="001859D5">
        <w:rPr>
          <w:rStyle w:val="checkbox"/>
          <w:rFonts w:ascii="Arial" w:hAnsi="Arial" w:cs="Arial"/>
        </w:rPr>
        <w:t xml:space="preserve"> </w:t>
      </w:r>
      <w:r w:rsidR="004972B5">
        <w:rPr>
          <w:rStyle w:val="checkbox"/>
          <w:rFonts w:ascii="Arial" w:hAnsi="Arial" w:cs="Arial"/>
        </w:rPr>
        <w:t>is</w:t>
      </w:r>
      <w:r w:rsidR="001859D5" w:rsidRPr="00696909">
        <w:rPr>
          <w:rStyle w:val="checkbox"/>
          <w:rFonts w:ascii="Arial" w:hAnsi="Arial" w:cs="Arial"/>
        </w:rPr>
        <w:t xml:space="preserve"> demonstrated in both </w:t>
      </w:r>
      <w:r w:rsidR="001859D5" w:rsidRPr="00696909">
        <w:rPr>
          <w:rStyle w:val="checkbox"/>
          <w:rFonts w:ascii="Arial" w:hAnsi="Arial" w:cs="Arial"/>
          <w:i/>
        </w:rPr>
        <w:t>in</w:t>
      </w:r>
      <w:r w:rsidR="0078136E">
        <w:rPr>
          <w:rStyle w:val="checkbox"/>
          <w:rFonts w:ascii="Arial" w:hAnsi="Arial" w:cs="Arial"/>
          <w:i/>
        </w:rPr>
        <w:t> </w:t>
      </w:r>
      <w:r w:rsidR="001859D5" w:rsidRPr="00696909">
        <w:rPr>
          <w:rStyle w:val="checkbox"/>
          <w:rFonts w:ascii="Arial" w:hAnsi="Arial" w:cs="Arial"/>
          <w:i/>
        </w:rPr>
        <w:t>vitro</w:t>
      </w:r>
      <w:r w:rsidR="001859D5" w:rsidRPr="00696909">
        <w:rPr>
          <w:rStyle w:val="checkbox"/>
          <w:rFonts w:ascii="Arial" w:hAnsi="Arial" w:cs="Arial"/>
        </w:rPr>
        <w:t xml:space="preserve"> and </w:t>
      </w:r>
      <w:r w:rsidR="001859D5" w:rsidRPr="00696909">
        <w:rPr>
          <w:rStyle w:val="checkbox"/>
          <w:rFonts w:ascii="Arial" w:hAnsi="Arial" w:cs="Arial"/>
          <w:i/>
        </w:rPr>
        <w:t>in vivo</w:t>
      </w:r>
      <w:r w:rsidR="001859D5">
        <w:rPr>
          <w:rStyle w:val="checkbox"/>
          <w:rFonts w:ascii="Arial" w:hAnsi="Arial" w:cs="Arial"/>
        </w:rPr>
        <w:t xml:space="preserve">. </w:t>
      </w:r>
      <w:r w:rsidR="004972B5">
        <w:rPr>
          <w:rStyle w:val="checkbox"/>
          <w:rFonts w:ascii="Arial" w:hAnsi="Arial" w:cs="Arial"/>
        </w:rPr>
        <w:t xml:space="preserve">The mechanism of action for </w:t>
      </w:r>
      <w:r w:rsidR="004972B5">
        <w:rPr>
          <w:rFonts w:cs="Arial"/>
        </w:rPr>
        <w:t>c</w:t>
      </w:r>
      <w:r w:rsidR="001859D5" w:rsidRPr="00314520">
        <w:rPr>
          <w:rFonts w:cs="Arial"/>
        </w:rPr>
        <w:t xml:space="preserve">arcinogenicity </w:t>
      </w:r>
      <w:r w:rsidR="001859D5">
        <w:rPr>
          <w:rFonts w:cs="Arial"/>
        </w:rPr>
        <w:t>may</w:t>
      </w:r>
      <w:r w:rsidR="001859D5" w:rsidRPr="00314520">
        <w:rPr>
          <w:rFonts w:cs="Arial"/>
        </w:rPr>
        <w:t xml:space="preserve"> act </w:t>
      </w:r>
      <w:r w:rsidR="001859D5" w:rsidRPr="0020417C">
        <w:rPr>
          <w:rFonts w:cs="Arial"/>
          <w:i/>
        </w:rPr>
        <w:t>via</w:t>
      </w:r>
      <w:r w:rsidR="001859D5" w:rsidRPr="00314520">
        <w:rPr>
          <w:rFonts w:cs="Arial"/>
        </w:rPr>
        <w:t xml:space="preserve"> a mutagenic mode of action </w:t>
      </w:r>
      <w:r w:rsidR="00B60638">
        <w:rPr>
          <w:rFonts w:cs="Arial"/>
        </w:rPr>
        <w:t>(</w:t>
      </w:r>
      <w:proofErr w:type="spellStart"/>
      <w:r w:rsidR="00B60638">
        <w:rPr>
          <w:rFonts w:cs="Arial"/>
        </w:rPr>
        <w:t>DFG</w:t>
      </w:r>
      <w:proofErr w:type="spellEnd"/>
      <w:r w:rsidR="00B60638">
        <w:rPr>
          <w:rFonts w:cs="Arial"/>
        </w:rPr>
        <w:t xml:space="preserve">, 2013; </w:t>
      </w:r>
      <w:proofErr w:type="spellStart"/>
      <w:r w:rsidR="001859D5">
        <w:rPr>
          <w:rFonts w:cs="Arial"/>
        </w:rPr>
        <w:t>NICNAS</w:t>
      </w:r>
      <w:proofErr w:type="spellEnd"/>
      <w:r w:rsidR="001859D5">
        <w:rPr>
          <w:rFonts w:cs="Arial"/>
        </w:rPr>
        <w:t xml:space="preserve">, 2014; </w:t>
      </w:r>
      <w:proofErr w:type="spellStart"/>
      <w:r w:rsidR="001859D5">
        <w:rPr>
          <w:rFonts w:cs="Arial"/>
        </w:rPr>
        <w:t>SCOEL</w:t>
      </w:r>
      <w:proofErr w:type="spellEnd"/>
      <w:r w:rsidR="001859D5">
        <w:rPr>
          <w:rFonts w:cs="Arial"/>
        </w:rPr>
        <w:t xml:space="preserve"> 2016; US EPA, 1987</w:t>
      </w:r>
      <w:r w:rsidR="001859D5" w:rsidRPr="00314520">
        <w:rPr>
          <w:rFonts w:cs="Arial"/>
        </w:rPr>
        <w:t>).</w:t>
      </w:r>
      <w:r>
        <w:rPr>
          <w:rFonts w:cs="Arial"/>
        </w:rPr>
        <w:t xml:space="preserve"> For the purposes of this assessment, ethylene dichloride is assumed to be a non-threshold-based genotoxic carcinogen.</w:t>
      </w:r>
    </w:p>
    <w:p w14:paraId="0C5E7EF5" w14:textId="50600840" w:rsidR="001859D5" w:rsidRDefault="0078136E" w:rsidP="001859D5">
      <w:r>
        <w:t>T</w:t>
      </w:r>
      <w:r w:rsidR="001859D5" w:rsidRPr="00314520">
        <w:t xml:space="preserve">he recommended TWA </w:t>
      </w:r>
      <w:r w:rsidR="0020417C">
        <w:t>is</w:t>
      </w:r>
      <w:r w:rsidR="001859D5" w:rsidRPr="00314520">
        <w:t xml:space="preserve"> derived at a minimal cancer risk level </w:t>
      </w:r>
      <w:r w:rsidR="0020417C">
        <w:t xml:space="preserve">through </w:t>
      </w:r>
      <w:r w:rsidR="001859D5">
        <w:t>application of an inhalation slope factor</w:t>
      </w:r>
      <w:r w:rsidR="001859D5" w:rsidRPr="00314520">
        <w:t xml:space="preserve"> </w:t>
      </w:r>
      <w:r w:rsidR="001859D5">
        <w:t xml:space="preserve">derived from a chronic oral study that identified a </w:t>
      </w:r>
      <w:r w:rsidR="001859D5">
        <w:rPr>
          <w:rStyle w:val="checkbox"/>
          <w:rFonts w:ascii="Arial" w:hAnsi="Arial" w:cs="Arial"/>
        </w:rPr>
        <w:t>dose-dependent and significant increase in incidence of tumours in dosed animals</w:t>
      </w:r>
      <w:r w:rsidR="001859D5">
        <w:t xml:space="preserve">. The study was considered adequate, with </w:t>
      </w:r>
      <w:proofErr w:type="gramStart"/>
      <w:r w:rsidR="001859D5">
        <w:t>a sufficient number of</w:t>
      </w:r>
      <w:proofErr w:type="gramEnd"/>
      <w:r w:rsidR="001859D5">
        <w:t xml:space="preserve"> animals treated for less than lifetime and observed until death (US</w:t>
      </w:r>
      <w:r w:rsidR="00A640BD">
        <w:t xml:space="preserve"> </w:t>
      </w:r>
      <w:r w:rsidR="001859D5">
        <w:t>EPA,</w:t>
      </w:r>
      <w:r>
        <w:t> </w:t>
      </w:r>
      <w:r w:rsidR="001859D5">
        <w:t>1987</w:t>
      </w:r>
      <w:r w:rsidR="001859D5" w:rsidRPr="00314520">
        <w:t>).</w:t>
      </w:r>
    </w:p>
    <w:p w14:paraId="362B9F56" w14:textId="543BF139" w:rsidR="0020417C" w:rsidRPr="00314520" w:rsidRDefault="0020417C" w:rsidP="001859D5">
      <w:pPr>
        <w:rPr>
          <w:rFonts w:cs="Arial"/>
        </w:rPr>
      </w:pPr>
      <w:r>
        <w:t>Noting there are inconsistent data and decisions about the carcinogenicity potential of ethylene dichloride in humans, it is recommended that an investigation of additional data sources is undertaken at the next scheduled review.</w:t>
      </w:r>
    </w:p>
    <w:p w14:paraId="2FA259E5" w14:textId="1537FF05" w:rsidR="004529F0" w:rsidRPr="004C23F4" w:rsidRDefault="004529F0" w:rsidP="004529F0">
      <w:pPr>
        <w:pStyle w:val="Heading2"/>
      </w:pPr>
      <w:r>
        <w:lastRenderedPageBreak/>
        <w:t>Recommendation for notations</w:t>
      </w:r>
    </w:p>
    <w:p w14:paraId="6E4B4AC0" w14:textId="4910D655" w:rsidR="000B3DA2" w:rsidRPr="00A70823" w:rsidRDefault="00D16A42" w:rsidP="000B3DA2">
      <w:pPr>
        <w:rPr>
          <w:rFonts w:cs="Arial"/>
        </w:rPr>
      </w:pPr>
      <w:r>
        <w:rPr>
          <w:rFonts w:cs="Arial"/>
        </w:rPr>
        <w:t>Cl</w:t>
      </w:r>
      <w:r w:rsidR="00ED57B3">
        <w:rPr>
          <w:rFonts w:cs="Arial"/>
        </w:rPr>
        <w:t xml:space="preserve">assified </w:t>
      </w:r>
      <w:r w:rsidR="000B3DA2" w:rsidRPr="00A70823">
        <w:rPr>
          <w:rFonts w:cs="Arial"/>
        </w:rPr>
        <w:t xml:space="preserve">as </w:t>
      </w:r>
      <w:r w:rsidR="00FF135B">
        <w:rPr>
          <w:rFonts w:cs="Arial"/>
        </w:rPr>
        <w:t xml:space="preserve">a </w:t>
      </w:r>
      <w:r>
        <w:rPr>
          <w:rFonts w:cs="Arial"/>
        </w:rPr>
        <w:t xml:space="preserve">category </w:t>
      </w:r>
      <w:proofErr w:type="spellStart"/>
      <w:r w:rsidR="001859D5">
        <w:rPr>
          <w:rFonts w:cs="Arial"/>
        </w:rPr>
        <w:t>1B</w:t>
      </w:r>
      <w:proofErr w:type="spellEnd"/>
      <w:r>
        <w:rPr>
          <w:rFonts w:cs="Arial"/>
        </w:rPr>
        <w:t xml:space="preserve"> carcinogen </w:t>
      </w:r>
      <w:r w:rsidR="000B3DA2" w:rsidRPr="00A70823">
        <w:rPr>
          <w:rFonts w:cs="Arial"/>
        </w:rPr>
        <w:t>according to the Globally Harmonized System of Classification and Labelling o</w:t>
      </w:r>
      <w:r w:rsidR="007D16A8">
        <w:rPr>
          <w:rFonts w:cs="Arial"/>
        </w:rPr>
        <w:t>f</w:t>
      </w:r>
      <w:r w:rsidR="000B3DA2" w:rsidRPr="00A70823">
        <w:rPr>
          <w:rFonts w:cs="Arial"/>
        </w:rPr>
        <w:t xml:space="preserve"> Chemicals (GHS). </w:t>
      </w:r>
    </w:p>
    <w:p w14:paraId="597F86E8" w14:textId="1BF4E047" w:rsidR="000B3DA2" w:rsidRPr="00A70823" w:rsidRDefault="000B3DA2" w:rsidP="000B3DA2">
      <w:pPr>
        <w:rPr>
          <w:rFonts w:cs="Arial"/>
        </w:rPr>
      </w:pPr>
      <w:r w:rsidRPr="00A70823">
        <w:rPr>
          <w:rFonts w:cs="Arial"/>
        </w:rPr>
        <w:t>Not classified as a skin</w:t>
      </w:r>
      <w:r w:rsidR="0041265C" w:rsidRPr="0041265C">
        <w:rPr>
          <w:rFonts w:cs="Arial"/>
        </w:rPr>
        <w:t xml:space="preserve"> </w:t>
      </w:r>
      <w:r w:rsidR="0041265C" w:rsidRPr="007034F3">
        <w:rPr>
          <w:rFonts w:cs="Arial"/>
        </w:rPr>
        <w:t>sensitiser</w:t>
      </w:r>
      <w:r w:rsidRPr="00A70823">
        <w:rPr>
          <w:rFonts w:cs="Arial"/>
        </w:rPr>
        <w:t xml:space="preserve"> or respiratory sensitiser according to the GHS.</w:t>
      </w:r>
    </w:p>
    <w:p w14:paraId="25383F26" w14:textId="01FDDCD1" w:rsidR="0025734A" w:rsidRPr="004C23F4" w:rsidRDefault="009C36F9">
      <w:pPr>
        <w:rPr>
          <w:rFonts w:cs="Arial"/>
        </w:rPr>
      </w:pPr>
      <w:r w:rsidRPr="009C36F9">
        <w:rPr>
          <w:rFonts w:cs="Arial"/>
        </w:rPr>
        <w:t xml:space="preserve">A skin notation </w:t>
      </w:r>
      <w:r>
        <w:rPr>
          <w:rFonts w:cs="Arial"/>
        </w:rPr>
        <w:t xml:space="preserve">is </w:t>
      </w:r>
      <w:r w:rsidRPr="009C36F9">
        <w:rPr>
          <w:rFonts w:cs="Arial"/>
        </w:rPr>
        <w:t>recommended based on evidence suggesting</w:t>
      </w:r>
      <w:r>
        <w:rPr>
          <w:rFonts w:cs="Arial"/>
        </w:rPr>
        <w:t xml:space="preserve"> rapid</w:t>
      </w:r>
      <w:r w:rsidRPr="009C36F9">
        <w:rPr>
          <w:rFonts w:cs="Arial"/>
        </w:rPr>
        <w:t xml:space="preserve"> dermal absorption and </w:t>
      </w:r>
      <w:r>
        <w:rPr>
          <w:rFonts w:cs="Arial"/>
        </w:rPr>
        <w:t xml:space="preserve">likely </w:t>
      </w:r>
      <w:r w:rsidRPr="009C36F9">
        <w:rPr>
          <w:rFonts w:cs="Arial"/>
        </w:rPr>
        <w:t>adverse systemic effects in animals.</w:t>
      </w:r>
    </w:p>
    <w:p w14:paraId="054F8536"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56B620E3"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24188E1E"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688A950B" w14:textId="77777777" w:rsidTr="00DE26E8">
        <w:trPr>
          <w:gridAfter w:val="1"/>
          <w:wAfter w:w="8" w:type="pct"/>
          <w:cantSplit/>
          <w:trHeight w:val="393"/>
          <w:tblHeader/>
        </w:trPr>
        <w:tc>
          <w:tcPr>
            <w:tcW w:w="4992" w:type="pct"/>
            <w:shd w:val="clear" w:color="auto" w:fill="BFBFBF" w:themeFill="background1" w:themeFillShade="BF"/>
            <w:vAlign w:val="center"/>
          </w:tcPr>
          <w:p w14:paraId="5D10CCB8"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2A76513D" w14:textId="77777777" w:rsidTr="00DE26E8">
        <w:trPr>
          <w:cantSplit/>
        </w:trPr>
        <w:tc>
          <w:tcPr>
            <w:tcW w:w="5000" w:type="pct"/>
            <w:gridSpan w:val="2"/>
            <w:shd w:val="clear" w:color="auto" w:fill="F2F2F2" w:themeFill="background1" w:themeFillShade="F2"/>
          </w:tcPr>
          <w:p w14:paraId="2784BDE9" w14:textId="0B025798"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0B3DA2">
                  <w:t>1991</w:t>
                </w:r>
              </w:sdtContent>
            </w:sdt>
            <w:r w:rsidRPr="003365A5">
              <w:tab/>
            </w:r>
            <w:r>
              <w:tab/>
            </w:r>
            <w:sdt>
              <w:sdtPr>
                <w:alias w:val="SWA WES"/>
                <w:tag w:val="SWA WES"/>
                <w:id w:val="857077202"/>
                <w:placeholder>
                  <w:docPart w:val="81CFEC2FDBC5451289F394E66D92D1A0"/>
                </w:placeholder>
              </w:sdtPr>
              <w:sdtEndPr/>
              <w:sdtContent>
                <w:r w:rsidR="000B3DA2">
                  <w:t>TWA: 10 ppm (40 mg/</w:t>
                </w:r>
                <w:proofErr w:type="spellStart"/>
                <w:r w:rsidR="000B3DA2">
                  <w:t>m</w:t>
                </w:r>
                <w:r w:rsidR="000B3DA2" w:rsidRPr="000B3DA2">
                  <w:rPr>
                    <w:vertAlign w:val="superscript"/>
                  </w:rPr>
                  <w:t>3</w:t>
                </w:r>
                <w:proofErr w:type="spellEnd"/>
                <w:r w:rsidR="000B3DA2">
                  <w:t>)</w:t>
                </w:r>
              </w:sdtContent>
            </w:sdt>
          </w:p>
        </w:tc>
      </w:tr>
      <w:tr w:rsidR="00C978F0" w:rsidRPr="00DA352E" w14:paraId="51771E74" w14:textId="77777777" w:rsidTr="00DE26E8">
        <w:trPr>
          <w:gridAfter w:val="1"/>
          <w:wAfter w:w="8" w:type="pct"/>
          <w:cantSplit/>
        </w:trPr>
        <w:tc>
          <w:tcPr>
            <w:tcW w:w="4992" w:type="pct"/>
          </w:tcPr>
          <w:p w14:paraId="1817507A" w14:textId="77777777" w:rsidR="00C978F0" w:rsidRPr="00DA352E" w:rsidRDefault="00C978F0" w:rsidP="003365A5">
            <w:pPr>
              <w:pStyle w:val="Tabletextprimarysource"/>
            </w:pPr>
          </w:p>
        </w:tc>
      </w:tr>
      <w:tr w:rsidR="00C978F0" w:rsidRPr="00DA352E" w14:paraId="3BB36AD2" w14:textId="77777777" w:rsidTr="00DE26E8">
        <w:trPr>
          <w:gridAfter w:val="1"/>
          <w:wAfter w:w="8" w:type="pct"/>
          <w:cantSplit/>
        </w:trPr>
        <w:tc>
          <w:tcPr>
            <w:tcW w:w="4992" w:type="pct"/>
            <w:shd w:val="clear" w:color="auto" w:fill="F2F2F2" w:themeFill="background1" w:themeFillShade="F2"/>
          </w:tcPr>
          <w:p w14:paraId="61D82294" w14:textId="4DD591F4" w:rsidR="00C978F0" w:rsidRPr="00DA352E" w:rsidRDefault="00DA352E" w:rsidP="0051509C">
            <w:pPr>
              <w:pStyle w:val="Tablerowheadingitalic"/>
              <w:tabs>
                <w:tab w:val="clear" w:pos="2268"/>
                <w:tab w:val="clear" w:pos="5670"/>
                <w:tab w:val="left" w:pos="1418"/>
                <w:tab w:val="left" w:pos="2552"/>
              </w:tabs>
            </w:pPr>
            <w:proofErr w:type="spellStart"/>
            <w:r w:rsidRPr="00DA352E">
              <w:t>ACGIH</w:t>
            </w:r>
            <w:proofErr w:type="spellEnd"/>
            <w:r w:rsidR="00916EC0">
              <w:t xml:space="preserve"> </w:t>
            </w:r>
            <w:r w:rsidR="00916EC0" w:rsidRPr="003365A5">
              <w:tab/>
            </w:r>
            <w:sdt>
              <w:sdtPr>
                <w:id w:val="444816450"/>
                <w:placeholder>
                  <w:docPart w:val="C8FBF9621EB94FE084F687C8955AF85F"/>
                </w:placeholder>
                <w:text/>
              </w:sdtPr>
              <w:sdtEndPr/>
              <w:sdtContent>
                <w:r w:rsidR="002D79E3">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2D79E3">
                  <w:t>TLV-TWA: 10 ppm (40 mg/</w:t>
                </w:r>
                <w:proofErr w:type="spellStart"/>
                <w:r w:rsidR="002D79E3">
                  <w:t>m</w:t>
                </w:r>
                <w:r w:rsidR="002D79E3" w:rsidRPr="002D79E3">
                  <w:rPr>
                    <w:vertAlign w:val="superscript"/>
                  </w:rPr>
                  <w:t>3</w:t>
                </w:r>
                <w:proofErr w:type="spellEnd"/>
                <w:r w:rsidR="002D79E3">
                  <w:t>)</w:t>
                </w:r>
              </w:sdtContent>
            </w:sdt>
          </w:p>
        </w:tc>
      </w:tr>
      <w:tr w:rsidR="00C978F0" w:rsidRPr="00DA352E" w14:paraId="7A357F1F" w14:textId="77777777" w:rsidTr="00DE26E8">
        <w:trPr>
          <w:gridAfter w:val="1"/>
          <w:wAfter w:w="8" w:type="pct"/>
          <w:cantSplit/>
        </w:trPr>
        <w:tc>
          <w:tcPr>
            <w:tcW w:w="4992" w:type="pct"/>
          </w:tcPr>
          <w:p w14:paraId="7D13B76F" w14:textId="0C99F814" w:rsidR="00C978F0" w:rsidRDefault="00BC6486" w:rsidP="003365A5">
            <w:pPr>
              <w:pStyle w:val="Tabletextprimarysource"/>
            </w:pPr>
            <w:r>
              <w:t>Summary of data:</w:t>
            </w:r>
          </w:p>
          <w:p w14:paraId="09CEDD67" w14:textId="5183423E" w:rsidR="004538EC" w:rsidRDefault="004538EC" w:rsidP="003365A5">
            <w:pPr>
              <w:pStyle w:val="Tabletextprimarysource"/>
            </w:pPr>
            <w:r>
              <w:t>TLV-TWA is</w:t>
            </w:r>
            <w:r w:rsidR="0070799B">
              <w:t xml:space="preserve"> recommended</w:t>
            </w:r>
            <w:r>
              <w:t xml:space="preserve"> to protect against effects on the liver and CNS, symptoms include nausea, vomiting and dizziness. </w:t>
            </w:r>
            <w:r w:rsidR="0070799B">
              <w:t>R</w:t>
            </w:r>
            <w:r w:rsidR="00EA5C46">
              <w:t>epeated inhalation exposure at 200 ppm</w:t>
            </w:r>
            <w:r w:rsidR="003F1914">
              <w:t xml:space="preserve"> in animals</w:t>
            </w:r>
            <w:r w:rsidR="00EA5C46">
              <w:t xml:space="preserve"> </w:t>
            </w:r>
            <w:r w:rsidR="003F1914">
              <w:t>resulted in</w:t>
            </w:r>
            <w:r w:rsidR="00EA5C46">
              <w:t xml:space="preserve"> weight loss and liver damage, but </w:t>
            </w:r>
            <w:r w:rsidR="003F1914">
              <w:t xml:space="preserve">no symptoms observed following </w:t>
            </w:r>
            <w:r w:rsidR="00EA5C46">
              <w:t xml:space="preserve">exposure at 100 ppm </w:t>
            </w:r>
            <w:r w:rsidR="003F1914">
              <w:t>in</w:t>
            </w:r>
            <w:r w:rsidR="00EA5C46">
              <w:t xml:space="preserve"> rats. </w:t>
            </w:r>
          </w:p>
          <w:p w14:paraId="3153A93D" w14:textId="5D3106E6" w:rsidR="00757CAE" w:rsidRPr="004538EC" w:rsidRDefault="004972B5" w:rsidP="003365A5">
            <w:pPr>
              <w:pStyle w:val="Tabletextprimarysource"/>
            </w:pPr>
            <w:r>
              <w:t xml:space="preserve">Derivation of </w:t>
            </w:r>
            <w:r w:rsidR="00757CAE">
              <w:t xml:space="preserve">TLV-TWA </w:t>
            </w:r>
            <w:r>
              <w:t>is</w:t>
            </w:r>
            <w:r w:rsidR="00757CAE">
              <w:t xml:space="preserve"> not </w:t>
            </w:r>
            <w:r>
              <w:t>presented</w:t>
            </w:r>
            <w:r w:rsidR="00757CAE">
              <w:t>.</w:t>
            </w:r>
          </w:p>
          <w:p w14:paraId="6FE6A311" w14:textId="77777777" w:rsidR="00744E53" w:rsidRDefault="00744E53" w:rsidP="003365A5">
            <w:pPr>
              <w:pStyle w:val="Tabletextprimarysource"/>
            </w:pPr>
            <w:r>
              <w:t>Human data:</w:t>
            </w:r>
          </w:p>
          <w:p w14:paraId="7FD9EFDF" w14:textId="77777777" w:rsidR="004972B5" w:rsidRDefault="007D16A8" w:rsidP="00744E53">
            <w:pPr>
              <w:pStyle w:val="Tabletextprimarysource"/>
              <w:numPr>
                <w:ilvl w:val="0"/>
                <w:numId w:val="1"/>
              </w:numPr>
            </w:pPr>
            <w:r>
              <w:t xml:space="preserve">3 </w:t>
            </w:r>
            <w:r w:rsidR="00744E53">
              <w:t>fatalities following inhalation exposure</w:t>
            </w:r>
          </w:p>
          <w:p w14:paraId="32C5AFE7" w14:textId="3CE28F5B" w:rsidR="00744E53" w:rsidRDefault="00744E53" w:rsidP="004972B5">
            <w:pPr>
              <w:pStyle w:val="Tabletextprimarysource"/>
              <w:numPr>
                <w:ilvl w:val="0"/>
                <w:numId w:val="14"/>
              </w:numPr>
            </w:pPr>
            <w:r>
              <w:t xml:space="preserve">liver and kidney damage reported in all </w:t>
            </w:r>
            <w:r w:rsidR="004972B5">
              <w:t>3</w:t>
            </w:r>
            <w:r>
              <w:t xml:space="preserve"> and pulmonary </w:t>
            </w:r>
            <w:r w:rsidR="007D16A8">
              <w:t>oedema</w:t>
            </w:r>
            <w:r>
              <w:t xml:space="preserve"> in </w:t>
            </w:r>
            <w:r w:rsidR="007D16A8">
              <w:t>1</w:t>
            </w:r>
          </w:p>
          <w:p w14:paraId="682E3D71" w14:textId="0C474EB0" w:rsidR="00744E53" w:rsidRDefault="00744E53" w:rsidP="00744E53">
            <w:pPr>
              <w:pStyle w:val="Tabletextprimarysource"/>
              <w:numPr>
                <w:ilvl w:val="0"/>
                <w:numId w:val="1"/>
              </w:numPr>
            </w:pPr>
            <w:r>
              <w:t xml:space="preserve">Other cases involving occupational </w:t>
            </w:r>
            <w:r w:rsidR="00E958E3">
              <w:t>exposure</w:t>
            </w:r>
            <w:r>
              <w:t xml:space="preserve"> reported nausea and vomiting as the most common symptoms</w:t>
            </w:r>
          </w:p>
          <w:p w14:paraId="3FE40BC6" w14:textId="4C2BA77E" w:rsidR="00744E53" w:rsidRDefault="007D16A8" w:rsidP="00744E53">
            <w:pPr>
              <w:pStyle w:val="Tabletextprimarysource"/>
              <w:numPr>
                <w:ilvl w:val="0"/>
                <w:numId w:val="1"/>
              </w:numPr>
            </w:pPr>
            <w:r>
              <w:t>1</w:t>
            </w:r>
            <w:r w:rsidR="00547E3D">
              <w:t xml:space="preserve"> study reported symptoms including nausea, vomiting and dizziness in 1</w:t>
            </w:r>
            <w:r w:rsidR="004972B5">
              <w:t>/</w:t>
            </w:r>
            <w:r w:rsidR="00547E3D">
              <w:t>6 workers exposed between 10</w:t>
            </w:r>
            <w:r w:rsidR="00304642">
              <w:t>–</w:t>
            </w:r>
            <w:r w:rsidR="00547E3D">
              <w:t>37 ppm and notable blood changes in 8</w:t>
            </w:r>
            <w:r w:rsidR="004972B5">
              <w:t>/</w:t>
            </w:r>
            <w:r w:rsidR="00547E3D">
              <w:t xml:space="preserve">16 workers </w:t>
            </w:r>
          </w:p>
          <w:p w14:paraId="19DDF041" w14:textId="71D5BF4E" w:rsidR="00547E3D" w:rsidRDefault="003F1914" w:rsidP="00744E53">
            <w:pPr>
              <w:pStyle w:val="Tabletextprimarysource"/>
              <w:numPr>
                <w:ilvl w:val="0"/>
                <w:numId w:val="1"/>
              </w:numPr>
            </w:pPr>
            <w:r>
              <w:t>W</w:t>
            </w:r>
            <w:r w:rsidR="00926206">
              <w:t xml:space="preserve">orkers primarily exposed </w:t>
            </w:r>
            <w:r w:rsidR="004972B5">
              <w:t xml:space="preserve">at </w:t>
            </w:r>
            <w:r w:rsidR="00C64A55">
              <w:t>&lt;</w:t>
            </w:r>
            <w:r w:rsidR="00926206">
              <w:t xml:space="preserve">16 ppm (with few occurrences between </w:t>
            </w:r>
            <w:r w:rsidR="002B1A97">
              <w:t>30</w:t>
            </w:r>
            <w:r w:rsidR="00304642">
              <w:t>–</w:t>
            </w:r>
            <w:r w:rsidR="002B1A97">
              <w:t>50 ppm</w:t>
            </w:r>
            <w:r w:rsidR="00960040">
              <w:t>) experienced adverse</w:t>
            </w:r>
            <w:r w:rsidR="006744E8">
              <w:t xml:space="preserve"> effects</w:t>
            </w:r>
            <w:r w:rsidR="00960040">
              <w:t xml:space="preserve"> on the liver and </w:t>
            </w:r>
            <w:r w:rsidR="006744E8">
              <w:t>CNS</w:t>
            </w:r>
          </w:p>
          <w:p w14:paraId="2689FA0D" w14:textId="17235F98" w:rsidR="004972B5" w:rsidRDefault="003A08F6" w:rsidP="00744E53">
            <w:pPr>
              <w:pStyle w:val="Tabletextprimarysource"/>
              <w:numPr>
                <w:ilvl w:val="0"/>
                <w:numId w:val="1"/>
              </w:numPr>
            </w:pPr>
            <w:r>
              <w:t xml:space="preserve">100 workers </w:t>
            </w:r>
            <w:r w:rsidR="00C201CC">
              <w:t>exposed</w:t>
            </w:r>
            <w:r>
              <w:t xml:space="preserve"> </w:t>
            </w:r>
            <w:r w:rsidR="00C64A55">
              <w:t>&lt;</w:t>
            </w:r>
            <w:r>
              <w:t xml:space="preserve">25 ppm for 5 </w:t>
            </w:r>
            <w:r w:rsidR="007D16A8">
              <w:t>yr</w:t>
            </w:r>
            <w:r w:rsidR="004972B5">
              <w:t xml:space="preserve"> had</w:t>
            </w:r>
            <w:r>
              <w:t xml:space="preserve"> no significant blood or internal organ changes observed</w:t>
            </w:r>
          </w:p>
          <w:p w14:paraId="4C3CB7B6" w14:textId="431713E0" w:rsidR="003A08F6" w:rsidRDefault="003A08F6" w:rsidP="004972B5">
            <w:pPr>
              <w:pStyle w:val="Tabletextprimarysource"/>
              <w:numPr>
                <w:ilvl w:val="0"/>
                <w:numId w:val="14"/>
              </w:numPr>
            </w:pPr>
            <w:r>
              <w:t>some complaints regarding the nervous system noted</w:t>
            </w:r>
            <w:r w:rsidR="00CE448E">
              <w:t>.</w:t>
            </w:r>
          </w:p>
          <w:p w14:paraId="3EFB0738" w14:textId="77777777" w:rsidR="003A08F6" w:rsidRDefault="003A08F6" w:rsidP="003A08F6">
            <w:pPr>
              <w:pStyle w:val="Tabletextprimarysource"/>
            </w:pPr>
            <w:r>
              <w:t>Animal data:</w:t>
            </w:r>
          </w:p>
          <w:p w14:paraId="3A829750" w14:textId="2DEE9D34" w:rsidR="003A08F6" w:rsidRDefault="00E61AFA" w:rsidP="0004207F">
            <w:pPr>
              <w:pStyle w:val="Tabletextprimarysource"/>
              <w:numPr>
                <w:ilvl w:val="0"/>
                <w:numId w:val="2"/>
              </w:numPr>
              <w:ind w:left="714" w:hanging="357"/>
            </w:pPr>
            <w:proofErr w:type="spellStart"/>
            <w:r>
              <w:t>LD</w:t>
            </w:r>
            <w:r>
              <w:rPr>
                <w:vertAlign w:val="subscript"/>
              </w:rPr>
              <w:t>50</w:t>
            </w:r>
            <w:proofErr w:type="spellEnd"/>
            <w:r w:rsidR="003F1914">
              <w:t xml:space="preserve">: </w:t>
            </w:r>
            <w:r>
              <w:t xml:space="preserve">770 mg/kg </w:t>
            </w:r>
            <w:r w:rsidR="003F1914">
              <w:t>(</w:t>
            </w:r>
            <w:r>
              <w:t>rats</w:t>
            </w:r>
            <w:r w:rsidR="00546E66">
              <w:t>, oral</w:t>
            </w:r>
            <w:r w:rsidR="003F1914">
              <w:t>)</w:t>
            </w:r>
          </w:p>
          <w:p w14:paraId="01096F85" w14:textId="1353AA0E" w:rsidR="004972B5" w:rsidRDefault="00E61AFA" w:rsidP="0004207F">
            <w:pPr>
              <w:pStyle w:val="Tabletextprimarysource"/>
              <w:numPr>
                <w:ilvl w:val="0"/>
                <w:numId w:val="2"/>
              </w:numPr>
              <w:ind w:left="714" w:hanging="357"/>
            </w:pPr>
            <w:r>
              <w:t xml:space="preserve">Several animal studies </w:t>
            </w:r>
            <w:r w:rsidR="0024687A">
              <w:t>determined ethylene dichloride</w:t>
            </w:r>
            <w:r w:rsidR="00654811">
              <w:t xml:space="preserve"> one of the more toxic chlorinated compounds, with </w:t>
            </w:r>
            <w:r w:rsidR="00C60A66">
              <w:t xml:space="preserve">body </w:t>
            </w:r>
            <w:r w:rsidR="00654811">
              <w:t xml:space="preserve">weight loss, pulmonary congestion, liver changes and increased mortality observed </w:t>
            </w:r>
            <w:r w:rsidR="004972B5">
              <w:t>at</w:t>
            </w:r>
            <w:r w:rsidR="00654811">
              <w:t xml:space="preserve"> 200 ppm for 7 h/d, 5 d/</w:t>
            </w:r>
            <w:proofErr w:type="spellStart"/>
            <w:r w:rsidR="00654811">
              <w:t>wk</w:t>
            </w:r>
            <w:proofErr w:type="spellEnd"/>
          </w:p>
          <w:p w14:paraId="0E0FFD8F" w14:textId="0F65103E" w:rsidR="00654811" w:rsidRDefault="004972B5" w:rsidP="004972B5">
            <w:pPr>
              <w:pStyle w:val="Tabletextprimarysource"/>
              <w:numPr>
                <w:ilvl w:val="0"/>
                <w:numId w:val="14"/>
              </w:numPr>
            </w:pPr>
            <w:r>
              <w:t>n</w:t>
            </w:r>
            <w:r w:rsidR="00654811">
              <w:t xml:space="preserve">o adverse effects noted in rats exposed </w:t>
            </w:r>
            <w:r>
              <w:t>at</w:t>
            </w:r>
            <w:r w:rsidR="00654811">
              <w:t xml:space="preserve"> 100 ppm</w:t>
            </w:r>
          </w:p>
          <w:p w14:paraId="20337545" w14:textId="4E207AAB" w:rsidR="004972B5" w:rsidRDefault="00654811" w:rsidP="0004207F">
            <w:pPr>
              <w:pStyle w:val="Tabletextprimarysource"/>
              <w:numPr>
                <w:ilvl w:val="0"/>
                <w:numId w:val="2"/>
              </w:numPr>
              <w:ind w:left="714" w:hanging="357"/>
            </w:pPr>
            <w:r>
              <w:t xml:space="preserve">Guinea pigs exposed for 226 d at 100 ppm experienced </w:t>
            </w:r>
            <w:r w:rsidR="00C60A66">
              <w:t xml:space="preserve">body weight </w:t>
            </w:r>
            <w:r>
              <w:t xml:space="preserve">loss and increased liver weight. </w:t>
            </w:r>
          </w:p>
          <w:p w14:paraId="20C1E724" w14:textId="332CE71A" w:rsidR="004972B5" w:rsidRDefault="004972B5" w:rsidP="004972B5">
            <w:pPr>
              <w:pStyle w:val="Tabletextprimarysource"/>
              <w:numPr>
                <w:ilvl w:val="0"/>
                <w:numId w:val="14"/>
              </w:numPr>
            </w:pPr>
            <w:r>
              <w:t>v</w:t>
            </w:r>
            <w:r w:rsidR="00654811">
              <w:t xml:space="preserve">arious species </w:t>
            </w:r>
            <w:r w:rsidR="007D16A8">
              <w:t>a</w:t>
            </w:r>
            <w:r w:rsidR="00654811">
              <w:t xml:space="preserve">ffected similarly </w:t>
            </w:r>
            <w:r w:rsidR="006744E8">
              <w:t>at</w:t>
            </w:r>
            <w:r w:rsidR="00654811">
              <w:t xml:space="preserve"> 200 ppm</w:t>
            </w:r>
          </w:p>
          <w:p w14:paraId="34DDEB71" w14:textId="5CAA9C59" w:rsidR="00654811" w:rsidRDefault="00654811" w:rsidP="004972B5">
            <w:pPr>
              <w:pStyle w:val="Tabletextprimarysource"/>
              <w:numPr>
                <w:ilvl w:val="0"/>
                <w:numId w:val="14"/>
              </w:numPr>
            </w:pPr>
            <w:r>
              <w:t>high mortality at 400 ppm</w:t>
            </w:r>
          </w:p>
          <w:p w14:paraId="6D914A52" w14:textId="5B44514F" w:rsidR="0085562F" w:rsidRDefault="00546E66" w:rsidP="0004207F">
            <w:pPr>
              <w:pStyle w:val="Tabletextprimarysource"/>
              <w:numPr>
                <w:ilvl w:val="0"/>
                <w:numId w:val="2"/>
              </w:numPr>
              <w:ind w:left="714" w:hanging="357"/>
            </w:pPr>
            <w:r>
              <w:t>V</w:t>
            </w:r>
            <w:r w:rsidR="00654811">
              <w:t xml:space="preserve">arious species experienced high mortality </w:t>
            </w:r>
            <w:r w:rsidR="004972B5">
              <w:t>at</w:t>
            </w:r>
            <w:r>
              <w:t xml:space="preserve"> 500 ppm </w:t>
            </w:r>
            <w:r w:rsidR="00654811">
              <w:t>for 6 h/d, 5 d/</w:t>
            </w:r>
            <w:proofErr w:type="spellStart"/>
            <w:r w:rsidR="00654811">
              <w:t>wk</w:t>
            </w:r>
            <w:proofErr w:type="spellEnd"/>
            <w:r w:rsidR="00654811">
              <w:t xml:space="preserve"> for </w:t>
            </w:r>
            <w:r w:rsidR="004972B5">
              <w:t>17 </w:t>
            </w:r>
            <w:proofErr w:type="spellStart"/>
            <w:r w:rsidR="00654811">
              <w:t>wk</w:t>
            </w:r>
            <w:proofErr w:type="spellEnd"/>
          </w:p>
          <w:p w14:paraId="74457B00" w14:textId="26D14D96" w:rsidR="004972B5" w:rsidRDefault="002C4989" w:rsidP="0004207F">
            <w:pPr>
              <w:pStyle w:val="Tabletextprimarysource"/>
              <w:numPr>
                <w:ilvl w:val="0"/>
                <w:numId w:val="2"/>
              </w:numPr>
              <w:ind w:left="714" w:hanging="357"/>
            </w:pPr>
            <w:r>
              <w:t>Two a</w:t>
            </w:r>
            <w:r w:rsidR="00DC30B0">
              <w:t xml:space="preserve">nimal </w:t>
            </w:r>
            <w:r w:rsidR="004972B5">
              <w:t xml:space="preserve">gavage </w:t>
            </w:r>
            <w:r w:rsidR="00DC30B0">
              <w:t xml:space="preserve">studies for 78 </w:t>
            </w:r>
            <w:proofErr w:type="spellStart"/>
            <w:r w:rsidR="007D16A8">
              <w:t>wk</w:t>
            </w:r>
            <w:proofErr w:type="spellEnd"/>
            <w:r w:rsidR="007D16A8">
              <w:t xml:space="preserve"> </w:t>
            </w:r>
            <w:r>
              <w:t xml:space="preserve">(rats, 47 and 95 mg/kg/d; mice, 97 and 195 mg/kg/d in males and 149 and 299 mg/kg/d in females) </w:t>
            </w:r>
            <w:r w:rsidR="00DC30B0">
              <w:t xml:space="preserve">reported an increased incidence of benign and malignant tumours at multiple sites. </w:t>
            </w:r>
          </w:p>
          <w:p w14:paraId="24924ED1" w14:textId="2F4BE079" w:rsidR="0085562F" w:rsidRDefault="004972B5" w:rsidP="004972B5">
            <w:pPr>
              <w:pStyle w:val="Tabletextprimarysource"/>
              <w:numPr>
                <w:ilvl w:val="0"/>
                <w:numId w:val="14"/>
              </w:numPr>
            </w:pPr>
            <w:r>
              <w:t>c</w:t>
            </w:r>
            <w:r w:rsidR="00DC30B0">
              <w:t xml:space="preserve">arcinogenicity data with respect to inhalation exposure is limited, thus, an </w:t>
            </w:r>
            <w:proofErr w:type="spellStart"/>
            <w:r w:rsidR="00DC30B0">
              <w:t>A4</w:t>
            </w:r>
            <w:proofErr w:type="spellEnd"/>
            <w:r w:rsidR="00DC30B0">
              <w:t xml:space="preserve"> classification </w:t>
            </w:r>
            <w:r w:rsidR="00E958E3">
              <w:t>assigned</w:t>
            </w:r>
          </w:p>
          <w:p w14:paraId="1738696C" w14:textId="763F306C" w:rsidR="00DC30B0" w:rsidRDefault="00781E8B" w:rsidP="00781E8B">
            <w:pPr>
              <w:pStyle w:val="Tabletextprimarysource"/>
              <w:numPr>
                <w:ilvl w:val="0"/>
                <w:numId w:val="2"/>
              </w:numPr>
              <w:ind w:left="714" w:hanging="357"/>
            </w:pPr>
            <w:r>
              <w:t xml:space="preserve">Mutagenic in </w:t>
            </w:r>
            <w:r>
              <w:rPr>
                <w:i/>
              </w:rPr>
              <w:t xml:space="preserve">S. typhimurium </w:t>
            </w:r>
            <w:r>
              <w:t>and</w:t>
            </w:r>
            <w:r>
              <w:rPr>
                <w:i/>
              </w:rPr>
              <w:t xml:space="preserve"> D. melanogaster</w:t>
            </w:r>
            <w:r w:rsidR="004972B5">
              <w:t>,</w:t>
            </w:r>
            <w:r>
              <w:rPr>
                <w:i/>
              </w:rPr>
              <w:t xml:space="preserve"> </w:t>
            </w:r>
            <w:r>
              <w:t>p</w:t>
            </w:r>
            <w:r w:rsidR="00DC30B0">
              <w:t xml:space="preserve">ositive genotoxicity results for the induction of chromosomal aberrations and </w:t>
            </w:r>
            <w:r w:rsidR="004972B5">
              <w:t>SCE</w:t>
            </w:r>
            <w:r w:rsidR="00DC30B0">
              <w:t xml:space="preserve"> </w:t>
            </w:r>
            <w:r w:rsidR="00C64A55">
              <w:t>reported.</w:t>
            </w:r>
          </w:p>
          <w:p w14:paraId="6D15D912" w14:textId="18E23C83" w:rsidR="0078136E" w:rsidRPr="00DA352E" w:rsidRDefault="0078136E" w:rsidP="00E958E3">
            <w:pPr>
              <w:pStyle w:val="Tabletextprimarysource"/>
            </w:pPr>
          </w:p>
        </w:tc>
      </w:tr>
      <w:tr w:rsidR="00C978F0" w:rsidRPr="00DA352E" w14:paraId="4233D5B4" w14:textId="77777777" w:rsidTr="00DE26E8">
        <w:trPr>
          <w:gridAfter w:val="1"/>
          <w:wAfter w:w="8" w:type="pct"/>
          <w:cantSplit/>
        </w:trPr>
        <w:tc>
          <w:tcPr>
            <w:tcW w:w="4992" w:type="pct"/>
            <w:shd w:val="clear" w:color="auto" w:fill="F2F2F2" w:themeFill="background1" w:themeFillShade="F2"/>
          </w:tcPr>
          <w:p w14:paraId="715AC491" w14:textId="4F69FEB4" w:rsidR="00C978F0" w:rsidRPr="00DA352E" w:rsidRDefault="00DA352E" w:rsidP="0051509C">
            <w:pPr>
              <w:pStyle w:val="Tablerowheadingitalic"/>
              <w:tabs>
                <w:tab w:val="clear" w:pos="2268"/>
                <w:tab w:val="clear" w:pos="5670"/>
                <w:tab w:val="left" w:pos="1418"/>
                <w:tab w:val="left" w:pos="2552"/>
              </w:tabs>
            </w:pPr>
            <w:proofErr w:type="spellStart"/>
            <w:r w:rsidRPr="00DA352E">
              <w:lastRenderedPageBreak/>
              <w:t>DFG</w:t>
            </w:r>
            <w:proofErr w:type="spellEnd"/>
            <w:r w:rsidR="00916EC0" w:rsidRPr="003365A5">
              <w:t xml:space="preserve"> </w:t>
            </w:r>
            <w:r w:rsidR="00916EC0" w:rsidRPr="003365A5">
              <w:tab/>
            </w:r>
            <w:sdt>
              <w:sdtPr>
                <w:id w:val="272751712"/>
                <w:placeholder>
                  <w:docPart w:val="6918C77959FE4E2CB3B6BD78ABC69E19"/>
                </w:placeholder>
                <w:text/>
              </w:sdtPr>
              <w:sdtEndPr/>
              <w:sdtContent>
                <w:r w:rsidR="00077944">
                  <w:t>2013</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077944">
                  <w:t>Not assigned</w:t>
                </w:r>
              </w:sdtContent>
            </w:sdt>
          </w:p>
        </w:tc>
      </w:tr>
      <w:tr w:rsidR="00C978F0" w:rsidRPr="00DA352E" w14:paraId="0A6E1D25" w14:textId="77777777" w:rsidTr="00DE26E8">
        <w:trPr>
          <w:gridAfter w:val="1"/>
          <w:wAfter w:w="8" w:type="pct"/>
          <w:cantSplit/>
        </w:trPr>
        <w:tc>
          <w:tcPr>
            <w:tcW w:w="4992" w:type="pct"/>
          </w:tcPr>
          <w:p w14:paraId="66882DE3" w14:textId="7E240B12" w:rsidR="00957AA5" w:rsidRDefault="00957AA5" w:rsidP="003365A5">
            <w:pPr>
              <w:pStyle w:val="Tabletextprimarysource"/>
            </w:pPr>
            <w:r>
              <w:t xml:space="preserve">No MAK assigned because substance is </w:t>
            </w:r>
            <w:r w:rsidR="00E958E3">
              <w:t>considered a</w:t>
            </w:r>
            <w:r>
              <w:t xml:space="preserve"> genotoxic carcinogen, for which no tolerable level of exposure can be deduced</w:t>
            </w:r>
          </w:p>
          <w:p w14:paraId="636AA80E" w14:textId="15AE9B4A" w:rsidR="00C978F0" w:rsidRDefault="00672C9D" w:rsidP="003365A5">
            <w:pPr>
              <w:pStyle w:val="Tabletextprimarysource"/>
            </w:pPr>
            <w:r>
              <w:t>Summary of additional data:</w:t>
            </w:r>
          </w:p>
          <w:p w14:paraId="3907FE50" w14:textId="77777777" w:rsidR="00672C9D" w:rsidRDefault="00672C9D" w:rsidP="003365A5">
            <w:pPr>
              <w:pStyle w:val="Tabletextprimarysource"/>
            </w:pPr>
            <w:r>
              <w:t>Human data:</w:t>
            </w:r>
          </w:p>
          <w:p w14:paraId="707B5ACC" w14:textId="4E658EFF" w:rsidR="00672C9D" w:rsidRDefault="00A827D2" w:rsidP="00672C9D">
            <w:pPr>
              <w:pStyle w:val="Tabletextprimarysource"/>
              <w:numPr>
                <w:ilvl w:val="0"/>
                <w:numId w:val="10"/>
              </w:numPr>
            </w:pPr>
            <w:r>
              <w:t xml:space="preserve">Exposure </w:t>
            </w:r>
            <w:r w:rsidR="004972B5">
              <w:t>at</w:t>
            </w:r>
            <w:r>
              <w:t xml:space="preserve"> </w:t>
            </w:r>
            <w:r w:rsidR="00304642">
              <w:rPr>
                <w:rFonts w:cs="Arial"/>
              </w:rPr>
              <w:t>≈</w:t>
            </w:r>
            <w:r>
              <w:t xml:space="preserve">200 </w:t>
            </w:r>
            <w:r w:rsidR="00E958E3">
              <w:t>ppm</w:t>
            </w:r>
            <w:r>
              <w:rPr>
                <w:vertAlign w:val="superscript"/>
              </w:rPr>
              <w:t xml:space="preserve"> </w:t>
            </w:r>
            <w:r>
              <w:t>for 7 h, 1</w:t>
            </w:r>
            <w:r w:rsidR="007D16A8">
              <w:t>,</w:t>
            </w:r>
            <w:r>
              <w:t xml:space="preserve">000 </w:t>
            </w:r>
            <w:r w:rsidR="00E958E3">
              <w:t>ppm</w:t>
            </w:r>
            <w:r>
              <w:t xml:space="preserve"> for 1 h and 3</w:t>
            </w:r>
            <w:r w:rsidR="007D16A8">
              <w:t>,</w:t>
            </w:r>
            <w:r>
              <w:t xml:space="preserve">000 </w:t>
            </w:r>
            <w:r w:rsidR="00E958E3">
              <w:t>ppm</w:t>
            </w:r>
            <w:r>
              <w:t xml:space="preserve"> for 6 min deemed safe </w:t>
            </w:r>
          </w:p>
          <w:p w14:paraId="29419CB1" w14:textId="06840838" w:rsidR="004972B5" w:rsidRDefault="00A827D2" w:rsidP="00A827D2">
            <w:pPr>
              <w:pStyle w:val="Tabletextprimarysource"/>
              <w:numPr>
                <w:ilvl w:val="0"/>
                <w:numId w:val="10"/>
              </w:numPr>
            </w:pPr>
            <w:r>
              <w:t>A study involving 360 female workers in a rubber processing factory (in which workers were exposed to</w:t>
            </w:r>
            <w:r w:rsidR="006744E8">
              <w:t xml:space="preserve"> ethylene dichloride</w:t>
            </w:r>
            <w:r w:rsidR="004972B5">
              <w:t xml:space="preserve">, </w:t>
            </w:r>
            <w:r>
              <w:t>gasoline and dichloromethane) reported adverse effects on pregnancy</w:t>
            </w:r>
          </w:p>
          <w:p w14:paraId="5EFDF95E" w14:textId="123C0ECF" w:rsidR="00A827D2" w:rsidRDefault="004972B5" w:rsidP="004972B5">
            <w:pPr>
              <w:pStyle w:val="Tabletextprimarysource"/>
              <w:numPr>
                <w:ilvl w:val="0"/>
                <w:numId w:val="14"/>
              </w:numPr>
            </w:pPr>
            <w:r>
              <w:t>c</w:t>
            </w:r>
            <w:r w:rsidR="00A827D2">
              <w:t xml:space="preserve">ases of early births and miscarriages were increased (6.8% vs 2.6% of control group), </w:t>
            </w:r>
            <w:r w:rsidR="00C64A55">
              <w:t>with detection</w:t>
            </w:r>
            <w:r>
              <w:t xml:space="preserve"> of ethylene dichloride</w:t>
            </w:r>
            <w:r w:rsidR="00A827D2">
              <w:t xml:space="preserve"> in breast milk</w:t>
            </w:r>
            <w:r w:rsidR="00CE448E">
              <w:t>.</w:t>
            </w:r>
          </w:p>
          <w:p w14:paraId="2CB5F852" w14:textId="77777777" w:rsidR="00A827D2" w:rsidRDefault="00A827D2" w:rsidP="00A827D2">
            <w:pPr>
              <w:pStyle w:val="Tabletextprimarysource"/>
            </w:pPr>
            <w:r>
              <w:t>Animal data:</w:t>
            </w:r>
          </w:p>
          <w:p w14:paraId="3074C499" w14:textId="47453EEB" w:rsidR="004972B5" w:rsidRDefault="005F09D3" w:rsidP="00781AF2">
            <w:pPr>
              <w:pStyle w:val="Tabletextprimarysource"/>
              <w:numPr>
                <w:ilvl w:val="0"/>
                <w:numId w:val="11"/>
              </w:numPr>
            </w:pPr>
            <w:r>
              <w:t xml:space="preserve">Inhalation </w:t>
            </w:r>
            <w:r w:rsidR="00C4323F">
              <w:t xml:space="preserve">exposure </w:t>
            </w:r>
            <w:r w:rsidR="004972B5">
              <w:t>at</w:t>
            </w:r>
            <w:r w:rsidR="00C4323F">
              <w:t xml:space="preserve"> </w:t>
            </w:r>
            <w:r>
              <w:t>3</w:t>
            </w:r>
            <w:r w:rsidR="007D16A8">
              <w:t>,</w:t>
            </w:r>
            <w:r>
              <w:t xml:space="preserve">000 </w:t>
            </w:r>
            <w:r w:rsidR="00E958E3">
              <w:t>ppm</w:t>
            </w:r>
            <w:r w:rsidR="00C4323F">
              <w:t xml:space="preserve"> (for </w:t>
            </w:r>
            <w:r>
              <w:t>7 h</w:t>
            </w:r>
            <w:r w:rsidR="00C4323F">
              <w:t>)</w:t>
            </w:r>
            <w:r>
              <w:t xml:space="preserve"> </w:t>
            </w:r>
            <w:r w:rsidR="004972B5">
              <w:t xml:space="preserve">is </w:t>
            </w:r>
            <w:r>
              <w:t xml:space="preserve">lethal </w:t>
            </w:r>
            <w:r w:rsidR="00781AF2">
              <w:t>in animals</w:t>
            </w:r>
          </w:p>
          <w:p w14:paraId="227BA035" w14:textId="6825E8F1" w:rsidR="00C4323F" w:rsidRDefault="005F09D3" w:rsidP="004972B5">
            <w:pPr>
              <w:pStyle w:val="Tabletextprimarysource"/>
              <w:numPr>
                <w:ilvl w:val="0"/>
                <w:numId w:val="14"/>
              </w:numPr>
            </w:pPr>
            <w:r>
              <w:t>autopsies reported pulmonary oedema, liver and kidney damage, occasional necrosis and bleeding in the adrenal cortex</w:t>
            </w:r>
          </w:p>
          <w:p w14:paraId="2A78EDA5" w14:textId="2D079EDD" w:rsidR="005F09D3" w:rsidRDefault="00C4323F" w:rsidP="00FC5C40">
            <w:pPr>
              <w:pStyle w:val="Tabletextprimarysource"/>
              <w:numPr>
                <w:ilvl w:val="0"/>
                <w:numId w:val="11"/>
              </w:numPr>
            </w:pPr>
            <w:r>
              <w:t xml:space="preserve">Inhalation exposure </w:t>
            </w:r>
            <w:r w:rsidR="004972B5">
              <w:t>at</w:t>
            </w:r>
            <w:r w:rsidR="00034ED0">
              <w:t xml:space="preserve"> </w:t>
            </w:r>
            <w:r w:rsidR="005F09D3">
              <w:t xml:space="preserve">400 </w:t>
            </w:r>
            <w:r w:rsidR="00E958E3">
              <w:t>ppm</w:t>
            </w:r>
            <w:r w:rsidR="005F09D3">
              <w:t xml:space="preserve"> </w:t>
            </w:r>
            <w:r w:rsidR="00034ED0">
              <w:t>(</w:t>
            </w:r>
            <w:r w:rsidR="005F09D3">
              <w:t xml:space="preserve">up to 3 </w:t>
            </w:r>
            <w:proofErr w:type="spellStart"/>
            <w:r w:rsidR="005F09D3">
              <w:t>mo</w:t>
            </w:r>
            <w:proofErr w:type="spellEnd"/>
            <w:r w:rsidR="00034ED0">
              <w:t>)</w:t>
            </w:r>
            <w:r w:rsidR="005F09D3">
              <w:t xml:space="preserve"> led to mortality and severe liver damage for various animal species</w:t>
            </w:r>
          </w:p>
          <w:p w14:paraId="0EB5BBDB" w14:textId="63F4D565" w:rsidR="004972B5" w:rsidRDefault="00CE448E" w:rsidP="005F09D3">
            <w:pPr>
              <w:pStyle w:val="Tabletextprimarysource"/>
              <w:numPr>
                <w:ilvl w:val="0"/>
                <w:numId w:val="11"/>
              </w:numPr>
            </w:pPr>
            <w:r>
              <w:t>R</w:t>
            </w:r>
            <w:r w:rsidR="005F09D3">
              <w:t xml:space="preserve">epeated exposure </w:t>
            </w:r>
            <w:r w:rsidR="004972B5">
              <w:t>at</w:t>
            </w:r>
            <w:r w:rsidR="005F09D3">
              <w:t xml:space="preserve"> 200 </w:t>
            </w:r>
            <w:r w:rsidR="00E958E3">
              <w:t>ppm</w:t>
            </w:r>
            <w:r w:rsidR="005F09D3">
              <w:t xml:space="preserve"> </w:t>
            </w:r>
            <w:r w:rsidR="00034ED0">
              <w:t>(</w:t>
            </w:r>
            <w:r w:rsidR="005F09D3">
              <w:t>for 7 h/d</w:t>
            </w:r>
            <w:r w:rsidR="00034ED0">
              <w:t>)</w:t>
            </w:r>
            <w:r w:rsidR="005F09D3">
              <w:t xml:space="preserve"> increased mortality in rats and guinea pigs</w:t>
            </w:r>
          </w:p>
          <w:p w14:paraId="520B92BC" w14:textId="568CAD4C" w:rsidR="005F09D3" w:rsidRDefault="005F09D3" w:rsidP="004972B5">
            <w:pPr>
              <w:pStyle w:val="Tabletextprimarysource"/>
              <w:numPr>
                <w:ilvl w:val="0"/>
                <w:numId w:val="14"/>
              </w:numPr>
            </w:pPr>
            <w:r>
              <w:t>tolerated by rabbit</w:t>
            </w:r>
            <w:r w:rsidR="00CE448E">
              <w:t>s and monkeys, with no symptoms</w:t>
            </w:r>
          </w:p>
          <w:p w14:paraId="15A70A84" w14:textId="4DA4EB01" w:rsidR="005F09D3" w:rsidRDefault="005F09D3" w:rsidP="005F09D3">
            <w:pPr>
              <w:pStyle w:val="Tabletextprimarysource"/>
              <w:numPr>
                <w:ilvl w:val="0"/>
                <w:numId w:val="11"/>
              </w:numPr>
            </w:pPr>
            <w:r>
              <w:t xml:space="preserve">Several studies determined that </w:t>
            </w:r>
            <w:r w:rsidR="008E7501">
              <w:t xml:space="preserve">exposure </w:t>
            </w:r>
            <w:r w:rsidR="006766B7">
              <w:t xml:space="preserve">at </w:t>
            </w:r>
            <w:r w:rsidR="004972B5">
              <w:t>up to</w:t>
            </w:r>
            <w:r>
              <w:t xml:space="preserve"> 100 m</w:t>
            </w:r>
            <w:r w:rsidR="00781AF2">
              <w:t>L</w:t>
            </w:r>
            <w:r>
              <w:t>/</w:t>
            </w:r>
            <w:proofErr w:type="spellStart"/>
            <w:r>
              <w:t>m</w:t>
            </w:r>
            <w:r>
              <w:rPr>
                <w:vertAlign w:val="superscript"/>
              </w:rPr>
              <w:t>3</w:t>
            </w:r>
            <w:proofErr w:type="spellEnd"/>
            <w:r>
              <w:t xml:space="preserve"> </w:t>
            </w:r>
            <w:r w:rsidR="006766B7">
              <w:t>was</w:t>
            </w:r>
            <w:r>
              <w:t xml:space="preserve"> tolerated </w:t>
            </w:r>
            <w:r w:rsidR="008E7501">
              <w:t xml:space="preserve">by rats and guinea pigs without any symptoms </w:t>
            </w:r>
          </w:p>
          <w:p w14:paraId="1E93F580" w14:textId="6F4989E5" w:rsidR="008E7501" w:rsidRPr="009C36F9" w:rsidRDefault="00C247E7" w:rsidP="005F09D3">
            <w:pPr>
              <w:pStyle w:val="Tabletextprimarysource"/>
              <w:numPr>
                <w:ilvl w:val="0"/>
                <w:numId w:val="11"/>
              </w:numPr>
            </w:pPr>
            <w:r w:rsidRPr="009C36F9">
              <w:t>S</w:t>
            </w:r>
            <w:r w:rsidR="008E7501" w:rsidRPr="009C36F9">
              <w:t xml:space="preserve">mall animals </w:t>
            </w:r>
            <w:r w:rsidRPr="009C36F9">
              <w:t xml:space="preserve">exposed </w:t>
            </w:r>
            <w:r w:rsidR="004972B5">
              <w:t>at</w:t>
            </w:r>
            <w:r w:rsidR="008E7501" w:rsidRPr="009C36F9">
              <w:t xml:space="preserve"> 15 mg/</w:t>
            </w:r>
            <w:proofErr w:type="spellStart"/>
            <w:r w:rsidR="008E7501" w:rsidRPr="009C36F9">
              <w:t>m</w:t>
            </w:r>
            <w:r w:rsidR="008E7501" w:rsidRPr="009C36F9">
              <w:rPr>
                <w:vertAlign w:val="superscript"/>
              </w:rPr>
              <w:t>3</w:t>
            </w:r>
            <w:proofErr w:type="spellEnd"/>
            <w:r w:rsidR="008E7501" w:rsidRPr="009C36F9">
              <w:t xml:space="preserve"> for 4 h/d, 6</w:t>
            </w:r>
            <w:r w:rsidR="007D16A8" w:rsidRPr="009C36F9">
              <w:t xml:space="preserve"> </w:t>
            </w:r>
            <w:r w:rsidR="008E7501" w:rsidRPr="009C36F9">
              <w:t>d/</w:t>
            </w:r>
            <w:proofErr w:type="spellStart"/>
            <w:r w:rsidR="008E7501" w:rsidRPr="009C36F9">
              <w:t>w</w:t>
            </w:r>
            <w:r w:rsidR="00781AF2" w:rsidRPr="009C36F9">
              <w:t>k</w:t>
            </w:r>
            <w:proofErr w:type="spellEnd"/>
            <w:r w:rsidR="008E7501" w:rsidRPr="009C36F9">
              <w:t xml:space="preserve"> for 4 </w:t>
            </w:r>
            <w:proofErr w:type="spellStart"/>
            <w:r w:rsidR="008E7501" w:rsidRPr="009C36F9">
              <w:t>mo</w:t>
            </w:r>
            <w:proofErr w:type="spellEnd"/>
            <w:r w:rsidR="008E7501" w:rsidRPr="009C36F9">
              <w:t xml:space="preserve"> </w:t>
            </w:r>
            <w:r w:rsidR="000956BD" w:rsidRPr="009C36F9">
              <w:t xml:space="preserve">resulted in </w:t>
            </w:r>
            <w:r w:rsidR="008E7501" w:rsidRPr="009C36F9">
              <w:t xml:space="preserve">reduced conception rate and increased preimplantation mortality by a factor of </w:t>
            </w:r>
            <w:r w:rsidR="007D16A8" w:rsidRPr="009C36F9">
              <w:t xml:space="preserve">5 </w:t>
            </w:r>
          </w:p>
          <w:p w14:paraId="15AC2891" w14:textId="1D3AAEC4" w:rsidR="004972B5" w:rsidRDefault="00EC008F" w:rsidP="00EC008F">
            <w:pPr>
              <w:pStyle w:val="Tabletextprimarysource"/>
              <w:numPr>
                <w:ilvl w:val="0"/>
                <w:numId w:val="11"/>
              </w:numPr>
            </w:pPr>
            <w:r w:rsidRPr="009C36F9">
              <w:t>Occlusive dermal application of 2</w:t>
            </w:r>
            <w:r w:rsidR="00C60A66">
              <w:t xml:space="preserve"> </w:t>
            </w:r>
            <w:r w:rsidRPr="009C36F9">
              <w:t xml:space="preserve">mL undiluted or a saturated or 1/3 saturated aqueous solution on the shaved skin of the rat for 24 h, </w:t>
            </w:r>
            <w:r w:rsidR="004972B5">
              <w:t xml:space="preserve">reported </w:t>
            </w:r>
            <w:r w:rsidRPr="009C36F9">
              <w:t>rapid percutaneous absorption</w:t>
            </w:r>
            <w:r w:rsidR="009C36F9">
              <w:t>, with likely conversion in the liver to carcinogenic metabolites</w:t>
            </w:r>
          </w:p>
          <w:p w14:paraId="59BDCCDD" w14:textId="617F0618" w:rsidR="00781E8B" w:rsidRDefault="004972B5" w:rsidP="004972B5">
            <w:pPr>
              <w:pStyle w:val="Tabletextprimarysource"/>
              <w:numPr>
                <w:ilvl w:val="0"/>
                <w:numId w:val="14"/>
              </w:numPr>
            </w:pPr>
            <w:r>
              <w:t>d</w:t>
            </w:r>
            <w:r w:rsidR="00EC008F" w:rsidRPr="009C36F9">
              <w:t>uring the exposure period the increase was continuous in blood</w:t>
            </w:r>
            <w:r w:rsidR="00EA4720" w:rsidRPr="009C36F9">
              <w:t xml:space="preserve"> with higher absorption rates than other solvents with dermal notations</w:t>
            </w:r>
          </w:p>
          <w:p w14:paraId="01CEE9DC" w14:textId="0EDA6E3F" w:rsidR="00EC008F" w:rsidRDefault="004972B5" w:rsidP="00EC008F">
            <w:pPr>
              <w:pStyle w:val="Tabletextprimarysource"/>
              <w:numPr>
                <w:ilvl w:val="0"/>
                <w:numId w:val="11"/>
              </w:numPr>
            </w:pPr>
            <w:r>
              <w:t>L</w:t>
            </w:r>
            <w:r w:rsidR="00781E8B">
              <w:t xml:space="preserve">iver DNA single strand breaks </w:t>
            </w:r>
            <w:r>
              <w:t xml:space="preserve">reported in mice; </w:t>
            </w:r>
            <w:r w:rsidR="00781E8B">
              <w:t xml:space="preserve">induced by single oral and </w:t>
            </w:r>
            <w:r>
              <w:t>IP</w:t>
            </w:r>
            <w:r w:rsidR="00781E8B">
              <w:t xml:space="preserve"> doses and </w:t>
            </w:r>
            <w:r w:rsidR="00781E8B" w:rsidRPr="004972B5">
              <w:rPr>
                <w:i/>
              </w:rPr>
              <w:t>via</w:t>
            </w:r>
            <w:r w:rsidR="00781E8B">
              <w:t xml:space="preserve"> high inhalation concentrations</w:t>
            </w:r>
            <w:r w:rsidR="00EC008F" w:rsidRPr="009C36F9">
              <w:t>.</w:t>
            </w:r>
          </w:p>
          <w:p w14:paraId="599A2AF0" w14:textId="7B8A403A" w:rsidR="0078136E" w:rsidRPr="00DA352E" w:rsidRDefault="0078136E" w:rsidP="0004207F">
            <w:pPr>
              <w:pStyle w:val="Tabletextprimarysource"/>
            </w:pPr>
          </w:p>
        </w:tc>
      </w:tr>
      <w:tr w:rsidR="00C978F0" w:rsidRPr="00DA352E" w14:paraId="46A87F9C" w14:textId="77777777" w:rsidTr="00DE26E8">
        <w:trPr>
          <w:gridAfter w:val="1"/>
          <w:wAfter w:w="8" w:type="pct"/>
          <w:cantSplit/>
        </w:trPr>
        <w:tc>
          <w:tcPr>
            <w:tcW w:w="4992" w:type="pct"/>
            <w:shd w:val="clear" w:color="auto" w:fill="F2F2F2" w:themeFill="background1" w:themeFillShade="F2"/>
          </w:tcPr>
          <w:p w14:paraId="3D60D3C2" w14:textId="7A49C727" w:rsidR="00C978F0" w:rsidRPr="00DA352E" w:rsidRDefault="00DA352E" w:rsidP="0051509C">
            <w:pPr>
              <w:pStyle w:val="Tablerowheadingitalic"/>
              <w:tabs>
                <w:tab w:val="clear" w:pos="2268"/>
                <w:tab w:val="clear" w:pos="5670"/>
                <w:tab w:val="left" w:pos="1418"/>
                <w:tab w:val="left" w:pos="2552"/>
              </w:tabs>
            </w:pPr>
            <w:proofErr w:type="spellStart"/>
            <w:r w:rsidRPr="00DA352E">
              <w:t>SCOEL</w:t>
            </w:r>
            <w:proofErr w:type="spellEnd"/>
            <w:r w:rsidR="00916EC0" w:rsidRPr="003365A5">
              <w:t xml:space="preserve"> </w:t>
            </w:r>
            <w:r w:rsidR="00916EC0" w:rsidRPr="003365A5">
              <w:tab/>
            </w:r>
            <w:sdt>
              <w:sdtPr>
                <w:id w:val="-768699850"/>
                <w:placeholder>
                  <w:docPart w:val="FDC2A24E7D2549238DA6EE03BD0A6AE0"/>
                </w:placeholder>
                <w:text/>
              </w:sdtPr>
              <w:sdtEndPr/>
              <w:sdtContent>
                <w:r w:rsidR="00077944">
                  <w:t>2016</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077944">
                  <w:t>Not assigned</w:t>
                </w:r>
              </w:sdtContent>
            </w:sdt>
          </w:p>
        </w:tc>
      </w:tr>
      <w:tr w:rsidR="00C978F0" w:rsidRPr="00DA352E" w14:paraId="790B3B39" w14:textId="77777777" w:rsidTr="004972B5">
        <w:trPr>
          <w:gridAfter w:val="1"/>
          <w:wAfter w:w="8" w:type="pct"/>
        </w:trPr>
        <w:tc>
          <w:tcPr>
            <w:tcW w:w="4992" w:type="pct"/>
          </w:tcPr>
          <w:p w14:paraId="438374E8" w14:textId="14F7B699" w:rsidR="00C978F0" w:rsidRDefault="0001671C" w:rsidP="003365A5">
            <w:pPr>
              <w:pStyle w:val="Tabletextprimarysource"/>
            </w:pPr>
            <w:r>
              <w:t>Summary of additional data:</w:t>
            </w:r>
          </w:p>
          <w:p w14:paraId="7E24B816" w14:textId="68ED1303" w:rsidR="00957AA5" w:rsidRDefault="00957AA5" w:rsidP="0004207F">
            <w:pPr>
              <w:pStyle w:val="ListBullet"/>
              <w:numPr>
                <w:ilvl w:val="0"/>
                <w:numId w:val="0"/>
              </w:numPr>
            </w:pPr>
            <w:r>
              <w:t>Carcinogenic effect and its mode of action could be better characterised</w:t>
            </w:r>
            <w:r w:rsidR="0078136E">
              <w:t xml:space="preserve">. </w:t>
            </w:r>
            <w:r>
              <w:t>Assumed to be</w:t>
            </w:r>
            <w:r w:rsidR="0078136E">
              <w:t xml:space="preserve"> </w:t>
            </w:r>
            <w:r>
              <w:t>a</w:t>
            </w:r>
            <w:r w:rsidR="0078136E">
              <w:t> </w:t>
            </w:r>
            <w:r>
              <w:t>genotoxic carcinogen for the derivation of a POD for risk assessment</w:t>
            </w:r>
            <w:r w:rsidR="0078136E">
              <w:t>.</w:t>
            </w:r>
          </w:p>
          <w:p w14:paraId="71B3CF23" w14:textId="77777777" w:rsidR="0001671C" w:rsidRDefault="0001671C" w:rsidP="003365A5">
            <w:pPr>
              <w:pStyle w:val="Tabletextprimarysource"/>
            </w:pPr>
            <w:r>
              <w:t>Human data:</w:t>
            </w:r>
          </w:p>
          <w:p w14:paraId="427D3744" w14:textId="1C1F2B44" w:rsidR="0001671C" w:rsidRDefault="000956BD" w:rsidP="0001671C">
            <w:pPr>
              <w:pStyle w:val="Tabletextprimarysource"/>
              <w:numPr>
                <w:ilvl w:val="0"/>
                <w:numId w:val="8"/>
              </w:numPr>
            </w:pPr>
            <w:r>
              <w:t>I</w:t>
            </w:r>
            <w:r w:rsidR="00672C9D">
              <w:t xml:space="preserve">nhalation exposure </w:t>
            </w:r>
            <w:r w:rsidR="004972B5">
              <w:t xml:space="preserve">over </w:t>
            </w:r>
            <w:r w:rsidR="00672C9D">
              <w:t>2</w:t>
            </w:r>
            <w:r w:rsidR="00304642">
              <w:t>–</w:t>
            </w:r>
            <w:r w:rsidR="00672C9D">
              <w:t xml:space="preserve">5 </w:t>
            </w:r>
            <w:proofErr w:type="spellStart"/>
            <w:r w:rsidR="00672C9D">
              <w:t>mo</w:t>
            </w:r>
            <w:proofErr w:type="spellEnd"/>
            <w:r>
              <w:t xml:space="preserve"> caused</w:t>
            </w:r>
            <w:r w:rsidR="00672C9D">
              <w:t xml:space="preserve"> </w:t>
            </w:r>
            <w:r w:rsidR="006744E8">
              <w:t>CNS</w:t>
            </w:r>
            <w:r w:rsidR="00672C9D">
              <w:t xml:space="preserve"> </w:t>
            </w:r>
            <w:r>
              <w:t xml:space="preserve">depression </w:t>
            </w:r>
            <w:r w:rsidR="00672C9D">
              <w:t xml:space="preserve">and </w:t>
            </w:r>
            <w:r w:rsidR="004972B5">
              <w:t xml:space="preserve">GIT </w:t>
            </w:r>
            <w:r w:rsidR="00672C9D">
              <w:t xml:space="preserve">symptoms including nausea and vomiting </w:t>
            </w:r>
            <w:r w:rsidR="00C201CC">
              <w:t>(no concentrations provided)</w:t>
            </w:r>
          </w:p>
          <w:p w14:paraId="5322F3C0" w14:textId="34114527" w:rsidR="00672C9D" w:rsidRDefault="00672C9D" w:rsidP="0001671C">
            <w:pPr>
              <w:pStyle w:val="Tabletextprimarysource"/>
              <w:numPr>
                <w:ilvl w:val="0"/>
                <w:numId w:val="8"/>
              </w:numPr>
            </w:pPr>
            <w:r>
              <w:t xml:space="preserve">Several cases </w:t>
            </w:r>
            <w:r w:rsidR="004972B5">
              <w:t xml:space="preserve">of </w:t>
            </w:r>
            <w:r>
              <w:t>workers experiencing seizures and developing brain oedema following inhalation exposure</w:t>
            </w:r>
            <w:r w:rsidR="00CE448E">
              <w:t>.</w:t>
            </w:r>
          </w:p>
          <w:p w14:paraId="286A7924" w14:textId="77777777" w:rsidR="00672C9D" w:rsidRDefault="00672C9D" w:rsidP="00672C9D">
            <w:pPr>
              <w:pStyle w:val="Tabletextprimarysource"/>
            </w:pPr>
            <w:r>
              <w:t>Animal data:</w:t>
            </w:r>
          </w:p>
          <w:p w14:paraId="168AD2FD" w14:textId="52768466" w:rsidR="004972B5" w:rsidRDefault="00147254" w:rsidP="00672C9D">
            <w:pPr>
              <w:pStyle w:val="Tabletextprimarysource"/>
              <w:numPr>
                <w:ilvl w:val="0"/>
                <w:numId w:val="9"/>
              </w:numPr>
            </w:pPr>
            <w:r>
              <w:t xml:space="preserve">Chronic inhalation studies </w:t>
            </w:r>
            <w:r w:rsidR="003A29EA">
              <w:t>identified</w:t>
            </w:r>
            <w:r>
              <w:t xml:space="preserve"> </w:t>
            </w:r>
            <w:proofErr w:type="spellStart"/>
            <w:r>
              <w:t>NOAE</w:t>
            </w:r>
            <w:r w:rsidR="004972B5">
              <w:t>C</w:t>
            </w:r>
            <w:proofErr w:type="spellEnd"/>
            <w:r>
              <w:t xml:space="preserve"> </w:t>
            </w:r>
            <w:r w:rsidR="003A29EA">
              <w:t xml:space="preserve">of </w:t>
            </w:r>
            <w:r>
              <w:t>50 ppm (200 mg/</w:t>
            </w:r>
            <w:proofErr w:type="spellStart"/>
            <w:r>
              <w:t>m</w:t>
            </w:r>
            <w:r>
              <w:rPr>
                <w:vertAlign w:val="superscript"/>
              </w:rPr>
              <w:t>3</w:t>
            </w:r>
            <w:proofErr w:type="spellEnd"/>
            <w:r>
              <w:t xml:space="preserve"> for up to 8 h</w:t>
            </w:r>
            <w:r w:rsidR="003A29EA">
              <w:t xml:space="preserve"> in rats</w:t>
            </w:r>
            <w:proofErr w:type="gramStart"/>
            <w:r w:rsidR="004972B5">
              <w:t>)</w:t>
            </w:r>
            <w:r w:rsidR="003A29EA">
              <w:t>;</w:t>
            </w:r>
            <w:proofErr w:type="gramEnd"/>
            <w:r w:rsidR="003A29EA">
              <w:t xml:space="preserve"> </w:t>
            </w:r>
          </w:p>
          <w:p w14:paraId="37F8B70B" w14:textId="0340B55B" w:rsidR="00757CAE" w:rsidRDefault="00147254" w:rsidP="004972B5">
            <w:pPr>
              <w:pStyle w:val="Tabletextprimarysource"/>
              <w:numPr>
                <w:ilvl w:val="0"/>
                <w:numId w:val="14"/>
              </w:numPr>
            </w:pPr>
            <w:r>
              <w:t xml:space="preserve">exposure </w:t>
            </w:r>
            <w:r w:rsidR="004972B5">
              <w:t>at</w:t>
            </w:r>
            <w:r w:rsidR="003A29EA">
              <w:t xml:space="preserve"> </w:t>
            </w:r>
            <w:r>
              <w:t>100 ppm (400 mg/</w:t>
            </w:r>
            <w:proofErr w:type="spellStart"/>
            <w:r>
              <w:t>m</w:t>
            </w:r>
            <w:r>
              <w:rPr>
                <w:vertAlign w:val="superscript"/>
              </w:rPr>
              <w:t>3</w:t>
            </w:r>
            <w:proofErr w:type="spellEnd"/>
            <w:r>
              <w:t xml:space="preserve">) for </w:t>
            </w:r>
            <w:r w:rsidR="00155057">
              <w:t>8</w:t>
            </w:r>
            <w:r w:rsidR="007D16A8">
              <w:t xml:space="preserve"> </w:t>
            </w:r>
            <w:r>
              <w:t>h or 200 ppm (800 mg/</w:t>
            </w:r>
            <w:proofErr w:type="spellStart"/>
            <w:r>
              <w:t>m</w:t>
            </w:r>
            <w:r>
              <w:rPr>
                <w:vertAlign w:val="superscript"/>
              </w:rPr>
              <w:t>3</w:t>
            </w:r>
            <w:proofErr w:type="spellEnd"/>
            <w:r>
              <w:t xml:space="preserve">) for </w:t>
            </w:r>
            <w:r w:rsidR="00155057">
              <w:t>4</w:t>
            </w:r>
            <w:r w:rsidR="003A29EA">
              <w:t xml:space="preserve"> </w:t>
            </w:r>
            <w:r>
              <w:t>h</w:t>
            </w:r>
            <w:r w:rsidR="003A29EA">
              <w:t xml:space="preserve"> caused</w:t>
            </w:r>
            <w:r>
              <w:t xml:space="preserve"> degenerati</w:t>
            </w:r>
            <w:r w:rsidR="00CE448E">
              <w:t>on of the olfactory epithelial</w:t>
            </w:r>
          </w:p>
          <w:p w14:paraId="002F2517" w14:textId="237A863B" w:rsidR="00672C9D" w:rsidRDefault="00757CAE" w:rsidP="00672C9D">
            <w:pPr>
              <w:pStyle w:val="Tabletextprimarysource"/>
              <w:numPr>
                <w:ilvl w:val="0"/>
                <w:numId w:val="9"/>
              </w:numPr>
            </w:pPr>
            <w:r>
              <w:t xml:space="preserve">Ability to bind DNA in the liver, kidney and lung in rodents </w:t>
            </w:r>
            <w:r>
              <w:rPr>
                <w:i/>
              </w:rPr>
              <w:t xml:space="preserve">in vivo; </w:t>
            </w:r>
            <w:r>
              <w:t xml:space="preserve">DNA binding observed after inhalation and oral exposures and </w:t>
            </w:r>
            <w:r w:rsidR="004972B5">
              <w:t>IP</w:t>
            </w:r>
            <w:r>
              <w:t xml:space="preserve"> injection</w:t>
            </w:r>
          </w:p>
          <w:p w14:paraId="58278A32" w14:textId="4D21FDBE" w:rsidR="00757CAE" w:rsidRDefault="00757CAE" w:rsidP="00672C9D">
            <w:pPr>
              <w:pStyle w:val="Tabletextprimarysource"/>
              <w:numPr>
                <w:ilvl w:val="0"/>
                <w:numId w:val="9"/>
              </w:numPr>
            </w:pPr>
            <w:r>
              <w:lastRenderedPageBreak/>
              <w:t>Formation of DNA adducts demonstrated in catfish</w:t>
            </w:r>
          </w:p>
          <w:p w14:paraId="2C104634" w14:textId="644F6E71" w:rsidR="00757CAE" w:rsidRDefault="00757CAE" w:rsidP="00672C9D">
            <w:pPr>
              <w:pStyle w:val="Tabletextprimarysource"/>
              <w:numPr>
                <w:ilvl w:val="0"/>
                <w:numId w:val="9"/>
              </w:numPr>
            </w:pPr>
            <w:r>
              <w:t xml:space="preserve">Caused point mutations in human and animal cells and bacteria; unscheduled DNA synthesis in human and animal cells; DNA binding in animal cells. </w:t>
            </w:r>
          </w:p>
          <w:p w14:paraId="49345E1C" w14:textId="5113D069" w:rsidR="0078136E" w:rsidRPr="00DA352E" w:rsidRDefault="0078136E" w:rsidP="0004207F">
            <w:pPr>
              <w:pStyle w:val="Tabletextprimarysource"/>
            </w:pPr>
          </w:p>
        </w:tc>
      </w:tr>
      <w:tr w:rsidR="00DA352E" w:rsidRPr="00DA352E" w14:paraId="7E9CE8DA" w14:textId="77777777" w:rsidTr="00DE26E8">
        <w:trPr>
          <w:gridAfter w:val="1"/>
          <w:wAfter w:w="8" w:type="pct"/>
          <w:cantSplit/>
        </w:trPr>
        <w:tc>
          <w:tcPr>
            <w:tcW w:w="4992" w:type="pct"/>
            <w:shd w:val="clear" w:color="auto" w:fill="F2F2F2" w:themeFill="background1" w:themeFillShade="F2"/>
          </w:tcPr>
          <w:p w14:paraId="3EEBFEDB" w14:textId="0218711E"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077944">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077944">
                  <w:t>NA</w:t>
                </w:r>
                <w:proofErr w:type="spellEnd"/>
              </w:sdtContent>
            </w:sdt>
          </w:p>
        </w:tc>
      </w:tr>
      <w:tr w:rsidR="00DA352E" w:rsidRPr="00DA352E" w14:paraId="1B053C6D" w14:textId="77777777" w:rsidTr="00DE26E8">
        <w:trPr>
          <w:gridAfter w:val="1"/>
          <w:wAfter w:w="8" w:type="pct"/>
          <w:cantSplit/>
        </w:trPr>
        <w:tc>
          <w:tcPr>
            <w:tcW w:w="4992" w:type="pct"/>
          </w:tcPr>
          <w:p w14:paraId="649DF678" w14:textId="38DA7745" w:rsidR="00DA352E" w:rsidRPr="00DA352E" w:rsidRDefault="00C64A55" w:rsidP="003365A5">
            <w:pPr>
              <w:pStyle w:val="Tabletextprimarysource"/>
            </w:pPr>
            <w:r>
              <w:t xml:space="preserve">No report. </w:t>
            </w:r>
          </w:p>
        </w:tc>
      </w:tr>
      <w:tr w:rsidR="00DA352E" w:rsidRPr="00DA352E" w14:paraId="1FB584E8" w14:textId="77777777" w:rsidTr="00DE26E8">
        <w:trPr>
          <w:gridAfter w:val="1"/>
          <w:wAfter w:w="8" w:type="pct"/>
          <w:cantSplit/>
        </w:trPr>
        <w:tc>
          <w:tcPr>
            <w:tcW w:w="4992" w:type="pct"/>
            <w:shd w:val="clear" w:color="auto" w:fill="F2F2F2" w:themeFill="background1" w:themeFillShade="F2"/>
          </w:tcPr>
          <w:p w14:paraId="32EBEB7A" w14:textId="4CF86116" w:rsidR="00DA352E" w:rsidRPr="00DA352E" w:rsidRDefault="00DA352E" w:rsidP="0051509C">
            <w:pPr>
              <w:pStyle w:val="Tablerowheadingitalic"/>
              <w:tabs>
                <w:tab w:val="clear" w:pos="2268"/>
                <w:tab w:val="clear" w:pos="5670"/>
                <w:tab w:val="left" w:pos="1418"/>
                <w:tab w:val="left" w:pos="2552"/>
              </w:tabs>
            </w:pPr>
            <w:proofErr w:type="spellStart"/>
            <w:r w:rsidRPr="00DA352E">
              <w:t>HCOTN</w:t>
            </w:r>
            <w:proofErr w:type="spellEnd"/>
            <w:r w:rsidR="00916EC0" w:rsidRPr="003365A5">
              <w:t xml:space="preserve"> </w:t>
            </w:r>
            <w:r w:rsidR="00916EC0" w:rsidRPr="003365A5">
              <w:tab/>
            </w:r>
            <w:sdt>
              <w:sdtPr>
                <w:id w:val="1543090908"/>
                <w:placeholder>
                  <w:docPart w:val="EA1708404F1C4A3BB080A0D8EEB67D1D"/>
                </w:placeholder>
                <w:text/>
              </w:sdtPr>
              <w:sdtEndPr/>
              <w:sdtContent>
                <w:r w:rsidR="00077944">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077944">
                  <w:t>NA</w:t>
                </w:r>
                <w:proofErr w:type="spellEnd"/>
              </w:sdtContent>
            </w:sdt>
          </w:p>
        </w:tc>
      </w:tr>
      <w:tr w:rsidR="00DA352E" w:rsidRPr="00DA352E" w14:paraId="7009E999" w14:textId="77777777" w:rsidTr="00DE26E8">
        <w:trPr>
          <w:gridAfter w:val="1"/>
          <w:wAfter w:w="8" w:type="pct"/>
          <w:cantSplit/>
        </w:trPr>
        <w:tc>
          <w:tcPr>
            <w:tcW w:w="4992" w:type="pct"/>
          </w:tcPr>
          <w:p w14:paraId="11B88D1A" w14:textId="3D525110" w:rsidR="00DA352E" w:rsidRPr="00DA352E" w:rsidRDefault="00C64A55" w:rsidP="003365A5">
            <w:pPr>
              <w:pStyle w:val="Tabletextprimarysource"/>
            </w:pPr>
            <w:r>
              <w:t xml:space="preserve">No report. </w:t>
            </w:r>
          </w:p>
        </w:tc>
      </w:tr>
    </w:tbl>
    <w:p w14:paraId="4753738A"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2"/>
        <w:gridCol w:w="421"/>
        <w:gridCol w:w="661"/>
        <w:gridCol w:w="6462"/>
      </w:tblGrid>
      <w:tr w:rsidR="004966BF" w:rsidRPr="00263255" w14:paraId="31D327D7" w14:textId="77777777" w:rsidTr="00C64A55">
        <w:trPr>
          <w:cantSplit/>
          <w:trHeight w:val="393"/>
          <w:tblHeader/>
        </w:trPr>
        <w:tc>
          <w:tcPr>
            <w:tcW w:w="1482" w:type="dxa"/>
            <w:shd w:val="clear" w:color="auto" w:fill="BFBFBF" w:themeFill="background1" w:themeFillShade="BF"/>
            <w:vAlign w:val="center"/>
          </w:tcPr>
          <w:p w14:paraId="678450C5"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5A1B7506" w14:textId="77777777" w:rsidR="004966BF" w:rsidRPr="00263255" w:rsidRDefault="004966BF" w:rsidP="00263255">
            <w:pPr>
              <w:pStyle w:val="Tableheader"/>
            </w:pPr>
          </w:p>
        </w:tc>
        <w:tc>
          <w:tcPr>
            <w:tcW w:w="661" w:type="dxa"/>
            <w:shd w:val="clear" w:color="auto" w:fill="BFBFBF" w:themeFill="background1" w:themeFillShade="BF"/>
            <w:vAlign w:val="center"/>
          </w:tcPr>
          <w:p w14:paraId="6A6550C0" w14:textId="77777777" w:rsidR="004966BF" w:rsidRPr="00263255" w:rsidRDefault="004966BF" w:rsidP="00263255">
            <w:pPr>
              <w:pStyle w:val="Tableheader"/>
            </w:pPr>
            <w:r>
              <w:t>Year</w:t>
            </w:r>
          </w:p>
        </w:tc>
        <w:tc>
          <w:tcPr>
            <w:tcW w:w="6462" w:type="dxa"/>
            <w:shd w:val="clear" w:color="auto" w:fill="BFBFBF" w:themeFill="background1" w:themeFillShade="BF"/>
            <w:vAlign w:val="center"/>
          </w:tcPr>
          <w:p w14:paraId="4BD7D354" w14:textId="77777777" w:rsidR="004966BF" w:rsidRPr="00263255" w:rsidRDefault="004966BF" w:rsidP="00263255">
            <w:pPr>
              <w:pStyle w:val="Tableheader"/>
            </w:pPr>
            <w:r>
              <w:t>Additional information</w:t>
            </w:r>
          </w:p>
        </w:tc>
      </w:tr>
      <w:tr w:rsidR="004966BF" w:rsidRPr="004C23F4" w14:paraId="4A1B87B1" w14:textId="77777777" w:rsidTr="00C64A55">
        <w:trPr>
          <w:cantSplit/>
        </w:trPr>
        <w:tc>
          <w:tcPr>
            <w:tcW w:w="1482" w:type="dxa"/>
          </w:tcPr>
          <w:p w14:paraId="79F7E61D" w14:textId="77777777" w:rsidR="004966BF" w:rsidRPr="004C23F4" w:rsidRDefault="004966BF" w:rsidP="00224EE2">
            <w:pPr>
              <w:pStyle w:val="Tablefont"/>
            </w:pPr>
            <w:proofErr w:type="spellStart"/>
            <w:r>
              <w:t>NICNAS</w:t>
            </w:r>
            <w:proofErr w:type="spellEnd"/>
          </w:p>
        </w:tc>
        <w:tc>
          <w:tcPr>
            <w:tcW w:w="421" w:type="dxa"/>
          </w:tcPr>
          <w:p w14:paraId="3643F20D" w14:textId="45DBDB93" w:rsidR="004966BF" w:rsidRPr="00CE617F" w:rsidRDefault="009021FF"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824439">
                  <w:rPr>
                    <w:rStyle w:val="checkbox"/>
                  </w:rPr>
                  <w:t></w:t>
                </w:r>
              </w:sdtContent>
            </w:sdt>
          </w:p>
        </w:tc>
        <w:tc>
          <w:tcPr>
            <w:tcW w:w="661" w:type="dxa"/>
          </w:tcPr>
          <w:p w14:paraId="67A9BEF4" w14:textId="460EE56C" w:rsidR="004966BF" w:rsidRPr="004C23F4" w:rsidRDefault="00824439" w:rsidP="00717D45">
            <w:pPr>
              <w:pStyle w:val="Tablefont"/>
              <w:rPr>
                <w:rStyle w:val="checkbox"/>
                <w:rFonts w:ascii="Arial" w:hAnsi="Arial" w:cs="Arial"/>
              </w:rPr>
            </w:pPr>
            <w:r>
              <w:rPr>
                <w:rStyle w:val="checkbox"/>
                <w:rFonts w:ascii="Arial" w:hAnsi="Arial" w:cs="Arial"/>
              </w:rPr>
              <w:t>2013</w:t>
            </w:r>
          </w:p>
        </w:tc>
        <w:tc>
          <w:tcPr>
            <w:tcW w:w="6462" w:type="dxa"/>
          </w:tcPr>
          <w:p w14:paraId="7211A5CE" w14:textId="4C4FE2D8" w:rsidR="00957AA5" w:rsidRDefault="00957AA5" w:rsidP="00B60638">
            <w:pPr>
              <w:pStyle w:val="Tablefont"/>
              <w:numPr>
                <w:ilvl w:val="0"/>
                <w:numId w:val="3"/>
              </w:numPr>
              <w:spacing w:before="60" w:after="60"/>
              <w:ind w:left="714" w:hanging="357"/>
              <w:rPr>
                <w:rStyle w:val="checkbox"/>
                <w:rFonts w:ascii="Arial" w:hAnsi="Arial" w:cs="Arial"/>
              </w:rPr>
            </w:pPr>
            <w:r>
              <w:rPr>
                <w:rStyle w:val="checkbox"/>
                <w:rFonts w:ascii="Arial" w:hAnsi="Arial" w:cs="Arial"/>
              </w:rPr>
              <w:t>M</w:t>
            </w:r>
            <w:r w:rsidRPr="00957AA5">
              <w:rPr>
                <w:rStyle w:val="checkbox"/>
                <w:rFonts w:ascii="Arial" w:hAnsi="Arial" w:cs="Arial"/>
              </w:rPr>
              <w:t>ain critical effects to human health are carcinogenicity and mutagenicity</w:t>
            </w:r>
          </w:p>
          <w:p w14:paraId="41253E41" w14:textId="65C802CC" w:rsidR="000401F1" w:rsidRDefault="007D16A8" w:rsidP="00B60638">
            <w:pPr>
              <w:pStyle w:val="Tablefont"/>
              <w:numPr>
                <w:ilvl w:val="0"/>
                <w:numId w:val="3"/>
              </w:numPr>
              <w:spacing w:before="60" w:after="60"/>
              <w:ind w:left="714" w:hanging="357"/>
              <w:rPr>
                <w:rStyle w:val="checkbox"/>
                <w:rFonts w:ascii="Arial" w:hAnsi="Arial" w:cs="Arial"/>
              </w:rPr>
            </w:pPr>
            <w:r>
              <w:rPr>
                <w:rStyle w:val="checkbox"/>
                <w:rFonts w:ascii="Arial" w:hAnsi="Arial" w:cs="Arial"/>
              </w:rPr>
              <w:t>1</w:t>
            </w:r>
            <w:r w:rsidR="000401F1">
              <w:rPr>
                <w:rStyle w:val="checkbox"/>
                <w:rFonts w:ascii="Arial" w:hAnsi="Arial" w:cs="Arial"/>
              </w:rPr>
              <w:t xml:space="preserve"> case reported 14</w:t>
            </w:r>
            <w:r w:rsidR="004972B5">
              <w:rPr>
                <w:rStyle w:val="checkbox"/>
                <w:rFonts w:ascii="Arial" w:hAnsi="Arial" w:cs="Arial"/>
              </w:rPr>
              <w:t>/</w:t>
            </w:r>
            <w:r w:rsidR="000401F1">
              <w:rPr>
                <w:rStyle w:val="checkbox"/>
                <w:rFonts w:ascii="Arial" w:hAnsi="Arial" w:cs="Arial"/>
              </w:rPr>
              <w:t>26 workers experienced headaches, concentration and memory problems, dizziness, nausea and irritation of skin and mucous membranes upon exposure through fumigation of freight containers</w:t>
            </w:r>
          </w:p>
          <w:p w14:paraId="1F023F87" w14:textId="26350CFF" w:rsidR="004966BF" w:rsidRDefault="00824439" w:rsidP="00B60638">
            <w:pPr>
              <w:pStyle w:val="Tablefont"/>
              <w:numPr>
                <w:ilvl w:val="0"/>
                <w:numId w:val="3"/>
              </w:numPr>
              <w:spacing w:before="60" w:after="60"/>
              <w:ind w:left="714" w:hanging="357"/>
              <w:rPr>
                <w:rStyle w:val="checkbox"/>
                <w:rFonts w:ascii="Arial" w:hAnsi="Arial" w:cs="Arial"/>
              </w:rPr>
            </w:pPr>
            <w:proofErr w:type="spellStart"/>
            <w:r>
              <w:rPr>
                <w:rStyle w:val="checkbox"/>
                <w:rFonts w:ascii="Arial" w:hAnsi="Arial" w:cs="Arial"/>
              </w:rPr>
              <w:t>LD</w:t>
            </w:r>
            <w:r>
              <w:rPr>
                <w:rStyle w:val="checkbox"/>
                <w:rFonts w:ascii="Arial" w:hAnsi="Arial" w:cs="Arial"/>
                <w:vertAlign w:val="subscript"/>
              </w:rPr>
              <w:t>50</w:t>
            </w:r>
            <w:proofErr w:type="spellEnd"/>
            <w:r w:rsidR="00C64A55">
              <w:rPr>
                <w:rStyle w:val="checkbox"/>
                <w:rFonts w:ascii="Arial" w:hAnsi="Arial" w:cs="Arial"/>
              </w:rPr>
              <w:t xml:space="preserve">: </w:t>
            </w:r>
            <w:r>
              <w:rPr>
                <w:rStyle w:val="checkbox"/>
                <w:rFonts w:ascii="Arial" w:hAnsi="Arial" w:cs="Arial"/>
              </w:rPr>
              <w:t>4</w:t>
            </w:r>
            <w:r w:rsidR="007D16A8">
              <w:rPr>
                <w:rStyle w:val="checkbox"/>
                <w:rFonts w:ascii="Arial" w:hAnsi="Arial" w:cs="Arial"/>
              </w:rPr>
              <w:t>,</w:t>
            </w:r>
            <w:r w:rsidR="00CE448E">
              <w:rPr>
                <w:rStyle w:val="checkbox"/>
                <w:rFonts w:ascii="Arial" w:hAnsi="Arial" w:cs="Arial"/>
              </w:rPr>
              <w:t>270–</w:t>
            </w:r>
            <w:r>
              <w:rPr>
                <w:rStyle w:val="checkbox"/>
                <w:rFonts w:ascii="Arial" w:hAnsi="Arial" w:cs="Arial"/>
              </w:rPr>
              <w:t>5</w:t>
            </w:r>
            <w:r w:rsidR="007D16A8">
              <w:rPr>
                <w:rStyle w:val="checkbox"/>
                <w:rFonts w:ascii="Arial" w:hAnsi="Arial" w:cs="Arial"/>
              </w:rPr>
              <w:t>,</w:t>
            </w:r>
            <w:r w:rsidR="00C64A55">
              <w:rPr>
                <w:rStyle w:val="checkbox"/>
                <w:rFonts w:ascii="Arial" w:hAnsi="Arial" w:cs="Arial"/>
              </w:rPr>
              <w:t>600 mg/kg (</w:t>
            </w:r>
            <w:r>
              <w:rPr>
                <w:rStyle w:val="checkbox"/>
                <w:rFonts w:ascii="Arial" w:hAnsi="Arial" w:cs="Arial"/>
              </w:rPr>
              <w:t>rabbits</w:t>
            </w:r>
            <w:r w:rsidR="00C64A55">
              <w:rPr>
                <w:rStyle w:val="checkbox"/>
                <w:rFonts w:ascii="Arial" w:hAnsi="Arial" w:cs="Arial"/>
              </w:rPr>
              <w:t>, dermal)</w:t>
            </w:r>
          </w:p>
          <w:p w14:paraId="4A9F574E" w14:textId="468222B4" w:rsidR="00824439" w:rsidRDefault="00824439" w:rsidP="00B60638">
            <w:pPr>
              <w:pStyle w:val="Tablefont"/>
              <w:numPr>
                <w:ilvl w:val="0"/>
                <w:numId w:val="3"/>
              </w:numPr>
              <w:spacing w:before="60" w:after="60"/>
              <w:ind w:left="714" w:hanging="357"/>
              <w:rPr>
                <w:rStyle w:val="checkbox"/>
                <w:rFonts w:ascii="Arial" w:hAnsi="Arial" w:cs="Arial"/>
              </w:rPr>
            </w:pPr>
            <w:r>
              <w:rPr>
                <w:rStyle w:val="checkbox"/>
                <w:rFonts w:ascii="Arial" w:hAnsi="Arial" w:cs="Arial"/>
              </w:rPr>
              <w:t>4</w:t>
            </w:r>
            <w:r w:rsidR="007D16A8">
              <w:rPr>
                <w:rStyle w:val="checkbox"/>
                <w:rFonts w:ascii="Arial" w:hAnsi="Arial" w:cs="Arial"/>
              </w:rPr>
              <w:t xml:space="preserve"> </w:t>
            </w:r>
            <w:r>
              <w:rPr>
                <w:rStyle w:val="checkbox"/>
                <w:rFonts w:ascii="Arial" w:hAnsi="Arial" w:cs="Arial"/>
              </w:rPr>
              <w:t xml:space="preserve">h </w:t>
            </w:r>
            <w:proofErr w:type="spellStart"/>
            <w:r>
              <w:rPr>
                <w:rStyle w:val="checkbox"/>
                <w:rFonts w:ascii="Arial" w:hAnsi="Arial" w:cs="Arial"/>
              </w:rPr>
              <w:t>LC</w:t>
            </w:r>
            <w:r>
              <w:rPr>
                <w:rStyle w:val="checkbox"/>
                <w:rFonts w:ascii="Arial" w:hAnsi="Arial" w:cs="Arial"/>
                <w:vertAlign w:val="subscript"/>
              </w:rPr>
              <w:t>50</w:t>
            </w:r>
            <w:proofErr w:type="spellEnd"/>
            <w:r>
              <w:rPr>
                <w:rStyle w:val="checkbox"/>
                <w:rFonts w:ascii="Arial" w:hAnsi="Arial" w:cs="Arial"/>
              </w:rPr>
              <w:t xml:space="preserve"> in rats estimated at 8</w:t>
            </w:r>
            <w:r w:rsidR="007D16A8">
              <w:rPr>
                <w:rStyle w:val="checkbox"/>
                <w:rFonts w:ascii="Arial" w:hAnsi="Arial" w:cs="Arial"/>
              </w:rPr>
              <w:t>,</w:t>
            </w:r>
            <w:r>
              <w:rPr>
                <w:rStyle w:val="checkbox"/>
                <w:rFonts w:ascii="Arial" w:hAnsi="Arial" w:cs="Arial"/>
              </w:rPr>
              <w:t>000 mg/</w:t>
            </w:r>
            <w:proofErr w:type="spellStart"/>
            <w:r>
              <w:rPr>
                <w:rStyle w:val="checkbox"/>
                <w:rFonts w:ascii="Arial" w:hAnsi="Arial" w:cs="Arial"/>
              </w:rPr>
              <w:t>m</w:t>
            </w:r>
            <w:r>
              <w:rPr>
                <w:rStyle w:val="checkbox"/>
                <w:rFonts w:ascii="Arial" w:hAnsi="Arial" w:cs="Arial"/>
                <w:vertAlign w:val="superscript"/>
              </w:rPr>
              <w:t>3</w:t>
            </w:r>
            <w:proofErr w:type="spellEnd"/>
            <w:r w:rsidR="00C64A55">
              <w:rPr>
                <w:rStyle w:val="checkbox"/>
                <w:rFonts w:ascii="Arial" w:hAnsi="Arial" w:cs="Arial"/>
              </w:rPr>
              <w:t xml:space="preserve">; </w:t>
            </w:r>
            <w:r w:rsidR="000401F1">
              <w:rPr>
                <w:rStyle w:val="checkbox"/>
                <w:rFonts w:ascii="Arial" w:hAnsi="Arial" w:cs="Arial"/>
              </w:rPr>
              <w:t>6</w:t>
            </w:r>
            <w:r w:rsidR="007D16A8">
              <w:rPr>
                <w:rStyle w:val="checkbox"/>
                <w:rFonts w:ascii="Arial" w:hAnsi="Arial" w:cs="Arial"/>
              </w:rPr>
              <w:t xml:space="preserve"> </w:t>
            </w:r>
            <w:r w:rsidR="000401F1">
              <w:rPr>
                <w:rStyle w:val="checkbox"/>
                <w:rFonts w:ascii="Arial" w:hAnsi="Arial" w:cs="Arial"/>
              </w:rPr>
              <w:t xml:space="preserve">h </w:t>
            </w:r>
            <w:proofErr w:type="spellStart"/>
            <w:r w:rsidR="000401F1">
              <w:rPr>
                <w:rStyle w:val="checkbox"/>
                <w:rFonts w:ascii="Arial" w:hAnsi="Arial" w:cs="Arial"/>
              </w:rPr>
              <w:t>LC</w:t>
            </w:r>
            <w:r w:rsidR="000401F1">
              <w:rPr>
                <w:rStyle w:val="checkbox"/>
                <w:rFonts w:ascii="Arial" w:hAnsi="Arial" w:cs="Arial"/>
                <w:vertAlign w:val="subscript"/>
              </w:rPr>
              <w:t>50</w:t>
            </w:r>
            <w:proofErr w:type="spellEnd"/>
            <w:r w:rsidR="000401F1">
              <w:rPr>
                <w:rStyle w:val="checkbox"/>
                <w:rFonts w:ascii="Arial" w:hAnsi="Arial" w:cs="Arial"/>
              </w:rPr>
              <w:t xml:space="preserve"> in mice estimated at 1</w:t>
            </w:r>
            <w:r w:rsidR="007D16A8">
              <w:rPr>
                <w:rStyle w:val="checkbox"/>
                <w:rFonts w:ascii="Arial" w:hAnsi="Arial" w:cs="Arial"/>
              </w:rPr>
              <w:t>,</w:t>
            </w:r>
            <w:r w:rsidR="000401F1">
              <w:rPr>
                <w:rStyle w:val="checkbox"/>
                <w:rFonts w:ascii="Arial" w:hAnsi="Arial" w:cs="Arial"/>
              </w:rPr>
              <w:t>080 mg/</w:t>
            </w:r>
            <w:proofErr w:type="spellStart"/>
            <w:r w:rsidR="000401F1">
              <w:rPr>
                <w:rStyle w:val="checkbox"/>
                <w:rFonts w:ascii="Arial" w:hAnsi="Arial" w:cs="Arial"/>
              </w:rPr>
              <w:t>m</w:t>
            </w:r>
            <w:r w:rsidR="000401F1">
              <w:rPr>
                <w:rStyle w:val="checkbox"/>
                <w:rFonts w:ascii="Arial" w:hAnsi="Arial" w:cs="Arial"/>
                <w:vertAlign w:val="superscript"/>
              </w:rPr>
              <w:t>3</w:t>
            </w:r>
            <w:proofErr w:type="spellEnd"/>
            <w:r w:rsidR="00C64A55">
              <w:rPr>
                <w:rStyle w:val="checkbox"/>
                <w:rFonts w:ascii="Arial" w:hAnsi="Arial" w:cs="Arial"/>
              </w:rPr>
              <w:t xml:space="preserve"> </w:t>
            </w:r>
          </w:p>
          <w:p w14:paraId="50BEC4C4" w14:textId="77777777" w:rsidR="0020417C" w:rsidRDefault="007D16A8" w:rsidP="00B60638">
            <w:pPr>
              <w:pStyle w:val="Tablefont"/>
              <w:numPr>
                <w:ilvl w:val="0"/>
                <w:numId w:val="3"/>
              </w:numPr>
              <w:spacing w:before="60" w:after="60"/>
              <w:ind w:left="714" w:hanging="357"/>
              <w:rPr>
                <w:rStyle w:val="checkbox"/>
                <w:rFonts w:ascii="Arial" w:hAnsi="Arial" w:cs="Arial"/>
              </w:rPr>
            </w:pPr>
            <w:r>
              <w:rPr>
                <w:rStyle w:val="checkbox"/>
                <w:rFonts w:ascii="Arial" w:hAnsi="Arial" w:cs="Arial"/>
              </w:rPr>
              <w:t>2</w:t>
            </w:r>
            <w:r w:rsidR="00034ED0" w:rsidRPr="00B55167">
              <w:rPr>
                <w:rStyle w:val="checkbox"/>
                <w:rFonts w:ascii="Arial" w:hAnsi="Arial" w:cs="Arial"/>
              </w:rPr>
              <w:t xml:space="preserve"> </w:t>
            </w:r>
            <w:r w:rsidR="000401F1" w:rsidRPr="00B55167">
              <w:rPr>
                <w:rStyle w:val="checkbox"/>
                <w:rFonts w:ascii="Arial" w:hAnsi="Arial" w:cs="Arial"/>
              </w:rPr>
              <w:t xml:space="preserve">animal studies demonstrated increased incidence of tumours </w:t>
            </w:r>
            <w:r w:rsidR="00034ED0" w:rsidRPr="00B55167">
              <w:rPr>
                <w:rStyle w:val="checkbox"/>
                <w:rFonts w:ascii="Arial" w:hAnsi="Arial" w:cs="Arial"/>
              </w:rPr>
              <w:t xml:space="preserve">(liver, kidney, mammary gland) </w:t>
            </w:r>
            <w:r w:rsidR="00E844DA" w:rsidRPr="00B55167">
              <w:rPr>
                <w:rStyle w:val="checkbox"/>
                <w:rFonts w:ascii="Arial" w:hAnsi="Arial" w:cs="Arial"/>
              </w:rPr>
              <w:t xml:space="preserve">following inhalation exposure at </w:t>
            </w:r>
            <w:r w:rsidR="00CA00EC" w:rsidRPr="00B55167">
              <w:rPr>
                <w:rStyle w:val="checkbox"/>
                <w:rFonts w:ascii="Arial" w:hAnsi="Arial" w:cs="Arial"/>
              </w:rPr>
              <w:t>≥</w:t>
            </w:r>
            <w:r w:rsidR="00E844DA" w:rsidRPr="00B55167">
              <w:rPr>
                <w:rStyle w:val="checkbox"/>
                <w:rFonts w:ascii="Arial" w:hAnsi="Arial" w:cs="Arial"/>
              </w:rPr>
              <w:t>10 ppm</w:t>
            </w:r>
            <w:r w:rsidR="00034ED0" w:rsidRPr="00B55167">
              <w:rPr>
                <w:rStyle w:val="checkbox"/>
                <w:rFonts w:ascii="Arial" w:hAnsi="Arial" w:cs="Arial"/>
              </w:rPr>
              <w:t>,</w:t>
            </w:r>
            <w:r w:rsidR="00155057" w:rsidRPr="00B55167">
              <w:rPr>
                <w:rStyle w:val="checkbox"/>
                <w:rFonts w:ascii="Arial" w:hAnsi="Arial" w:cs="Arial"/>
              </w:rPr>
              <w:t xml:space="preserve"> </w:t>
            </w:r>
            <w:r w:rsidR="00AB4C9B" w:rsidRPr="00B55167">
              <w:rPr>
                <w:rStyle w:val="checkbox"/>
                <w:rFonts w:ascii="Arial" w:hAnsi="Arial" w:cs="Arial"/>
              </w:rPr>
              <w:t>for</w:t>
            </w:r>
            <w:r w:rsidR="00E844DA" w:rsidRPr="00B55167">
              <w:rPr>
                <w:rStyle w:val="checkbox"/>
                <w:rFonts w:ascii="Arial" w:hAnsi="Arial" w:cs="Arial"/>
              </w:rPr>
              <w:t xml:space="preserve"> </w:t>
            </w:r>
            <w:r w:rsidR="00034ED0" w:rsidRPr="00B55167">
              <w:rPr>
                <w:rStyle w:val="checkbox"/>
                <w:rFonts w:ascii="Arial" w:hAnsi="Arial" w:cs="Arial"/>
              </w:rPr>
              <w:t>&gt;</w:t>
            </w:r>
            <w:r w:rsidR="00E844DA" w:rsidRPr="00B55167">
              <w:rPr>
                <w:rStyle w:val="checkbox"/>
                <w:rFonts w:ascii="Arial" w:hAnsi="Arial" w:cs="Arial"/>
              </w:rPr>
              <w:t xml:space="preserve">104 </w:t>
            </w:r>
            <w:proofErr w:type="spellStart"/>
            <w:r w:rsidR="00E844DA" w:rsidRPr="00B55167">
              <w:rPr>
                <w:rStyle w:val="checkbox"/>
                <w:rFonts w:ascii="Arial" w:hAnsi="Arial" w:cs="Arial"/>
              </w:rPr>
              <w:t>wk</w:t>
            </w:r>
            <w:proofErr w:type="spellEnd"/>
          </w:p>
          <w:p w14:paraId="2CF4B28E" w14:textId="3F709F23" w:rsidR="000401F1" w:rsidRDefault="0020417C" w:rsidP="0020417C">
            <w:pPr>
              <w:pStyle w:val="Tabletextprimarysource"/>
              <w:numPr>
                <w:ilvl w:val="0"/>
                <w:numId w:val="14"/>
              </w:numPr>
              <w:rPr>
                <w:rStyle w:val="checkbox"/>
                <w:rFonts w:ascii="Arial" w:hAnsi="Arial" w:cs="Arial"/>
              </w:rPr>
            </w:pPr>
            <w:r>
              <w:rPr>
                <w:rStyle w:val="checkbox"/>
                <w:rFonts w:ascii="Arial" w:hAnsi="Arial" w:cs="Arial"/>
              </w:rPr>
              <w:t>h</w:t>
            </w:r>
            <w:r w:rsidR="00E844DA">
              <w:rPr>
                <w:rStyle w:val="checkbox"/>
                <w:rFonts w:ascii="Arial" w:hAnsi="Arial" w:cs="Arial"/>
              </w:rPr>
              <w:t xml:space="preserve">uman </w:t>
            </w:r>
            <w:r w:rsidR="00E844DA" w:rsidRPr="0020417C">
              <w:t>carcinogenicity</w:t>
            </w:r>
            <w:r w:rsidR="00E844DA">
              <w:rPr>
                <w:rStyle w:val="checkbox"/>
                <w:rFonts w:ascii="Arial" w:hAnsi="Arial" w:cs="Arial"/>
              </w:rPr>
              <w:t xml:space="preserve"> data remains inconclusive</w:t>
            </w:r>
          </w:p>
          <w:p w14:paraId="760F757F" w14:textId="783A222F" w:rsidR="00E844DA" w:rsidRPr="004C23F4" w:rsidRDefault="00E844DA" w:rsidP="00B60638">
            <w:pPr>
              <w:pStyle w:val="Tablefont"/>
              <w:numPr>
                <w:ilvl w:val="0"/>
                <w:numId w:val="3"/>
              </w:numPr>
              <w:spacing w:before="60" w:after="60"/>
              <w:ind w:left="714" w:hanging="357"/>
              <w:rPr>
                <w:rStyle w:val="checkbox"/>
                <w:rFonts w:ascii="Arial" w:hAnsi="Arial" w:cs="Arial"/>
              </w:rPr>
            </w:pPr>
            <w:r>
              <w:rPr>
                <w:rStyle w:val="checkbox"/>
                <w:rFonts w:ascii="Arial" w:hAnsi="Arial" w:cs="Arial"/>
              </w:rPr>
              <w:t>No evidence of reproductive/developmental effects following exposure in animals</w:t>
            </w:r>
            <w:r w:rsidR="00CE448E">
              <w:rPr>
                <w:rStyle w:val="checkbox"/>
                <w:rFonts w:ascii="Arial" w:hAnsi="Arial" w:cs="Arial"/>
              </w:rPr>
              <w:t>.</w:t>
            </w:r>
          </w:p>
        </w:tc>
      </w:tr>
      <w:tr w:rsidR="004966BF" w:rsidRPr="004C23F4" w14:paraId="67665ADC" w14:textId="77777777" w:rsidTr="00C64A55">
        <w:trPr>
          <w:cantSplit/>
        </w:trPr>
        <w:tc>
          <w:tcPr>
            <w:tcW w:w="1482" w:type="dxa"/>
          </w:tcPr>
          <w:p w14:paraId="2AEAE140" w14:textId="77777777" w:rsidR="004966BF" w:rsidRPr="004C23F4" w:rsidRDefault="004966BF" w:rsidP="00224EE2">
            <w:pPr>
              <w:pStyle w:val="Tablefont"/>
            </w:pPr>
            <w:r>
              <w:t>IARC</w:t>
            </w:r>
          </w:p>
        </w:tc>
        <w:tc>
          <w:tcPr>
            <w:tcW w:w="421" w:type="dxa"/>
          </w:tcPr>
          <w:p w14:paraId="0FD02E64" w14:textId="43D3D27E" w:rsidR="004966BF" w:rsidRPr="00CE617F" w:rsidRDefault="009021FF"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980744">
                  <w:rPr>
                    <w:rStyle w:val="checkbox"/>
                  </w:rPr>
                  <w:t></w:t>
                </w:r>
              </w:sdtContent>
            </w:sdt>
          </w:p>
        </w:tc>
        <w:tc>
          <w:tcPr>
            <w:tcW w:w="661" w:type="dxa"/>
          </w:tcPr>
          <w:p w14:paraId="40907983" w14:textId="7EC65742" w:rsidR="004966BF" w:rsidRPr="004C23F4" w:rsidRDefault="00980744" w:rsidP="00717D45">
            <w:pPr>
              <w:pStyle w:val="Tablefont"/>
              <w:rPr>
                <w:rStyle w:val="checkbox"/>
                <w:rFonts w:ascii="Arial" w:hAnsi="Arial" w:cs="Arial"/>
              </w:rPr>
            </w:pPr>
            <w:r>
              <w:rPr>
                <w:rStyle w:val="checkbox"/>
                <w:rFonts w:ascii="Arial" w:hAnsi="Arial" w:cs="Arial"/>
              </w:rPr>
              <w:t>1999</w:t>
            </w:r>
          </w:p>
        </w:tc>
        <w:tc>
          <w:tcPr>
            <w:tcW w:w="6462" w:type="dxa"/>
          </w:tcPr>
          <w:p w14:paraId="7CBA75E3" w14:textId="25AB77CA" w:rsidR="00980744" w:rsidRDefault="00980744" w:rsidP="00B60638">
            <w:pPr>
              <w:pStyle w:val="Tablefont"/>
              <w:numPr>
                <w:ilvl w:val="0"/>
                <w:numId w:val="7"/>
              </w:numPr>
              <w:spacing w:before="60" w:after="60"/>
              <w:ind w:left="714" w:hanging="357"/>
              <w:rPr>
                <w:rStyle w:val="checkbox"/>
                <w:rFonts w:ascii="Arial" w:hAnsi="Arial" w:cs="Arial"/>
              </w:rPr>
            </w:pPr>
            <w:r>
              <w:rPr>
                <w:rStyle w:val="checkbox"/>
                <w:rFonts w:ascii="Arial" w:hAnsi="Arial" w:cs="Arial"/>
              </w:rPr>
              <w:t xml:space="preserve">Available human cancer studies </w:t>
            </w:r>
            <w:r w:rsidR="00860C7E">
              <w:rPr>
                <w:rStyle w:val="checkbox"/>
                <w:rFonts w:ascii="Arial" w:hAnsi="Arial" w:cs="Arial"/>
              </w:rPr>
              <w:t>inconclusive, difficult</w:t>
            </w:r>
            <w:r w:rsidR="00C64A55">
              <w:rPr>
                <w:rStyle w:val="checkbox"/>
                <w:rFonts w:ascii="Arial" w:hAnsi="Arial" w:cs="Arial"/>
              </w:rPr>
              <w:t xml:space="preserve">ly </w:t>
            </w:r>
            <w:r w:rsidR="00860C7E">
              <w:rPr>
                <w:rStyle w:val="checkbox"/>
                <w:rFonts w:ascii="Arial" w:hAnsi="Arial" w:cs="Arial"/>
              </w:rPr>
              <w:t>link</w:t>
            </w:r>
            <w:r w:rsidR="00C64A55">
              <w:rPr>
                <w:rStyle w:val="checkbox"/>
                <w:rFonts w:ascii="Arial" w:hAnsi="Arial" w:cs="Arial"/>
              </w:rPr>
              <w:t>ing</w:t>
            </w:r>
            <w:r w:rsidR="00860C7E">
              <w:rPr>
                <w:rStyle w:val="checkbox"/>
                <w:rFonts w:ascii="Arial" w:hAnsi="Arial" w:cs="Arial"/>
              </w:rPr>
              <w:t xml:space="preserve"> mortality or cancer incidence specifically to ethylene dichloride exposure </w:t>
            </w:r>
          </w:p>
          <w:p w14:paraId="01925F80" w14:textId="704DB2AF" w:rsidR="003D4261" w:rsidRPr="00714D39" w:rsidRDefault="003D4261" w:rsidP="00B60638">
            <w:pPr>
              <w:pStyle w:val="Tablefont"/>
              <w:numPr>
                <w:ilvl w:val="0"/>
                <w:numId w:val="7"/>
              </w:numPr>
              <w:spacing w:before="60" w:after="60"/>
              <w:ind w:left="714" w:hanging="357"/>
              <w:rPr>
                <w:rStyle w:val="checkbox"/>
                <w:rFonts w:ascii="Arial" w:hAnsi="Arial" w:cs="Arial"/>
              </w:rPr>
            </w:pPr>
            <w:r>
              <w:rPr>
                <w:rStyle w:val="checkbox"/>
                <w:rFonts w:ascii="Arial" w:hAnsi="Arial" w:cs="Arial"/>
              </w:rPr>
              <w:t>Significant increase in liver sarcomas in male mice and hepatocellular, bronchiolar-alveolar and mammary gland adenomas in female mice when exposed to whole-body inhalation at 90 ppm for 6 h/d, 5 d/</w:t>
            </w:r>
            <w:proofErr w:type="spellStart"/>
            <w:r>
              <w:rPr>
                <w:rStyle w:val="checkbox"/>
                <w:rFonts w:ascii="Arial" w:hAnsi="Arial" w:cs="Arial"/>
              </w:rPr>
              <w:t>wk</w:t>
            </w:r>
            <w:proofErr w:type="spellEnd"/>
            <w:r w:rsidR="00034ED0">
              <w:rPr>
                <w:rStyle w:val="checkbox"/>
                <w:rFonts w:ascii="Arial" w:hAnsi="Arial" w:cs="Arial"/>
              </w:rPr>
              <w:t>,</w:t>
            </w:r>
            <w:r>
              <w:rPr>
                <w:rStyle w:val="checkbox"/>
                <w:rFonts w:ascii="Arial" w:hAnsi="Arial" w:cs="Arial"/>
              </w:rPr>
              <w:t xml:space="preserve"> 104 wk. </w:t>
            </w:r>
          </w:p>
        </w:tc>
      </w:tr>
      <w:tr w:rsidR="004966BF" w:rsidRPr="004C23F4" w14:paraId="4D65E953" w14:textId="77777777" w:rsidTr="00C64A55">
        <w:trPr>
          <w:cantSplit/>
        </w:trPr>
        <w:tc>
          <w:tcPr>
            <w:tcW w:w="1482" w:type="dxa"/>
          </w:tcPr>
          <w:p w14:paraId="6BCFEC63" w14:textId="77777777" w:rsidR="004966BF" w:rsidRPr="004C23F4" w:rsidRDefault="004966BF" w:rsidP="00224EE2">
            <w:pPr>
              <w:pStyle w:val="Tablefont"/>
            </w:pPr>
            <w:r>
              <w:t>US EPA</w:t>
            </w:r>
          </w:p>
        </w:tc>
        <w:tc>
          <w:tcPr>
            <w:tcW w:w="421" w:type="dxa"/>
          </w:tcPr>
          <w:p w14:paraId="22AC8CA0" w14:textId="380DB6A3" w:rsidR="004966BF" w:rsidRPr="00CE617F" w:rsidRDefault="009021FF"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6A7DB6">
                  <w:rPr>
                    <w:rStyle w:val="checkbox"/>
                  </w:rPr>
                  <w:t></w:t>
                </w:r>
              </w:sdtContent>
            </w:sdt>
          </w:p>
        </w:tc>
        <w:tc>
          <w:tcPr>
            <w:tcW w:w="661" w:type="dxa"/>
          </w:tcPr>
          <w:p w14:paraId="509B96F0" w14:textId="4564795F" w:rsidR="004966BF" w:rsidRPr="004C23F4" w:rsidRDefault="006A7DB6" w:rsidP="00717D45">
            <w:pPr>
              <w:pStyle w:val="Tablefont"/>
              <w:rPr>
                <w:rStyle w:val="checkbox"/>
                <w:rFonts w:ascii="Arial" w:hAnsi="Arial" w:cs="Arial"/>
              </w:rPr>
            </w:pPr>
            <w:r>
              <w:rPr>
                <w:rStyle w:val="checkbox"/>
                <w:rFonts w:ascii="Arial" w:hAnsi="Arial" w:cs="Arial"/>
              </w:rPr>
              <w:t>1987</w:t>
            </w:r>
          </w:p>
        </w:tc>
        <w:tc>
          <w:tcPr>
            <w:tcW w:w="6462" w:type="dxa"/>
          </w:tcPr>
          <w:p w14:paraId="15BE4845" w14:textId="4A1A7463" w:rsidR="005C4A38" w:rsidRDefault="005C4A38" w:rsidP="005C4A38">
            <w:pPr>
              <w:pStyle w:val="Tablefont"/>
              <w:numPr>
                <w:ilvl w:val="0"/>
                <w:numId w:val="4"/>
              </w:numPr>
              <w:rPr>
                <w:rStyle w:val="checkbox"/>
                <w:rFonts w:ascii="Arial" w:hAnsi="Arial" w:cs="Arial"/>
              </w:rPr>
            </w:pPr>
            <w:r w:rsidRPr="005C4A38">
              <w:rPr>
                <w:rStyle w:val="checkbox"/>
                <w:rFonts w:ascii="Arial" w:hAnsi="Arial" w:cs="Arial"/>
              </w:rPr>
              <w:t xml:space="preserve">Classification — </w:t>
            </w:r>
            <w:proofErr w:type="spellStart"/>
            <w:r w:rsidRPr="005C4A38">
              <w:rPr>
                <w:rStyle w:val="checkbox"/>
                <w:rFonts w:ascii="Arial" w:hAnsi="Arial" w:cs="Arial"/>
              </w:rPr>
              <w:t>B2</w:t>
            </w:r>
            <w:proofErr w:type="spellEnd"/>
            <w:r w:rsidRPr="005C4A38">
              <w:rPr>
                <w:rStyle w:val="checkbox"/>
                <w:rFonts w:ascii="Arial" w:hAnsi="Arial" w:cs="Arial"/>
              </w:rPr>
              <w:t>; probable human carcinogen</w:t>
            </w:r>
            <w:r>
              <w:rPr>
                <w:rStyle w:val="checkbox"/>
                <w:rFonts w:ascii="Arial" w:hAnsi="Arial" w:cs="Arial"/>
              </w:rPr>
              <w:t xml:space="preserve">; </w:t>
            </w:r>
            <w:r>
              <w:t xml:space="preserve">based on the induction of several </w:t>
            </w:r>
            <w:r w:rsidR="001859D5">
              <w:t>tumour</w:t>
            </w:r>
            <w:r>
              <w:t xml:space="preserve"> types in rats and mice treated by gavage and lung </w:t>
            </w:r>
            <w:proofErr w:type="spellStart"/>
            <w:r>
              <w:t>papillomas</w:t>
            </w:r>
            <w:proofErr w:type="spellEnd"/>
            <w:r>
              <w:t xml:space="preserve"> in mice after topical application</w:t>
            </w:r>
          </w:p>
          <w:p w14:paraId="7401F8D4" w14:textId="066CC495" w:rsidR="006A7DB6" w:rsidRPr="00A640BD" w:rsidRDefault="006A7DB6" w:rsidP="006A7DB6">
            <w:pPr>
              <w:pStyle w:val="Tablefont"/>
              <w:numPr>
                <w:ilvl w:val="0"/>
                <w:numId w:val="4"/>
              </w:numPr>
              <w:rPr>
                <w:rStyle w:val="checkbox"/>
                <w:rFonts w:ascii="Arial" w:hAnsi="Arial" w:cs="Arial"/>
                <w:lang w:val="it-IT"/>
              </w:rPr>
            </w:pPr>
            <w:r w:rsidRPr="00A640BD">
              <w:rPr>
                <w:rStyle w:val="checkbox"/>
                <w:rFonts w:ascii="Arial" w:hAnsi="Arial" w:cs="Arial"/>
                <w:lang w:val="it-IT"/>
              </w:rPr>
              <w:t xml:space="preserve">Oral </w:t>
            </w:r>
            <w:r w:rsidR="00034ED0" w:rsidRPr="00A640BD">
              <w:rPr>
                <w:rStyle w:val="checkbox"/>
                <w:rFonts w:ascii="Arial" w:hAnsi="Arial" w:cs="Arial"/>
                <w:lang w:val="it-IT"/>
              </w:rPr>
              <w:t>CSF:</w:t>
            </w:r>
            <w:r w:rsidRPr="00A640BD">
              <w:rPr>
                <w:rStyle w:val="checkbox"/>
                <w:rFonts w:ascii="Arial" w:hAnsi="Arial" w:cs="Arial"/>
                <w:lang w:val="it-IT"/>
              </w:rPr>
              <w:t xml:space="preserve"> 9.1 x 10</w:t>
            </w:r>
            <w:r w:rsidRPr="00A640BD">
              <w:rPr>
                <w:rStyle w:val="checkbox"/>
                <w:rFonts w:ascii="Arial" w:hAnsi="Arial" w:cs="Arial"/>
                <w:vertAlign w:val="superscript"/>
                <w:lang w:val="it-IT"/>
              </w:rPr>
              <w:t>-2</w:t>
            </w:r>
            <w:r w:rsidRPr="00A640BD">
              <w:rPr>
                <w:rStyle w:val="checkbox"/>
                <w:rFonts w:ascii="Arial" w:hAnsi="Arial" w:cs="Arial"/>
                <w:lang w:val="it-IT"/>
              </w:rPr>
              <w:t xml:space="preserve"> per mg/kg</w:t>
            </w:r>
            <w:r w:rsidR="007D16A8" w:rsidRPr="00A640BD">
              <w:rPr>
                <w:rStyle w:val="checkbox"/>
                <w:rFonts w:ascii="Arial" w:hAnsi="Arial" w:cs="Arial"/>
                <w:lang w:val="it-IT"/>
              </w:rPr>
              <w:t>/</w:t>
            </w:r>
            <w:r w:rsidRPr="00A640BD">
              <w:rPr>
                <w:rStyle w:val="checkbox"/>
                <w:rFonts w:ascii="Arial" w:hAnsi="Arial" w:cs="Arial"/>
                <w:lang w:val="it-IT"/>
              </w:rPr>
              <w:t>d</w:t>
            </w:r>
          </w:p>
          <w:p w14:paraId="3DA071E9" w14:textId="10BD5BC5" w:rsidR="004966BF" w:rsidRPr="00A640BD" w:rsidRDefault="00034ED0" w:rsidP="006A7DB6">
            <w:pPr>
              <w:pStyle w:val="Tablefont"/>
              <w:numPr>
                <w:ilvl w:val="0"/>
                <w:numId w:val="4"/>
              </w:numPr>
              <w:rPr>
                <w:rFonts w:cs="Arial"/>
                <w:lang w:val="it-IT"/>
              </w:rPr>
            </w:pPr>
            <w:r w:rsidRPr="00A640BD">
              <w:rPr>
                <w:rStyle w:val="checkbox"/>
                <w:rFonts w:ascii="Arial" w:hAnsi="Arial" w:cs="Arial"/>
                <w:lang w:val="it-IT"/>
              </w:rPr>
              <w:t>IUR:</w:t>
            </w:r>
            <w:r w:rsidR="006A7DB6" w:rsidRPr="00A640BD">
              <w:rPr>
                <w:rStyle w:val="checkbox"/>
                <w:rFonts w:ascii="Arial" w:hAnsi="Arial" w:cs="Arial"/>
                <w:lang w:val="it-IT"/>
              </w:rPr>
              <w:t xml:space="preserve"> 2.6 x 10</w:t>
            </w:r>
            <w:r w:rsidR="006A7DB6" w:rsidRPr="00A640BD">
              <w:rPr>
                <w:rStyle w:val="checkbox"/>
                <w:rFonts w:ascii="Arial" w:hAnsi="Arial" w:cs="Arial"/>
                <w:vertAlign w:val="superscript"/>
                <w:lang w:val="it-IT"/>
              </w:rPr>
              <w:t>-5</w:t>
            </w:r>
            <w:r w:rsidR="006A7DB6" w:rsidRPr="00A640BD">
              <w:rPr>
                <w:rStyle w:val="checkbox"/>
                <w:rFonts w:ascii="Arial" w:hAnsi="Arial" w:cs="Arial"/>
                <w:lang w:val="it-IT"/>
              </w:rPr>
              <w:t xml:space="preserve"> per </w:t>
            </w:r>
            <w:r w:rsidR="006A7DB6" w:rsidRPr="00A640BD">
              <w:rPr>
                <w:rFonts w:cs="Arial"/>
                <w:color w:val="212121"/>
                <w:szCs w:val="20"/>
                <w:shd w:val="clear" w:color="auto" w:fill="FFFFFF"/>
                <w:lang w:val="it-IT"/>
              </w:rPr>
              <w:t>µg/m</w:t>
            </w:r>
            <w:r w:rsidR="006A7DB6" w:rsidRPr="00A640BD">
              <w:rPr>
                <w:rFonts w:cs="Arial"/>
                <w:color w:val="212121"/>
                <w:szCs w:val="20"/>
                <w:shd w:val="clear" w:color="auto" w:fill="FFFFFF"/>
                <w:vertAlign w:val="superscript"/>
                <w:lang w:val="it-IT"/>
              </w:rPr>
              <w:t>3</w:t>
            </w:r>
            <w:r w:rsidR="0078136E" w:rsidRPr="00A640BD">
              <w:rPr>
                <w:rFonts w:cs="Arial"/>
                <w:color w:val="212121"/>
                <w:szCs w:val="20"/>
                <w:shd w:val="clear" w:color="auto" w:fill="FFFFFF"/>
                <w:lang w:val="it-IT"/>
              </w:rPr>
              <w:t>:</w:t>
            </w:r>
          </w:p>
          <w:p w14:paraId="09E44FA8" w14:textId="7281C873" w:rsidR="00445242" w:rsidRPr="00B55167" w:rsidRDefault="006070CF" w:rsidP="00B60638">
            <w:pPr>
              <w:pStyle w:val="Tablefont"/>
              <w:numPr>
                <w:ilvl w:val="0"/>
                <w:numId w:val="13"/>
              </w:numPr>
              <w:spacing w:before="60" w:after="60"/>
              <w:ind w:left="1094" w:hanging="357"/>
              <w:rPr>
                <w:rFonts w:cs="Arial"/>
              </w:rPr>
            </w:pPr>
            <w:proofErr w:type="spellStart"/>
            <w:r>
              <w:rPr>
                <w:rFonts w:cs="Arial"/>
              </w:rPr>
              <w:t>1x10</w:t>
            </w:r>
            <w:proofErr w:type="spellEnd"/>
            <w:r>
              <w:rPr>
                <w:rFonts w:cs="Arial"/>
                <w:vertAlign w:val="superscript"/>
              </w:rPr>
              <w:t>-6</w:t>
            </w:r>
            <w:r>
              <w:rPr>
                <w:rFonts w:cs="Arial"/>
              </w:rPr>
              <w:t xml:space="preserve"> – 0.04 </w:t>
            </w:r>
            <w:r w:rsidRPr="006A7DB6">
              <w:rPr>
                <w:rFonts w:cs="Arial"/>
                <w:color w:val="212121"/>
                <w:szCs w:val="20"/>
                <w:shd w:val="clear" w:color="auto" w:fill="FFFFFF"/>
              </w:rPr>
              <w:t>µg/</w:t>
            </w:r>
            <w:proofErr w:type="spellStart"/>
            <w:r w:rsidRPr="006A7DB6">
              <w:rPr>
                <w:rFonts w:cs="Arial"/>
                <w:color w:val="212121"/>
                <w:szCs w:val="20"/>
                <w:shd w:val="clear" w:color="auto" w:fill="FFFFFF"/>
              </w:rPr>
              <w:t>m</w:t>
            </w:r>
            <w:r w:rsidRPr="006A7DB6">
              <w:rPr>
                <w:rFonts w:cs="Arial"/>
                <w:color w:val="212121"/>
                <w:szCs w:val="20"/>
                <w:shd w:val="clear" w:color="auto" w:fill="FFFFFF"/>
                <w:vertAlign w:val="superscript"/>
              </w:rPr>
              <w:t>3</w:t>
            </w:r>
            <w:proofErr w:type="spellEnd"/>
          </w:p>
          <w:p w14:paraId="2459548F" w14:textId="28C5F5D2" w:rsidR="006070CF" w:rsidRPr="00F85E4D" w:rsidRDefault="006070CF" w:rsidP="00B60638">
            <w:pPr>
              <w:pStyle w:val="Tablefont"/>
              <w:numPr>
                <w:ilvl w:val="0"/>
                <w:numId w:val="13"/>
              </w:numPr>
              <w:spacing w:before="60" w:after="60"/>
              <w:ind w:left="1094" w:hanging="357"/>
              <w:rPr>
                <w:rFonts w:cs="Arial"/>
              </w:rPr>
            </w:pPr>
            <w:proofErr w:type="spellStart"/>
            <w:r>
              <w:rPr>
                <w:rFonts w:cs="Arial"/>
              </w:rPr>
              <w:t>1x10</w:t>
            </w:r>
            <w:proofErr w:type="spellEnd"/>
            <w:r>
              <w:rPr>
                <w:rFonts w:cs="Arial"/>
                <w:vertAlign w:val="superscript"/>
              </w:rPr>
              <w:t>-5</w:t>
            </w:r>
            <w:r>
              <w:rPr>
                <w:rFonts w:cs="Arial"/>
              </w:rPr>
              <w:t xml:space="preserve"> – 0.4 </w:t>
            </w:r>
            <w:r w:rsidRPr="006A7DB6">
              <w:rPr>
                <w:rFonts w:cs="Arial"/>
                <w:color w:val="212121"/>
                <w:szCs w:val="20"/>
                <w:shd w:val="clear" w:color="auto" w:fill="FFFFFF"/>
              </w:rPr>
              <w:t>µg/</w:t>
            </w:r>
            <w:proofErr w:type="spellStart"/>
            <w:r w:rsidRPr="006A7DB6">
              <w:rPr>
                <w:rFonts w:cs="Arial"/>
                <w:color w:val="212121"/>
                <w:szCs w:val="20"/>
                <w:shd w:val="clear" w:color="auto" w:fill="FFFFFF"/>
              </w:rPr>
              <w:t>m</w:t>
            </w:r>
            <w:r w:rsidRPr="006A7DB6">
              <w:rPr>
                <w:rFonts w:cs="Arial"/>
                <w:color w:val="212121"/>
                <w:szCs w:val="20"/>
                <w:shd w:val="clear" w:color="auto" w:fill="FFFFFF"/>
                <w:vertAlign w:val="superscript"/>
              </w:rPr>
              <w:t>3</w:t>
            </w:r>
            <w:proofErr w:type="spellEnd"/>
          </w:p>
          <w:p w14:paraId="77F3E2DA" w14:textId="5D103056" w:rsidR="006070CF" w:rsidRPr="00FF135B" w:rsidRDefault="006070CF" w:rsidP="00B60638">
            <w:pPr>
              <w:pStyle w:val="Tablefont"/>
              <w:numPr>
                <w:ilvl w:val="0"/>
                <w:numId w:val="13"/>
              </w:numPr>
              <w:spacing w:before="60" w:after="60"/>
              <w:ind w:left="1094" w:hanging="357"/>
              <w:rPr>
                <w:rFonts w:cs="Arial"/>
              </w:rPr>
            </w:pPr>
            <w:proofErr w:type="spellStart"/>
            <w:r>
              <w:rPr>
                <w:rFonts w:cs="Arial"/>
              </w:rPr>
              <w:t>1x10</w:t>
            </w:r>
            <w:proofErr w:type="spellEnd"/>
            <w:r>
              <w:rPr>
                <w:rFonts w:cs="Arial"/>
                <w:vertAlign w:val="superscript"/>
              </w:rPr>
              <w:t>-4</w:t>
            </w:r>
            <w:r>
              <w:rPr>
                <w:rFonts w:cs="Arial"/>
              </w:rPr>
              <w:t xml:space="preserve"> – 4.0 </w:t>
            </w:r>
            <w:r w:rsidRPr="006A7DB6">
              <w:rPr>
                <w:rFonts w:cs="Arial"/>
                <w:color w:val="212121"/>
                <w:szCs w:val="20"/>
                <w:shd w:val="clear" w:color="auto" w:fill="FFFFFF"/>
              </w:rPr>
              <w:t>µg/</w:t>
            </w:r>
            <w:proofErr w:type="spellStart"/>
            <w:r w:rsidRPr="006A7DB6">
              <w:rPr>
                <w:rFonts w:cs="Arial"/>
                <w:color w:val="212121"/>
                <w:szCs w:val="20"/>
                <w:shd w:val="clear" w:color="auto" w:fill="FFFFFF"/>
              </w:rPr>
              <w:t>m</w:t>
            </w:r>
            <w:r w:rsidRPr="006A7DB6">
              <w:rPr>
                <w:rFonts w:cs="Arial"/>
                <w:color w:val="212121"/>
                <w:szCs w:val="20"/>
                <w:shd w:val="clear" w:color="auto" w:fill="FFFFFF"/>
                <w:vertAlign w:val="superscript"/>
              </w:rPr>
              <w:t>3</w:t>
            </w:r>
            <w:proofErr w:type="spellEnd"/>
          </w:p>
          <w:p w14:paraId="7BFA5398" w14:textId="69CCA8AB" w:rsidR="006A7DB6" w:rsidRPr="004C23F4" w:rsidRDefault="00034ED0" w:rsidP="006A7DB6">
            <w:pPr>
              <w:pStyle w:val="Tablefont"/>
              <w:numPr>
                <w:ilvl w:val="0"/>
                <w:numId w:val="4"/>
              </w:numPr>
              <w:rPr>
                <w:rStyle w:val="checkbox"/>
                <w:rFonts w:ascii="Arial" w:hAnsi="Arial" w:cs="Arial"/>
              </w:rPr>
            </w:pPr>
            <w:r>
              <w:rPr>
                <w:rStyle w:val="checkbox"/>
                <w:rFonts w:ascii="Arial" w:hAnsi="Arial" w:cs="Arial"/>
              </w:rPr>
              <w:t>Dose-dependent and significant increase in i</w:t>
            </w:r>
            <w:r w:rsidR="006A7DB6">
              <w:rPr>
                <w:rStyle w:val="checkbox"/>
                <w:rFonts w:ascii="Arial" w:hAnsi="Arial" w:cs="Arial"/>
              </w:rPr>
              <w:t xml:space="preserve">ncidence of </w:t>
            </w:r>
            <w:proofErr w:type="spellStart"/>
            <w:r w:rsidR="006A7DB6">
              <w:rPr>
                <w:rStyle w:val="checkbox"/>
                <w:rFonts w:ascii="Arial" w:hAnsi="Arial" w:cs="Arial"/>
              </w:rPr>
              <w:t>h</w:t>
            </w:r>
            <w:r w:rsidR="00CE448E">
              <w:rPr>
                <w:rStyle w:val="checkbox"/>
                <w:rFonts w:ascii="Arial" w:hAnsi="Arial" w:cs="Arial"/>
              </w:rPr>
              <w:t>a</w:t>
            </w:r>
            <w:r w:rsidR="006A7DB6">
              <w:rPr>
                <w:rStyle w:val="checkbox"/>
                <w:rFonts w:ascii="Arial" w:hAnsi="Arial" w:cs="Arial"/>
              </w:rPr>
              <w:t>emangiosarcoma</w:t>
            </w:r>
            <w:proofErr w:type="spellEnd"/>
            <w:r w:rsidR="006A7DB6">
              <w:rPr>
                <w:rStyle w:val="checkbox"/>
                <w:rFonts w:ascii="Arial" w:hAnsi="Arial" w:cs="Arial"/>
              </w:rPr>
              <w:t xml:space="preserve"> </w:t>
            </w:r>
            <w:r w:rsidR="005B2FA1">
              <w:rPr>
                <w:rStyle w:val="checkbox"/>
                <w:rFonts w:ascii="Arial" w:hAnsi="Arial" w:cs="Arial"/>
              </w:rPr>
              <w:t>in exposed animals</w:t>
            </w:r>
            <w:r w:rsidR="007D16A8">
              <w:rPr>
                <w:rStyle w:val="checkbox"/>
                <w:rFonts w:ascii="Arial" w:hAnsi="Arial" w:cs="Arial"/>
              </w:rPr>
              <w:t>.</w:t>
            </w:r>
          </w:p>
        </w:tc>
      </w:tr>
      <w:tr w:rsidR="004966BF" w:rsidRPr="004C23F4" w14:paraId="5B1AC131" w14:textId="77777777" w:rsidTr="00C64A55">
        <w:trPr>
          <w:cantSplit/>
        </w:trPr>
        <w:tc>
          <w:tcPr>
            <w:tcW w:w="1482" w:type="dxa"/>
          </w:tcPr>
          <w:p w14:paraId="117E4933" w14:textId="77777777" w:rsidR="004966BF" w:rsidRPr="004C23F4" w:rsidRDefault="004966BF" w:rsidP="00224EE2">
            <w:pPr>
              <w:pStyle w:val="Tablefont"/>
            </w:pPr>
            <w:r>
              <w:lastRenderedPageBreak/>
              <w:t>OECD</w:t>
            </w:r>
          </w:p>
        </w:tc>
        <w:tc>
          <w:tcPr>
            <w:tcW w:w="421" w:type="dxa"/>
          </w:tcPr>
          <w:p w14:paraId="34CAE1A6" w14:textId="03D959BE" w:rsidR="004966BF" w:rsidRPr="00CE617F" w:rsidRDefault="009021FF" w:rsidP="00AB43C4">
            <w:pPr>
              <w:spacing w:before="40"/>
              <w:jc w:val="center"/>
              <w:rPr>
                <w:rStyle w:val="checkbox"/>
              </w:rPr>
            </w:pPr>
            <w:sdt>
              <w:sdtPr>
                <w:rPr>
                  <w:rStyle w:val="checkbox"/>
                </w:rPr>
                <w:id w:val="-491947220"/>
                <w:placeholder>
                  <w:docPart w:val="320A77D155374054996F168A20882C28"/>
                </w:placeholder>
                <w:dropDownList>
                  <w:listItem w:displayText="" w:value=""/>
                  <w:listItem w:displayText="" w:value=""/>
                  <w:listItem w:displayText="" w:value=""/>
                </w:dropDownList>
              </w:sdtPr>
              <w:sdtEndPr>
                <w:rPr>
                  <w:rStyle w:val="checkbox"/>
                </w:rPr>
              </w:sdtEndPr>
              <w:sdtContent>
                <w:r w:rsidR="0044113C">
                  <w:rPr>
                    <w:rStyle w:val="checkbox"/>
                  </w:rPr>
                  <w:t></w:t>
                </w:r>
              </w:sdtContent>
            </w:sdt>
          </w:p>
        </w:tc>
        <w:tc>
          <w:tcPr>
            <w:tcW w:w="661" w:type="dxa"/>
          </w:tcPr>
          <w:p w14:paraId="663F7904" w14:textId="19CB7E5E" w:rsidR="004966BF" w:rsidRPr="004C23F4" w:rsidRDefault="0044113C" w:rsidP="00717D45">
            <w:pPr>
              <w:pStyle w:val="Tablefont"/>
              <w:rPr>
                <w:rStyle w:val="checkbox"/>
                <w:rFonts w:ascii="Arial" w:hAnsi="Arial" w:cs="Arial"/>
              </w:rPr>
            </w:pPr>
            <w:r>
              <w:rPr>
                <w:rStyle w:val="checkbox"/>
                <w:rFonts w:ascii="Arial" w:hAnsi="Arial" w:cs="Arial"/>
              </w:rPr>
              <w:t>2002</w:t>
            </w:r>
          </w:p>
        </w:tc>
        <w:tc>
          <w:tcPr>
            <w:tcW w:w="6462" w:type="dxa"/>
          </w:tcPr>
          <w:p w14:paraId="69EBE5E6" w14:textId="1FECA1CB" w:rsidR="004966BF" w:rsidRDefault="0044113C" w:rsidP="00B60638">
            <w:pPr>
              <w:pStyle w:val="Tablefont"/>
              <w:numPr>
                <w:ilvl w:val="0"/>
                <w:numId w:val="5"/>
              </w:numPr>
              <w:spacing w:before="60" w:after="60"/>
              <w:ind w:left="714" w:hanging="357"/>
              <w:rPr>
                <w:rStyle w:val="checkbox"/>
                <w:rFonts w:ascii="Arial" w:hAnsi="Arial" w:cs="Arial"/>
              </w:rPr>
            </w:pPr>
            <w:proofErr w:type="spellStart"/>
            <w:r>
              <w:rPr>
                <w:rStyle w:val="checkbox"/>
                <w:rFonts w:ascii="Arial" w:hAnsi="Arial" w:cs="Arial"/>
              </w:rPr>
              <w:t>NOAEL</w:t>
            </w:r>
            <w:proofErr w:type="spellEnd"/>
            <w:r>
              <w:rPr>
                <w:rStyle w:val="checkbox"/>
                <w:rFonts w:ascii="Arial" w:hAnsi="Arial" w:cs="Arial"/>
              </w:rPr>
              <w:t xml:space="preserve"> </w:t>
            </w:r>
            <w:r w:rsidR="00034ED0">
              <w:rPr>
                <w:rStyle w:val="checkbox"/>
                <w:rFonts w:ascii="Arial" w:hAnsi="Arial" w:cs="Arial"/>
              </w:rPr>
              <w:t>(rats, 4</w:t>
            </w:r>
            <w:r w:rsidR="007D16A8">
              <w:rPr>
                <w:rStyle w:val="checkbox"/>
                <w:rFonts w:ascii="Arial" w:hAnsi="Arial" w:cs="Arial"/>
              </w:rPr>
              <w:t xml:space="preserve"> </w:t>
            </w:r>
            <w:r w:rsidR="00034ED0">
              <w:rPr>
                <w:rStyle w:val="checkbox"/>
                <w:rFonts w:ascii="Arial" w:hAnsi="Arial" w:cs="Arial"/>
              </w:rPr>
              <w:t>h inhalation):</w:t>
            </w:r>
            <w:r>
              <w:rPr>
                <w:rStyle w:val="checkbox"/>
                <w:rFonts w:ascii="Arial" w:hAnsi="Arial" w:cs="Arial"/>
              </w:rPr>
              <w:t xml:space="preserve"> 1</w:t>
            </w:r>
            <w:r w:rsidR="007D16A8">
              <w:rPr>
                <w:rStyle w:val="checkbox"/>
                <w:rFonts w:ascii="Arial" w:hAnsi="Arial" w:cs="Arial"/>
              </w:rPr>
              <w:t>,</w:t>
            </w:r>
            <w:r>
              <w:rPr>
                <w:rStyle w:val="checkbox"/>
                <w:rFonts w:ascii="Arial" w:hAnsi="Arial" w:cs="Arial"/>
              </w:rPr>
              <w:t>400 mg/</w:t>
            </w:r>
            <w:proofErr w:type="spellStart"/>
            <w:r>
              <w:rPr>
                <w:rStyle w:val="checkbox"/>
                <w:rFonts w:ascii="Arial" w:hAnsi="Arial" w:cs="Arial"/>
              </w:rPr>
              <w:t>m</w:t>
            </w:r>
            <w:r>
              <w:rPr>
                <w:rStyle w:val="checkbox"/>
                <w:rFonts w:ascii="Arial" w:hAnsi="Arial" w:cs="Arial"/>
                <w:vertAlign w:val="superscript"/>
              </w:rPr>
              <w:t>3</w:t>
            </w:r>
            <w:proofErr w:type="spellEnd"/>
          </w:p>
          <w:p w14:paraId="26EBE317" w14:textId="5407B459" w:rsidR="0044113C" w:rsidRDefault="007D16A8" w:rsidP="00B60638">
            <w:pPr>
              <w:pStyle w:val="Tablefont"/>
              <w:numPr>
                <w:ilvl w:val="0"/>
                <w:numId w:val="5"/>
              </w:numPr>
              <w:spacing w:before="60" w:after="60"/>
              <w:ind w:left="714" w:hanging="357"/>
              <w:rPr>
                <w:rStyle w:val="checkbox"/>
                <w:rFonts w:ascii="Arial" w:hAnsi="Arial" w:cs="Arial"/>
              </w:rPr>
            </w:pPr>
            <w:r>
              <w:rPr>
                <w:rStyle w:val="checkbox"/>
                <w:rFonts w:ascii="Arial" w:hAnsi="Arial" w:cs="Arial"/>
              </w:rPr>
              <w:t>I</w:t>
            </w:r>
            <w:r w:rsidR="0044113C">
              <w:rPr>
                <w:rStyle w:val="checkbox"/>
                <w:rFonts w:ascii="Arial" w:hAnsi="Arial" w:cs="Arial"/>
              </w:rPr>
              <w:t xml:space="preserve">ncreased incidence of cancer </w:t>
            </w:r>
            <w:r w:rsidR="00034ED0">
              <w:rPr>
                <w:rStyle w:val="checkbox"/>
                <w:rFonts w:ascii="Arial" w:hAnsi="Arial" w:cs="Arial"/>
              </w:rPr>
              <w:t xml:space="preserve">in exposed animals </w:t>
            </w:r>
            <w:r w:rsidR="0044113C">
              <w:rPr>
                <w:rStyle w:val="checkbox"/>
                <w:rFonts w:ascii="Arial" w:hAnsi="Arial" w:cs="Arial"/>
              </w:rPr>
              <w:t>after oral exposure, but not after inhalation with concentrations up to 150 ppm (600 mg/</w:t>
            </w:r>
            <w:proofErr w:type="spellStart"/>
            <w:r w:rsidR="0044113C">
              <w:rPr>
                <w:rStyle w:val="checkbox"/>
                <w:rFonts w:ascii="Arial" w:hAnsi="Arial" w:cs="Arial"/>
              </w:rPr>
              <w:t>m</w:t>
            </w:r>
            <w:r w:rsidR="0044113C">
              <w:rPr>
                <w:rStyle w:val="checkbox"/>
                <w:rFonts w:ascii="Arial" w:hAnsi="Arial" w:cs="Arial"/>
                <w:vertAlign w:val="superscript"/>
              </w:rPr>
              <w:t>3</w:t>
            </w:r>
            <w:proofErr w:type="spellEnd"/>
            <w:r w:rsidR="0044113C">
              <w:rPr>
                <w:rStyle w:val="checkbox"/>
                <w:rFonts w:ascii="Arial" w:hAnsi="Arial" w:cs="Arial"/>
              </w:rPr>
              <w:t>)</w:t>
            </w:r>
          </w:p>
          <w:p w14:paraId="2C1274E2" w14:textId="2A768879" w:rsidR="00034ED0" w:rsidRPr="00034ED0" w:rsidRDefault="00034ED0" w:rsidP="00B60638">
            <w:pPr>
              <w:pStyle w:val="Tablefont"/>
              <w:numPr>
                <w:ilvl w:val="0"/>
                <w:numId w:val="5"/>
              </w:numPr>
              <w:spacing w:before="60" w:after="60"/>
              <w:ind w:left="714" w:hanging="357"/>
              <w:rPr>
                <w:rStyle w:val="checkbox"/>
                <w:rFonts w:ascii="Arial" w:hAnsi="Arial" w:cs="Arial"/>
              </w:rPr>
            </w:pPr>
            <w:r>
              <w:rPr>
                <w:rStyle w:val="checkbox"/>
                <w:rFonts w:ascii="Arial" w:hAnsi="Arial" w:cs="Arial"/>
              </w:rPr>
              <w:t xml:space="preserve">Evidence of genotoxicity in bacterial and mammalian </w:t>
            </w:r>
            <w:r>
              <w:rPr>
                <w:rStyle w:val="checkbox"/>
                <w:rFonts w:ascii="Arial" w:hAnsi="Arial" w:cs="Arial"/>
                <w:i/>
              </w:rPr>
              <w:t>in vitro</w:t>
            </w:r>
            <w:r>
              <w:rPr>
                <w:rStyle w:val="checkbox"/>
                <w:rFonts w:ascii="Arial" w:hAnsi="Arial" w:cs="Arial"/>
              </w:rPr>
              <w:t xml:space="preserve"> test systems</w:t>
            </w:r>
            <w:r w:rsidR="007D16A8">
              <w:rPr>
                <w:rStyle w:val="checkbox"/>
                <w:rFonts w:ascii="Arial" w:hAnsi="Arial" w:cs="Arial"/>
              </w:rPr>
              <w:t>.</w:t>
            </w:r>
          </w:p>
        </w:tc>
      </w:tr>
      <w:tr w:rsidR="004966BF" w:rsidRPr="004C23F4" w14:paraId="26F14185" w14:textId="77777777" w:rsidTr="00C64A55">
        <w:trPr>
          <w:cantSplit/>
        </w:trPr>
        <w:tc>
          <w:tcPr>
            <w:tcW w:w="1482" w:type="dxa"/>
          </w:tcPr>
          <w:p w14:paraId="2C724C65" w14:textId="77777777" w:rsidR="004966BF" w:rsidRDefault="004966BF" w:rsidP="00224EE2">
            <w:pPr>
              <w:pStyle w:val="Tablefont"/>
            </w:pPr>
            <w:r>
              <w:t xml:space="preserve">US </w:t>
            </w:r>
            <w:proofErr w:type="spellStart"/>
            <w:r>
              <w:t>NIOSH</w:t>
            </w:r>
            <w:proofErr w:type="spellEnd"/>
          </w:p>
        </w:tc>
        <w:tc>
          <w:tcPr>
            <w:tcW w:w="421" w:type="dxa"/>
          </w:tcPr>
          <w:p w14:paraId="37E97F21" w14:textId="7056AB60" w:rsidR="004966BF" w:rsidRDefault="009021FF"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44113C">
                  <w:rPr>
                    <w:rStyle w:val="checkbox"/>
                  </w:rPr>
                  <w:t></w:t>
                </w:r>
              </w:sdtContent>
            </w:sdt>
          </w:p>
        </w:tc>
        <w:tc>
          <w:tcPr>
            <w:tcW w:w="661" w:type="dxa"/>
          </w:tcPr>
          <w:p w14:paraId="13BEF6EC" w14:textId="3C59B805" w:rsidR="004966BF" w:rsidRPr="004C23F4" w:rsidRDefault="00913929" w:rsidP="00717D45">
            <w:pPr>
              <w:pStyle w:val="Tablefont"/>
              <w:rPr>
                <w:rStyle w:val="checkbox"/>
                <w:rFonts w:ascii="Arial" w:hAnsi="Arial" w:cs="Arial"/>
              </w:rPr>
            </w:pPr>
            <w:r>
              <w:rPr>
                <w:rStyle w:val="checkbox"/>
                <w:rFonts w:ascii="Arial" w:hAnsi="Arial" w:cs="Arial"/>
              </w:rPr>
              <w:t>2014</w:t>
            </w:r>
          </w:p>
        </w:tc>
        <w:tc>
          <w:tcPr>
            <w:tcW w:w="6462" w:type="dxa"/>
          </w:tcPr>
          <w:p w14:paraId="20137EB9" w14:textId="303CE35C" w:rsidR="0044113C" w:rsidRPr="004C23F4" w:rsidRDefault="0044113C" w:rsidP="00B60638">
            <w:pPr>
              <w:pStyle w:val="Tablefont"/>
              <w:numPr>
                <w:ilvl w:val="0"/>
                <w:numId w:val="5"/>
              </w:numPr>
              <w:spacing w:before="60" w:after="60"/>
              <w:ind w:left="714" w:hanging="357"/>
              <w:rPr>
                <w:rStyle w:val="checkbox"/>
                <w:rFonts w:ascii="Arial" w:hAnsi="Arial" w:cs="Arial"/>
              </w:rPr>
            </w:pPr>
            <w:r w:rsidRPr="00B55167">
              <w:rPr>
                <w:rStyle w:val="checkbox"/>
                <w:rFonts w:ascii="Arial" w:hAnsi="Arial" w:cs="Arial"/>
              </w:rPr>
              <w:t>TWA of 1 ppm (4</w:t>
            </w:r>
            <w:r w:rsidR="00445242" w:rsidRPr="00B55167">
              <w:rPr>
                <w:rStyle w:val="checkbox"/>
                <w:rFonts w:ascii="Arial" w:hAnsi="Arial" w:cs="Arial"/>
              </w:rPr>
              <w:t xml:space="preserve"> </w:t>
            </w:r>
            <w:r w:rsidRPr="00B55167">
              <w:rPr>
                <w:rStyle w:val="checkbox"/>
                <w:rFonts w:ascii="Arial" w:hAnsi="Arial" w:cs="Arial"/>
              </w:rPr>
              <w:t>mg/</w:t>
            </w:r>
            <w:proofErr w:type="spellStart"/>
            <w:r w:rsidRPr="00B55167">
              <w:rPr>
                <w:rStyle w:val="checkbox"/>
                <w:rFonts w:ascii="Arial" w:hAnsi="Arial" w:cs="Arial"/>
              </w:rPr>
              <w:t>m</w:t>
            </w:r>
            <w:r w:rsidRPr="00B55167">
              <w:rPr>
                <w:rStyle w:val="checkbox"/>
                <w:rFonts w:ascii="Arial" w:hAnsi="Arial" w:cs="Arial"/>
                <w:vertAlign w:val="superscript"/>
              </w:rPr>
              <w:t>3</w:t>
            </w:r>
            <w:proofErr w:type="spellEnd"/>
            <w:r w:rsidRPr="00B55167">
              <w:rPr>
                <w:rStyle w:val="checkbox"/>
                <w:rFonts w:ascii="Arial" w:hAnsi="Arial" w:cs="Arial"/>
              </w:rPr>
              <w:t xml:space="preserve">) </w:t>
            </w:r>
            <w:r w:rsidR="00BD6025" w:rsidRPr="00B55167">
              <w:rPr>
                <w:rStyle w:val="checkbox"/>
                <w:rFonts w:ascii="Arial" w:hAnsi="Arial" w:cs="Arial"/>
              </w:rPr>
              <w:t xml:space="preserve">and </w:t>
            </w:r>
            <w:r w:rsidRPr="00B55167">
              <w:rPr>
                <w:rStyle w:val="checkbox"/>
                <w:rFonts w:ascii="Arial" w:hAnsi="Arial" w:cs="Arial"/>
              </w:rPr>
              <w:t>STEL of 2 ppm (8</w:t>
            </w:r>
            <w:r w:rsidR="00445242" w:rsidRPr="00B55167">
              <w:rPr>
                <w:rStyle w:val="checkbox"/>
                <w:rFonts w:ascii="Arial" w:hAnsi="Arial" w:cs="Arial"/>
              </w:rPr>
              <w:t xml:space="preserve"> </w:t>
            </w:r>
            <w:r w:rsidRPr="00B55167">
              <w:rPr>
                <w:rStyle w:val="checkbox"/>
                <w:rFonts w:ascii="Arial" w:hAnsi="Arial" w:cs="Arial"/>
              </w:rPr>
              <w:t>mg/</w:t>
            </w:r>
            <w:proofErr w:type="spellStart"/>
            <w:r w:rsidRPr="00B55167">
              <w:rPr>
                <w:rStyle w:val="checkbox"/>
                <w:rFonts w:ascii="Arial" w:hAnsi="Arial" w:cs="Arial"/>
              </w:rPr>
              <w:t>m</w:t>
            </w:r>
            <w:r w:rsidRPr="00B55167">
              <w:rPr>
                <w:rStyle w:val="checkbox"/>
                <w:rFonts w:ascii="Arial" w:hAnsi="Arial" w:cs="Arial"/>
                <w:vertAlign w:val="superscript"/>
              </w:rPr>
              <w:t>3</w:t>
            </w:r>
            <w:proofErr w:type="spellEnd"/>
            <w:r w:rsidRPr="00B55167">
              <w:rPr>
                <w:rStyle w:val="checkbox"/>
                <w:rFonts w:ascii="Arial" w:hAnsi="Arial" w:cs="Arial"/>
              </w:rPr>
              <w:t>)</w:t>
            </w:r>
            <w:r w:rsidR="00820E93" w:rsidRPr="00B55167">
              <w:rPr>
                <w:rStyle w:val="checkbox"/>
                <w:rFonts w:ascii="Arial" w:hAnsi="Arial" w:cs="Arial"/>
              </w:rPr>
              <w:t xml:space="preserve"> to protect for </w:t>
            </w:r>
            <w:r w:rsidR="00BD6025">
              <w:rPr>
                <w:rStyle w:val="checkbox"/>
                <w:rFonts w:ascii="Arial" w:hAnsi="Arial" w:cs="Arial"/>
              </w:rPr>
              <w:t>carcinogenic effects</w:t>
            </w:r>
            <w:r w:rsidR="00C64A55">
              <w:rPr>
                <w:rStyle w:val="checkbox"/>
                <w:rFonts w:ascii="Arial" w:hAnsi="Arial" w:cs="Arial"/>
              </w:rPr>
              <w:t>.</w:t>
            </w:r>
            <w:r>
              <w:rPr>
                <w:rStyle w:val="checkbox"/>
                <w:rFonts w:ascii="Arial" w:hAnsi="Arial" w:cs="Arial"/>
              </w:rPr>
              <w:t xml:space="preserve"> </w:t>
            </w:r>
          </w:p>
        </w:tc>
      </w:tr>
    </w:tbl>
    <w:p w14:paraId="106B5BA5" w14:textId="77777777" w:rsidR="007E2A4B" w:rsidRDefault="007E2A4B"/>
    <w:bookmarkEnd w:id="0"/>
    <w:p w14:paraId="01A771A2"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1"/>
        <w:gridCol w:w="2425"/>
      </w:tblGrid>
      <w:tr w:rsidR="005C4A38" w14:paraId="01B3105A" w14:textId="77777777" w:rsidTr="001859D5">
        <w:trPr>
          <w:trHeight w:val="454"/>
          <w:tblHeader/>
        </w:trPr>
        <w:tc>
          <w:tcPr>
            <w:tcW w:w="6601" w:type="dxa"/>
            <w:vAlign w:val="center"/>
          </w:tcPr>
          <w:p w14:paraId="66704FEF" w14:textId="77777777" w:rsidR="005C4A38" w:rsidRDefault="005C4A38" w:rsidP="00707527">
            <w:pPr>
              <w:pStyle w:val="Tablefont"/>
              <w:keepNext/>
              <w:keepLines/>
              <w:spacing w:before="40" w:after="40"/>
            </w:pPr>
            <w:bookmarkStart w:id="1" w:name="GCQuest"/>
            <w:r>
              <w:t>Is the chemical mutagenic?</w:t>
            </w:r>
          </w:p>
        </w:tc>
        <w:sdt>
          <w:sdtPr>
            <w:id w:val="-335150895"/>
            <w:placeholder>
              <w:docPart w:val="B695E8FBA1944D4A88426F066B96C114"/>
            </w:placeholder>
            <w:comboBox>
              <w:listItem w:value="Choose an item."/>
              <w:listItem w:displayText="Yes" w:value="Yes"/>
              <w:listItem w:displayText="No" w:value="No"/>
              <w:listItem w:displayText="Insufficient data" w:value="Insufficient data"/>
            </w:comboBox>
          </w:sdtPr>
          <w:sdtEndPr/>
          <w:sdtContent>
            <w:tc>
              <w:tcPr>
                <w:tcW w:w="2425" w:type="dxa"/>
                <w:vAlign w:val="center"/>
              </w:tcPr>
              <w:p w14:paraId="7DB77291" w14:textId="4ADB67D9" w:rsidR="005C4A38" w:rsidRDefault="005C4A38" w:rsidP="00707527">
                <w:pPr>
                  <w:pStyle w:val="Tablefont"/>
                  <w:keepNext/>
                  <w:keepLines/>
                  <w:spacing w:before="40" w:after="40"/>
                </w:pPr>
                <w:r>
                  <w:t>Yes</w:t>
                </w:r>
              </w:p>
            </w:tc>
          </w:sdtContent>
        </w:sdt>
      </w:tr>
      <w:tr w:rsidR="005C4A38" w14:paraId="2B886555" w14:textId="77777777" w:rsidTr="001859D5">
        <w:trPr>
          <w:trHeight w:val="454"/>
        </w:trPr>
        <w:tc>
          <w:tcPr>
            <w:tcW w:w="6601" w:type="dxa"/>
            <w:vAlign w:val="center"/>
          </w:tcPr>
          <w:p w14:paraId="4D8700EB" w14:textId="77777777" w:rsidR="005C4A38" w:rsidRDefault="005C4A38" w:rsidP="00707527">
            <w:pPr>
              <w:pStyle w:val="Tablefont"/>
              <w:keepNext/>
              <w:keepLines/>
              <w:spacing w:before="40" w:after="40"/>
            </w:pPr>
            <w:r>
              <w:t>Is the chemical carcinogenic with a mutagenic mechanism of action?</w:t>
            </w:r>
          </w:p>
        </w:tc>
        <w:tc>
          <w:tcPr>
            <w:tcW w:w="2425" w:type="dxa"/>
            <w:vAlign w:val="center"/>
          </w:tcPr>
          <w:p w14:paraId="4F3B285D" w14:textId="5DB08B66" w:rsidR="005C4A38" w:rsidRDefault="009021FF" w:rsidP="00707527">
            <w:pPr>
              <w:pStyle w:val="Tablefont"/>
              <w:keepNext/>
              <w:keepLines/>
              <w:spacing w:before="40" w:after="40"/>
            </w:pPr>
            <w:sdt>
              <w:sdtPr>
                <w:id w:val="-1441054984"/>
                <w:placeholder>
                  <w:docPart w:val="A61BABC7425742B1B2370362477BF0A2"/>
                </w:placeholder>
                <w:comboBox>
                  <w:listItem w:value="Choose an item."/>
                  <w:listItem w:displayText="Yes" w:value="Yes"/>
                  <w:listItem w:displayText="No" w:value="No"/>
                  <w:listItem w:displayText="Insufficient data" w:value="Insufficient data"/>
                  <w:listItem w:displayText="NA" w:value="NA"/>
                </w:comboBox>
              </w:sdtPr>
              <w:sdtEndPr/>
              <w:sdtContent>
                <w:r w:rsidR="005C4A38">
                  <w:t>Yes</w:t>
                </w:r>
              </w:sdtContent>
            </w:sdt>
          </w:p>
        </w:tc>
      </w:tr>
      <w:tr w:rsidR="005C4A38" w14:paraId="59E2390D" w14:textId="77777777" w:rsidTr="001859D5">
        <w:trPr>
          <w:trHeight w:val="454"/>
        </w:trPr>
        <w:tc>
          <w:tcPr>
            <w:tcW w:w="6601" w:type="dxa"/>
            <w:vAlign w:val="center"/>
          </w:tcPr>
          <w:p w14:paraId="2AA436C9" w14:textId="703DCCD5" w:rsidR="005C4A38" w:rsidRPr="006901A2" w:rsidRDefault="009021FF" w:rsidP="00707527">
            <w:pPr>
              <w:pStyle w:val="Tablefont"/>
              <w:keepNext/>
              <w:keepLines/>
              <w:spacing w:before="40" w:after="40"/>
              <w:rPr>
                <w:b/>
              </w:rPr>
            </w:pPr>
            <w:sdt>
              <w:sdtPr>
                <w:rPr>
                  <w:b/>
                </w:rPr>
                <w:id w:val="-120536169"/>
                <w:placeholder>
                  <w:docPart w:val="04650402EE914FDAB81587BB70BD6864"/>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r w:rsidR="005C4A38">
                  <w:rPr>
                    <w:b/>
                  </w:rPr>
                  <w:t>The chemical is a non-threshold based genotoxic carcinogen.</w:t>
                </w:r>
              </w:sdtContent>
            </w:sdt>
          </w:p>
        </w:tc>
        <w:tc>
          <w:tcPr>
            <w:tcW w:w="2425" w:type="dxa"/>
            <w:vAlign w:val="center"/>
          </w:tcPr>
          <w:p w14:paraId="78D68CBD" w14:textId="77777777" w:rsidR="005C4A38" w:rsidRDefault="005C4A38" w:rsidP="00707527">
            <w:pPr>
              <w:pStyle w:val="Tablefont"/>
              <w:keepNext/>
              <w:keepLines/>
              <w:spacing w:before="40" w:after="40"/>
            </w:pPr>
          </w:p>
        </w:tc>
      </w:tr>
      <w:tr w:rsidR="005C4A38" w14:paraId="772CD361" w14:textId="77777777" w:rsidTr="001859D5">
        <w:trPr>
          <w:trHeight w:val="454"/>
        </w:trPr>
        <w:tc>
          <w:tcPr>
            <w:tcW w:w="6601" w:type="dxa"/>
            <w:vAlign w:val="center"/>
          </w:tcPr>
          <w:p w14:paraId="56B39471" w14:textId="77777777" w:rsidR="005C4A38" w:rsidRDefault="005C4A38" w:rsidP="00707527">
            <w:pPr>
              <w:pStyle w:val="Tablefont"/>
              <w:keepNext/>
              <w:keepLines/>
              <w:spacing w:before="40" w:after="40"/>
            </w:pPr>
            <w:r w:rsidRPr="008A36CF">
              <w:t>Is a cancer slope factor or inhalation unit risk value available?</w:t>
            </w:r>
          </w:p>
        </w:tc>
        <w:sdt>
          <w:sdtPr>
            <w:id w:val="1304347970"/>
            <w:placeholder>
              <w:docPart w:val="82205B56367940539657E4CF002FEC60"/>
            </w:placeholder>
            <w:comboBox>
              <w:listItem w:value="Choose an item."/>
              <w:listItem w:displayText="Yes" w:value="Yes"/>
              <w:listItem w:displayText="No" w:value="No"/>
              <w:listItem w:displayText="NA" w:value="NA"/>
            </w:comboBox>
          </w:sdtPr>
          <w:sdtEndPr/>
          <w:sdtContent>
            <w:tc>
              <w:tcPr>
                <w:tcW w:w="2425" w:type="dxa"/>
                <w:vAlign w:val="center"/>
              </w:tcPr>
              <w:p w14:paraId="4252A265" w14:textId="630B9B80" w:rsidR="005C4A38" w:rsidRDefault="005C4A38" w:rsidP="00707527">
                <w:pPr>
                  <w:pStyle w:val="Tablefont"/>
                  <w:keepNext/>
                  <w:keepLines/>
                  <w:spacing w:before="40" w:after="40"/>
                </w:pPr>
                <w:r>
                  <w:t>Yes</w:t>
                </w:r>
              </w:p>
            </w:tc>
          </w:sdtContent>
        </w:sdt>
      </w:tr>
      <w:tr w:rsidR="005C4A38" w14:paraId="593A83BD" w14:textId="77777777" w:rsidTr="001859D5">
        <w:trPr>
          <w:trHeight w:val="454"/>
        </w:trPr>
        <w:sdt>
          <w:sdtPr>
            <w:alias w:val="Dropdown"/>
            <w:tag w:val="Dropdown"/>
            <w:id w:val="-1733531363"/>
            <w:placeholder>
              <w:docPart w:val="5307A5B10A18497682643D0DA24D1D31"/>
            </w:placeholder>
            <w:comboBox>
              <w:listItem w:value="Choose an item."/>
              <w:listItem w:displayText="Cancer slope factor (1/(mg/kg/day))" w:value="Cancer slope factor (1/(mg/kg/day))"/>
              <w:listItem w:displayText="Inhalation unit risk value (1/(µg/m³))" w:value="Inhalation unit risk value (1/(µg/m³))"/>
            </w:comboBox>
          </w:sdtPr>
          <w:sdtEndPr/>
          <w:sdtContent>
            <w:tc>
              <w:tcPr>
                <w:tcW w:w="6601" w:type="dxa"/>
                <w:vAlign w:val="center"/>
              </w:tcPr>
              <w:p w14:paraId="0DB63683" w14:textId="19C2AA78" w:rsidR="005C4A38" w:rsidRDefault="00D36FE7" w:rsidP="00707527">
                <w:pPr>
                  <w:pStyle w:val="Tablefont"/>
                  <w:keepNext/>
                  <w:keepLines/>
                  <w:spacing w:before="40" w:after="40"/>
                </w:pPr>
                <w:r>
                  <w:t>Inhalation unit risk value (1/(µg/</w:t>
                </w:r>
                <w:proofErr w:type="spellStart"/>
                <w:r>
                  <w:t>m³</w:t>
                </w:r>
                <w:proofErr w:type="spellEnd"/>
                <w:r>
                  <w:t>))</w:t>
                </w:r>
              </w:p>
            </w:tc>
          </w:sdtContent>
        </w:sdt>
        <w:sdt>
          <w:sdtPr>
            <w:alias w:val="SlopeFactor"/>
            <w:tag w:val="SlopeFactor"/>
            <w:id w:val="-1925646767"/>
            <w:placeholder>
              <w:docPart w:val="E17A1688A8D747F7BC2645A66C689881"/>
            </w:placeholder>
          </w:sdtPr>
          <w:sdtEndPr/>
          <w:sdtContent>
            <w:tc>
              <w:tcPr>
                <w:tcW w:w="2425" w:type="dxa"/>
                <w:vAlign w:val="center"/>
              </w:tcPr>
              <w:p w14:paraId="22560640" w14:textId="1D2173C4" w:rsidR="005C4A38" w:rsidRDefault="005C4A38" w:rsidP="00707527">
                <w:pPr>
                  <w:pStyle w:val="Tablefont"/>
                  <w:keepNext/>
                  <w:keepLines/>
                  <w:spacing w:before="40" w:after="40"/>
                </w:pPr>
                <w:r>
                  <w:t>2.6 x 10</w:t>
                </w:r>
                <w:r>
                  <w:rPr>
                    <w:vertAlign w:val="superscript"/>
                  </w:rPr>
                  <w:t>-5</w:t>
                </w:r>
              </w:p>
            </w:tc>
          </w:sdtContent>
        </w:sdt>
      </w:tr>
      <w:tr w:rsidR="005C4A38" w14:paraId="60C2F50A" w14:textId="77777777" w:rsidTr="001859D5">
        <w:trPr>
          <w:trHeight w:val="454"/>
        </w:trPr>
        <w:tc>
          <w:tcPr>
            <w:tcW w:w="6601" w:type="dxa"/>
            <w:vAlign w:val="center"/>
          </w:tcPr>
          <w:p w14:paraId="34DCD63B" w14:textId="77777777" w:rsidR="005C4A38" w:rsidRDefault="005C4A38" w:rsidP="00707527">
            <w:pPr>
              <w:pStyle w:val="Tablefont"/>
              <w:keepNext/>
              <w:keepLines/>
              <w:spacing w:before="40" w:after="40"/>
            </w:pPr>
            <w:r>
              <w:t>Calculated TWA value (</w:t>
            </w:r>
            <w:r>
              <w:rPr>
                <w:rFonts w:cs="Arial"/>
              </w:rPr>
              <w:t>µ</w:t>
            </w:r>
            <w:r>
              <w:t>g/</w:t>
            </w:r>
            <w:proofErr w:type="spellStart"/>
            <w:r>
              <w:t>m</w:t>
            </w:r>
            <w:r w:rsidRPr="008A36CF">
              <w:rPr>
                <w:vertAlign w:val="superscript"/>
              </w:rPr>
              <w:t>3</w:t>
            </w:r>
            <w:proofErr w:type="spellEnd"/>
            <w:r>
              <w:t>)</w:t>
            </w:r>
          </w:p>
        </w:tc>
        <w:tc>
          <w:tcPr>
            <w:tcW w:w="2425" w:type="dxa"/>
            <w:vAlign w:val="center"/>
          </w:tcPr>
          <w:p w14:paraId="171376D8" w14:textId="49247E90" w:rsidR="005C4A38" w:rsidRDefault="005C4A38" w:rsidP="00707527">
            <w:pPr>
              <w:pStyle w:val="Tablefont"/>
              <w:keepNext/>
              <w:keepLines/>
              <w:spacing w:before="40" w:after="40"/>
            </w:pPr>
            <w:r>
              <w:t>3.1</w:t>
            </w:r>
          </w:p>
        </w:tc>
      </w:tr>
    </w:tbl>
    <w:bookmarkEnd w:id="1"/>
    <w:p w14:paraId="3F891E5C"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65D46A12" w14:textId="77777777" w:rsidTr="00812887">
        <w:trPr>
          <w:cantSplit/>
          <w:tblHeader/>
        </w:trPr>
        <w:tc>
          <w:tcPr>
            <w:tcW w:w="3227" w:type="dxa"/>
            <w:shd w:val="clear" w:color="auto" w:fill="BFBFBF" w:themeFill="background1" w:themeFillShade="BF"/>
            <w:vAlign w:val="center"/>
          </w:tcPr>
          <w:p w14:paraId="0A5E861E"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674BE671" w14:textId="77777777" w:rsidR="00687890" w:rsidRPr="004C23F4" w:rsidRDefault="00687890" w:rsidP="00F4402E">
            <w:pPr>
              <w:pStyle w:val="Tableheader"/>
              <w:tabs>
                <w:tab w:val="right" w:pos="5272"/>
              </w:tabs>
            </w:pPr>
            <w:r w:rsidRPr="004C23F4">
              <w:t>Notations</w:t>
            </w:r>
            <w:r w:rsidR="003A2B94">
              <w:tab/>
            </w:r>
          </w:p>
        </w:tc>
      </w:tr>
      <w:tr w:rsidR="00687890" w:rsidRPr="004C23F4" w14:paraId="517141F6" w14:textId="77777777" w:rsidTr="00812887">
        <w:trPr>
          <w:cantSplit/>
        </w:trPr>
        <w:tc>
          <w:tcPr>
            <w:tcW w:w="3227" w:type="dxa"/>
          </w:tcPr>
          <w:p w14:paraId="20F61965" w14:textId="77777777" w:rsidR="004079B4" w:rsidRPr="004C23F4" w:rsidRDefault="00084513" w:rsidP="00F4402E">
            <w:pPr>
              <w:pStyle w:val="Tablefont"/>
            </w:pPr>
            <w:r w:rsidRPr="004C23F4">
              <w:t>SWA</w:t>
            </w:r>
          </w:p>
        </w:tc>
        <w:tc>
          <w:tcPr>
            <w:tcW w:w="6015" w:type="dxa"/>
          </w:tcPr>
          <w:p w14:paraId="1C38FDE7" w14:textId="3C0A3FB2" w:rsidR="00687890" w:rsidRPr="00DD2F9B" w:rsidRDefault="00077944" w:rsidP="00DD2F9B">
            <w:pPr>
              <w:pStyle w:val="Tablefont"/>
            </w:pPr>
            <w:proofErr w:type="spellStart"/>
            <w:r w:rsidRPr="00077944">
              <w:t>Carc</w:t>
            </w:r>
            <w:proofErr w:type="spellEnd"/>
            <w:r w:rsidRPr="00077944">
              <w:t xml:space="preserve">. </w:t>
            </w:r>
            <w:proofErr w:type="spellStart"/>
            <w:r w:rsidRPr="00077944">
              <w:t>1B</w:t>
            </w:r>
            <w:proofErr w:type="spellEnd"/>
          </w:p>
        </w:tc>
      </w:tr>
      <w:tr w:rsidR="007925F0" w:rsidRPr="004C23F4" w14:paraId="0D5CEC0F" w14:textId="77777777" w:rsidTr="00812887">
        <w:trPr>
          <w:cantSplit/>
        </w:trPr>
        <w:tc>
          <w:tcPr>
            <w:tcW w:w="3227" w:type="dxa"/>
          </w:tcPr>
          <w:p w14:paraId="00FC594E" w14:textId="77777777" w:rsidR="004079B4" w:rsidRPr="004C23F4" w:rsidRDefault="007925F0" w:rsidP="00F4402E">
            <w:pPr>
              <w:pStyle w:val="Tablefont"/>
            </w:pPr>
            <w:proofErr w:type="spellStart"/>
            <w:r>
              <w:t>HCIS</w:t>
            </w:r>
            <w:proofErr w:type="spellEnd"/>
          </w:p>
        </w:tc>
        <w:tc>
          <w:tcPr>
            <w:tcW w:w="6015" w:type="dxa"/>
          </w:tcPr>
          <w:p w14:paraId="6BFABE21" w14:textId="07B6E4D3" w:rsidR="007925F0" w:rsidRPr="00DD2F9B" w:rsidRDefault="00077944" w:rsidP="00DD2F9B">
            <w:pPr>
              <w:pStyle w:val="Tablefont"/>
            </w:pPr>
            <w:r w:rsidRPr="00077944">
              <w:t xml:space="preserve">Carcinogenicity – category </w:t>
            </w:r>
            <w:proofErr w:type="spellStart"/>
            <w:r w:rsidRPr="00077944">
              <w:t>1B</w:t>
            </w:r>
            <w:proofErr w:type="spellEnd"/>
          </w:p>
        </w:tc>
      </w:tr>
      <w:tr w:rsidR="00AF483F" w:rsidRPr="004C23F4" w14:paraId="459EB8C3" w14:textId="77777777" w:rsidTr="00812887">
        <w:trPr>
          <w:cantSplit/>
        </w:trPr>
        <w:tc>
          <w:tcPr>
            <w:tcW w:w="3227" w:type="dxa"/>
          </w:tcPr>
          <w:p w14:paraId="40D8A20A" w14:textId="77777777" w:rsidR="00AF483F" w:rsidRPr="004C23F4" w:rsidRDefault="00AF483F" w:rsidP="00F4402E">
            <w:pPr>
              <w:pStyle w:val="Tablefont"/>
            </w:pPr>
            <w:proofErr w:type="spellStart"/>
            <w:r>
              <w:t>NICNAS</w:t>
            </w:r>
            <w:proofErr w:type="spellEnd"/>
          </w:p>
        </w:tc>
        <w:tc>
          <w:tcPr>
            <w:tcW w:w="6015" w:type="dxa"/>
          </w:tcPr>
          <w:p w14:paraId="51CD2203" w14:textId="09A4DF57" w:rsidR="00AF483F" w:rsidRPr="00DD2F9B" w:rsidRDefault="00077944" w:rsidP="00DD2F9B">
            <w:pPr>
              <w:pStyle w:val="Tablefont"/>
            </w:pPr>
            <w:proofErr w:type="spellStart"/>
            <w:r w:rsidRPr="00077944">
              <w:t>Carc</w:t>
            </w:r>
            <w:proofErr w:type="spellEnd"/>
            <w:r w:rsidRPr="00077944">
              <w:t>. Cat 2</w:t>
            </w:r>
            <w:r w:rsidR="00C03F70">
              <w:t xml:space="preserve"> </w:t>
            </w:r>
          </w:p>
        </w:tc>
      </w:tr>
      <w:tr w:rsidR="00687890" w:rsidRPr="004C23F4" w14:paraId="73CCFE94" w14:textId="77777777" w:rsidTr="00812887">
        <w:trPr>
          <w:cantSplit/>
        </w:trPr>
        <w:tc>
          <w:tcPr>
            <w:tcW w:w="3227" w:type="dxa"/>
          </w:tcPr>
          <w:p w14:paraId="7522EB5A" w14:textId="77777777" w:rsidR="004079B4" w:rsidRPr="004C23F4" w:rsidRDefault="00687890" w:rsidP="00F4402E">
            <w:pPr>
              <w:pStyle w:val="Tablefont"/>
            </w:pPr>
            <w:r w:rsidRPr="004C23F4">
              <w:t>EU Annex</w:t>
            </w:r>
          </w:p>
        </w:tc>
        <w:tc>
          <w:tcPr>
            <w:tcW w:w="6015" w:type="dxa"/>
          </w:tcPr>
          <w:p w14:paraId="57ABC5B8" w14:textId="11F527C3" w:rsidR="00687890" w:rsidRPr="00DD2F9B" w:rsidRDefault="00077944" w:rsidP="00DD2F9B">
            <w:pPr>
              <w:pStyle w:val="Tablefont"/>
            </w:pPr>
            <w:r>
              <w:t>NA</w:t>
            </w:r>
          </w:p>
        </w:tc>
      </w:tr>
      <w:tr w:rsidR="00E41A26" w:rsidRPr="004C23F4" w14:paraId="32356A32" w14:textId="77777777" w:rsidTr="00812887">
        <w:trPr>
          <w:cantSplit/>
        </w:trPr>
        <w:tc>
          <w:tcPr>
            <w:tcW w:w="3227" w:type="dxa"/>
          </w:tcPr>
          <w:p w14:paraId="1A4F72B2" w14:textId="77777777" w:rsidR="00E41A26" w:rsidRDefault="00E41A26" w:rsidP="00F4402E">
            <w:pPr>
              <w:pStyle w:val="Tablefont"/>
            </w:pPr>
            <w:r>
              <w:t>ECHA</w:t>
            </w:r>
          </w:p>
        </w:tc>
        <w:tc>
          <w:tcPr>
            <w:tcW w:w="6015" w:type="dxa"/>
          </w:tcPr>
          <w:p w14:paraId="74EFE51C" w14:textId="6957AB9F" w:rsidR="00E41A26" w:rsidRPr="00DD2F9B" w:rsidRDefault="00077944" w:rsidP="00DD2F9B">
            <w:pPr>
              <w:pStyle w:val="Tablefont"/>
            </w:pPr>
            <w:proofErr w:type="spellStart"/>
            <w:r w:rsidRPr="00077944">
              <w:t>Carc</w:t>
            </w:r>
            <w:proofErr w:type="spellEnd"/>
            <w:r w:rsidRPr="00077944">
              <w:t xml:space="preserve">. </w:t>
            </w:r>
            <w:proofErr w:type="spellStart"/>
            <w:r w:rsidRPr="00077944">
              <w:t>1B</w:t>
            </w:r>
            <w:proofErr w:type="spellEnd"/>
          </w:p>
        </w:tc>
      </w:tr>
      <w:tr w:rsidR="002E0D61" w:rsidRPr="004C23F4" w14:paraId="77A882B5" w14:textId="77777777" w:rsidTr="00812887">
        <w:trPr>
          <w:cantSplit/>
        </w:trPr>
        <w:tc>
          <w:tcPr>
            <w:tcW w:w="3227" w:type="dxa"/>
          </w:tcPr>
          <w:p w14:paraId="4637BFEE" w14:textId="77777777" w:rsidR="004079B4" w:rsidRPr="004C23F4" w:rsidRDefault="002E0D61" w:rsidP="00F4402E">
            <w:pPr>
              <w:pStyle w:val="Tablefont"/>
            </w:pPr>
            <w:proofErr w:type="spellStart"/>
            <w:r>
              <w:t>ACGIH</w:t>
            </w:r>
            <w:proofErr w:type="spellEnd"/>
          </w:p>
        </w:tc>
        <w:tc>
          <w:tcPr>
            <w:tcW w:w="6015" w:type="dxa"/>
          </w:tcPr>
          <w:p w14:paraId="63CAD70A" w14:textId="499CBA35" w:rsidR="002E0D61" w:rsidRPr="00DD2F9B" w:rsidRDefault="00245279" w:rsidP="00DD2F9B">
            <w:pPr>
              <w:pStyle w:val="Tablefont"/>
            </w:pPr>
            <w:r w:rsidRPr="00245279">
              <w:t xml:space="preserve">Carcinogenicity – </w:t>
            </w:r>
            <w:proofErr w:type="spellStart"/>
            <w:r w:rsidRPr="00245279">
              <w:t>A4</w:t>
            </w:r>
            <w:proofErr w:type="spellEnd"/>
          </w:p>
        </w:tc>
      </w:tr>
      <w:tr w:rsidR="002E0D61" w:rsidRPr="004C23F4" w14:paraId="65D4907D" w14:textId="77777777" w:rsidTr="00812887">
        <w:trPr>
          <w:cantSplit/>
        </w:trPr>
        <w:tc>
          <w:tcPr>
            <w:tcW w:w="3227" w:type="dxa"/>
          </w:tcPr>
          <w:p w14:paraId="16AB3F0F" w14:textId="77777777" w:rsidR="004079B4" w:rsidRPr="004C23F4" w:rsidRDefault="002E0D61" w:rsidP="00F4402E">
            <w:pPr>
              <w:pStyle w:val="Tablefont"/>
            </w:pPr>
            <w:proofErr w:type="spellStart"/>
            <w:r>
              <w:t>DFG</w:t>
            </w:r>
            <w:proofErr w:type="spellEnd"/>
          </w:p>
        </w:tc>
        <w:tc>
          <w:tcPr>
            <w:tcW w:w="6015" w:type="dxa"/>
          </w:tcPr>
          <w:p w14:paraId="429EEC1B" w14:textId="3684D6FA" w:rsidR="002E0D61" w:rsidRPr="00DD2F9B" w:rsidRDefault="00245279" w:rsidP="00DD2F9B">
            <w:pPr>
              <w:pStyle w:val="Tablefont"/>
            </w:pPr>
            <w:r w:rsidRPr="00245279">
              <w:t>Carcinogenicity – 2</w:t>
            </w:r>
            <w:r>
              <w:t xml:space="preserve">, </w:t>
            </w:r>
            <w:r w:rsidRPr="00245279">
              <w:t>H (skin)</w:t>
            </w:r>
          </w:p>
        </w:tc>
      </w:tr>
      <w:tr w:rsidR="002E0D61" w:rsidRPr="004C23F4" w14:paraId="022C556A" w14:textId="77777777" w:rsidTr="00812887">
        <w:trPr>
          <w:cantSplit/>
        </w:trPr>
        <w:tc>
          <w:tcPr>
            <w:tcW w:w="3227" w:type="dxa"/>
          </w:tcPr>
          <w:p w14:paraId="26B7EC98" w14:textId="77777777" w:rsidR="004079B4" w:rsidRPr="004C23F4" w:rsidRDefault="002E0D61" w:rsidP="00F4402E">
            <w:pPr>
              <w:pStyle w:val="Tablefont"/>
            </w:pPr>
            <w:proofErr w:type="spellStart"/>
            <w:r>
              <w:t>SCOEL</w:t>
            </w:r>
            <w:proofErr w:type="spellEnd"/>
          </w:p>
        </w:tc>
        <w:tc>
          <w:tcPr>
            <w:tcW w:w="6015" w:type="dxa"/>
          </w:tcPr>
          <w:p w14:paraId="78FC4D3F" w14:textId="6E8730CA" w:rsidR="002E0D61" w:rsidRPr="00DD2F9B" w:rsidRDefault="00245279" w:rsidP="00DD2F9B">
            <w:pPr>
              <w:pStyle w:val="Tablefont"/>
            </w:pPr>
            <w:r w:rsidRPr="00245279">
              <w:t>Skin</w:t>
            </w:r>
          </w:p>
        </w:tc>
      </w:tr>
      <w:tr w:rsidR="002E0D61" w:rsidRPr="004C23F4" w14:paraId="78E24F0D" w14:textId="77777777" w:rsidTr="00812887">
        <w:trPr>
          <w:cantSplit/>
        </w:trPr>
        <w:tc>
          <w:tcPr>
            <w:tcW w:w="3227" w:type="dxa"/>
          </w:tcPr>
          <w:p w14:paraId="79D569CB" w14:textId="77777777" w:rsidR="004079B4" w:rsidRDefault="002E0D61" w:rsidP="00F4402E">
            <w:pPr>
              <w:pStyle w:val="Tablefont"/>
            </w:pPr>
            <w:proofErr w:type="spellStart"/>
            <w:r>
              <w:t>HCOTN</w:t>
            </w:r>
            <w:proofErr w:type="spellEnd"/>
          </w:p>
        </w:tc>
        <w:tc>
          <w:tcPr>
            <w:tcW w:w="6015" w:type="dxa"/>
          </w:tcPr>
          <w:p w14:paraId="0B4889FC" w14:textId="3513259D" w:rsidR="002E0D61" w:rsidRPr="00DD2F9B" w:rsidRDefault="00245279" w:rsidP="00DD2F9B">
            <w:pPr>
              <w:pStyle w:val="Tablefont"/>
            </w:pPr>
            <w:r>
              <w:t>NA</w:t>
            </w:r>
          </w:p>
        </w:tc>
      </w:tr>
      <w:tr w:rsidR="00386093" w:rsidRPr="004C23F4" w14:paraId="7826AB38" w14:textId="77777777" w:rsidTr="00812887">
        <w:trPr>
          <w:cantSplit/>
        </w:trPr>
        <w:tc>
          <w:tcPr>
            <w:tcW w:w="3227" w:type="dxa"/>
          </w:tcPr>
          <w:p w14:paraId="1CFFA301" w14:textId="77777777" w:rsidR="004079B4" w:rsidRDefault="00386093" w:rsidP="00F4402E">
            <w:pPr>
              <w:pStyle w:val="Tablefont"/>
            </w:pPr>
            <w:r>
              <w:t>IARC</w:t>
            </w:r>
          </w:p>
        </w:tc>
        <w:tc>
          <w:tcPr>
            <w:tcW w:w="6015" w:type="dxa"/>
          </w:tcPr>
          <w:p w14:paraId="161D2BD1" w14:textId="7FB4011B" w:rsidR="00386093" w:rsidRPr="00DD2F9B" w:rsidRDefault="00245279" w:rsidP="00DD2F9B">
            <w:pPr>
              <w:pStyle w:val="Tablefont"/>
            </w:pPr>
            <w:r w:rsidRPr="00245279">
              <w:t xml:space="preserve">Carcinogenicity – Group </w:t>
            </w:r>
            <w:proofErr w:type="spellStart"/>
            <w:r w:rsidRPr="00245279">
              <w:t>2B</w:t>
            </w:r>
            <w:proofErr w:type="spellEnd"/>
          </w:p>
        </w:tc>
      </w:tr>
      <w:tr w:rsidR="00386093" w:rsidRPr="004C23F4" w14:paraId="60674C02" w14:textId="77777777" w:rsidTr="00812887">
        <w:trPr>
          <w:cantSplit/>
        </w:trPr>
        <w:tc>
          <w:tcPr>
            <w:tcW w:w="3227" w:type="dxa"/>
          </w:tcPr>
          <w:p w14:paraId="7E836951" w14:textId="77777777" w:rsidR="004079B4" w:rsidRDefault="00386093" w:rsidP="00F4402E">
            <w:pPr>
              <w:pStyle w:val="Tablefont"/>
              <w:keepNext/>
            </w:pPr>
            <w:r>
              <w:t xml:space="preserve">US </w:t>
            </w:r>
            <w:proofErr w:type="spellStart"/>
            <w:r>
              <w:t>NIOSH</w:t>
            </w:r>
            <w:proofErr w:type="spellEnd"/>
          </w:p>
        </w:tc>
        <w:tc>
          <w:tcPr>
            <w:tcW w:w="6015" w:type="dxa"/>
          </w:tcPr>
          <w:p w14:paraId="126C50E0" w14:textId="27811A79" w:rsidR="00386093" w:rsidRPr="00DD2F9B" w:rsidRDefault="00245279" w:rsidP="00D87570">
            <w:pPr>
              <w:pStyle w:val="Tablefont"/>
              <w:keepNext/>
            </w:pPr>
            <w:r>
              <w:t>NA</w:t>
            </w:r>
          </w:p>
        </w:tc>
      </w:tr>
    </w:tbl>
    <w:bookmarkEnd w:id="2"/>
    <w:p w14:paraId="75DBD020"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0CCC4EF1"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1F3E501" w14:textId="77777777" w:rsidTr="00EA6243">
        <w:trPr>
          <w:cantSplit/>
          <w:tblHeader/>
        </w:trPr>
        <w:tc>
          <w:tcPr>
            <w:tcW w:w="5000" w:type="pct"/>
            <w:shd w:val="clear" w:color="auto" w:fill="BFBFBF" w:themeFill="background1" w:themeFillShade="BF"/>
            <w:vAlign w:val="center"/>
          </w:tcPr>
          <w:p w14:paraId="14FD3C0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1FD92F84" w14:textId="77777777" w:rsidTr="00EA6243">
        <w:trPr>
          <w:cantSplit/>
          <w:tblHeader/>
        </w:trPr>
        <w:tc>
          <w:tcPr>
            <w:tcW w:w="5000" w:type="pct"/>
            <w:vAlign w:val="center"/>
          </w:tcPr>
          <w:tbl>
            <w:tblPr>
              <w:tblW w:w="8810" w:type="dxa"/>
              <w:tblLook w:val="04A0" w:firstRow="1" w:lastRow="0" w:firstColumn="1" w:lastColumn="0" w:noHBand="0" w:noVBand="1"/>
            </w:tblPr>
            <w:tblGrid>
              <w:gridCol w:w="1205"/>
              <w:gridCol w:w="835"/>
              <w:gridCol w:w="2800"/>
              <w:gridCol w:w="835"/>
              <w:gridCol w:w="835"/>
              <w:gridCol w:w="1150"/>
              <w:gridCol w:w="1150"/>
            </w:tblGrid>
            <w:tr w:rsidR="006701D4" w:rsidRPr="006701D4" w14:paraId="4287F5EA" w14:textId="77777777" w:rsidTr="006701D4">
              <w:trPr>
                <w:trHeight w:val="240"/>
              </w:trPr>
              <w:tc>
                <w:tcPr>
                  <w:tcW w:w="1205" w:type="dxa"/>
                  <w:tcBorders>
                    <w:top w:val="nil"/>
                    <w:left w:val="nil"/>
                    <w:bottom w:val="nil"/>
                    <w:right w:val="nil"/>
                  </w:tcBorders>
                  <w:shd w:val="clear" w:color="000000" w:fill="C5D9F1"/>
                  <w:noWrap/>
                  <w:vAlign w:val="center"/>
                  <w:hideMark/>
                </w:tcPr>
                <w:p w14:paraId="30738463" w14:textId="77777777" w:rsidR="006701D4" w:rsidRPr="006701D4" w:rsidRDefault="006701D4" w:rsidP="006701D4">
                  <w:pPr>
                    <w:spacing w:after="0" w:line="240" w:lineRule="auto"/>
                    <w:rPr>
                      <w:rFonts w:ascii="Segoe UI" w:eastAsia="Times New Roman" w:hAnsi="Segoe UI" w:cs="Segoe UI"/>
                      <w:b/>
                      <w:bCs/>
                      <w:color w:val="000000"/>
                      <w:sz w:val="18"/>
                      <w:szCs w:val="18"/>
                      <w:lang w:eastAsia="en-AU"/>
                    </w:rPr>
                  </w:pPr>
                  <w:r w:rsidRPr="006701D4">
                    <w:rPr>
                      <w:rFonts w:ascii="Segoe UI" w:eastAsia="Times New Roman" w:hAnsi="Segoe UI" w:cs="Segoe UI"/>
                      <w:b/>
                      <w:bCs/>
                      <w:color w:val="000000"/>
                      <w:sz w:val="18"/>
                      <w:szCs w:val="18"/>
                      <w:lang w:eastAsia="en-AU"/>
                    </w:rPr>
                    <w:t>Conclusion:</w:t>
                  </w:r>
                </w:p>
              </w:tc>
              <w:tc>
                <w:tcPr>
                  <w:tcW w:w="835" w:type="dxa"/>
                  <w:tcBorders>
                    <w:top w:val="nil"/>
                    <w:left w:val="nil"/>
                    <w:bottom w:val="nil"/>
                    <w:right w:val="nil"/>
                  </w:tcBorders>
                  <w:shd w:val="clear" w:color="000000" w:fill="C5D9F1"/>
                  <w:noWrap/>
                  <w:vAlign w:val="center"/>
                  <w:hideMark/>
                </w:tcPr>
                <w:p w14:paraId="5AAA968A"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5D5E1E66"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7EC108F7"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4E81EABC"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691703A3"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32F38026"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6AABBE35" w14:textId="77777777" w:rsidTr="006701D4">
              <w:trPr>
                <w:trHeight w:val="342"/>
              </w:trPr>
              <w:tc>
                <w:tcPr>
                  <w:tcW w:w="1205" w:type="dxa"/>
                  <w:tcBorders>
                    <w:top w:val="nil"/>
                    <w:left w:val="nil"/>
                    <w:bottom w:val="nil"/>
                    <w:right w:val="nil"/>
                  </w:tcBorders>
                  <w:shd w:val="clear" w:color="000000" w:fill="C5D9F1"/>
                  <w:noWrap/>
                  <w:vAlign w:val="center"/>
                  <w:hideMark/>
                </w:tcPr>
                <w:p w14:paraId="74F1F01D" w14:textId="77777777" w:rsidR="006701D4" w:rsidRPr="006701D4" w:rsidRDefault="006701D4" w:rsidP="006701D4">
                  <w:pPr>
                    <w:spacing w:after="0" w:line="240" w:lineRule="auto"/>
                    <w:rPr>
                      <w:rFonts w:ascii="Segoe UI" w:eastAsia="Times New Roman" w:hAnsi="Segoe UI" w:cs="Segoe UI"/>
                      <w:b/>
                      <w:bCs/>
                      <w:color w:val="000000"/>
                      <w:sz w:val="18"/>
                      <w:szCs w:val="18"/>
                      <w:lang w:eastAsia="en-AU"/>
                    </w:rPr>
                  </w:pPr>
                  <w:r w:rsidRPr="006701D4">
                    <w:rPr>
                      <w:rFonts w:ascii="Segoe UI" w:eastAsia="Times New Roman" w:hAnsi="Segoe UI" w:cs="Segoe UI"/>
                      <w:b/>
                      <w:bCs/>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00958E23"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047A8319"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Adverse effects in human case study:</w:t>
                  </w:r>
                </w:p>
              </w:tc>
              <w:tc>
                <w:tcPr>
                  <w:tcW w:w="835" w:type="dxa"/>
                  <w:tcBorders>
                    <w:top w:val="nil"/>
                    <w:left w:val="nil"/>
                    <w:bottom w:val="nil"/>
                    <w:right w:val="nil"/>
                  </w:tcBorders>
                  <w:shd w:val="clear" w:color="000000" w:fill="C5D9F1"/>
                  <w:noWrap/>
                  <w:vAlign w:val="center"/>
                  <w:hideMark/>
                </w:tcPr>
                <w:p w14:paraId="6B041A44"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17709348"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tc>
              <w:tc>
                <w:tcPr>
                  <w:tcW w:w="1150" w:type="dxa"/>
                  <w:tcBorders>
                    <w:top w:val="nil"/>
                    <w:left w:val="nil"/>
                    <w:bottom w:val="nil"/>
                    <w:right w:val="nil"/>
                  </w:tcBorders>
                  <w:shd w:val="clear" w:color="000000" w:fill="C5D9F1"/>
                  <w:noWrap/>
                  <w:vAlign w:val="center"/>
                  <w:hideMark/>
                </w:tcPr>
                <w:p w14:paraId="54CEED06"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2167DE0B"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55E2A288" w14:textId="77777777" w:rsidTr="006701D4">
              <w:trPr>
                <w:trHeight w:val="342"/>
              </w:trPr>
              <w:tc>
                <w:tcPr>
                  <w:tcW w:w="1205" w:type="dxa"/>
                  <w:tcBorders>
                    <w:top w:val="nil"/>
                    <w:left w:val="nil"/>
                    <w:bottom w:val="nil"/>
                    <w:right w:val="nil"/>
                  </w:tcBorders>
                  <w:shd w:val="clear" w:color="000000" w:fill="C5D9F1"/>
                  <w:noWrap/>
                  <w:vAlign w:val="center"/>
                  <w:hideMark/>
                </w:tcPr>
                <w:p w14:paraId="1BBF597A"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16D85E49"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05A5DC82"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xml:space="preserve">Dermal </w:t>
                  </w:r>
                  <w:proofErr w:type="spellStart"/>
                  <w:r w:rsidRPr="006701D4">
                    <w:rPr>
                      <w:rFonts w:ascii="Segoe UI" w:eastAsia="Times New Roman" w:hAnsi="Segoe UI" w:cs="Segoe UI"/>
                      <w:color w:val="000000"/>
                      <w:sz w:val="18"/>
                      <w:szCs w:val="18"/>
                      <w:lang w:eastAsia="en-AU"/>
                    </w:rPr>
                    <w:t>LD</w:t>
                  </w:r>
                  <w:r w:rsidRPr="006701D4">
                    <w:rPr>
                      <w:rFonts w:ascii="Segoe UI" w:eastAsia="Times New Roman" w:hAnsi="Segoe UI" w:cs="Segoe UI"/>
                      <w:color w:val="000000"/>
                      <w:sz w:val="18"/>
                      <w:szCs w:val="18"/>
                      <w:vertAlign w:val="subscript"/>
                      <w:lang w:eastAsia="en-AU"/>
                    </w:rPr>
                    <w:t>50</w:t>
                  </w:r>
                  <w:proofErr w:type="spellEnd"/>
                  <w:r w:rsidRPr="006701D4">
                    <w:rPr>
                      <w:rFonts w:ascii="Segoe UI" w:eastAsia="Times New Roman" w:hAnsi="Segoe UI" w:cs="Segoe UI"/>
                      <w:color w:val="000000"/>
                      <w:sz w:val="18"/>
                      <w:szCs w:val="18"/>
                      <w:lang w:eastAsia="en-AU"/>
                    </w:rPr>
                    <w:t xml:space="preserve"> ≤1000 mg/kg:</w:t>
                  </w:r>
                </w:p>
              </w:tc>
              <w:tc>
                <w:tcPr>
                  <w:tcW w:w="835" w:type="dxa"/>
                  <w:tcBorders>
                    <w:top w:val="nil"/>
                    <w:left w:val="nil"/>
                    <w:bottom w:val="nil"/>
                    <w:right w:val="nil"/>
                  </w:tcBorders>
                  <w:shd w:val="clear" w:color="000000" w:fill="C5D9F1"/>
                  <w:noWrap/>
                  <w:vAlign w:val="center"/>
                  <w:hideMark/>
                </w:tcPr>
                <w:p w14:paraId="47090D5D"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no</w:t>
                  </w:r>
                </w:p>
              </w:tc>
              <w:tc>
                <w:tcPr>
                  <w:tcW w:w="835" w:type="dxa"/>
                  <w:tcBorders>
                    <w:top w:val="nil"/>
                    <w:left w:val="nil"/>
                    <w:bottom w:val="nil"/>
                    <w:right w:val="nil"/>
                  </w:tcBorders>
                  <w:shd w:val="clear" w:color="000000" w:fill="C5D9F1"/>
                  <w:noWrap/>
                  <w:vAlign w:val="center"/>
                  <w:hideMark/>
                </w:tcPr>
                <w:p w14:paraId="41529415"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tc>
              <w:tc>
                <w:tcPr>
                  <w:tcW w:w="1150" w:type="dxa"/>
                  <w:tcBorders>
                    <w:top w:val="nil"/>
                    <w:left w:val="nil"/>
                    <w:bottom w:val="nil"/>
                    <w:right w:val="nil"/>
                  </w:tcBorders>
                  <w:shd w:val="clear" w:color="000000" w:fill="C5D9F1"/>
                  <w:noWrap/>
                  <w:vAlign w:val="center"/>
                  <w:hideMark/>
                </w:tcPr>
                <w:p w14:paraId="1807C7AB"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7D839D05"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47146235" w14:textId="77777777" w:rsidTr="006701D4">
              <w:trPr>
                <w:trHeight w:val="342"/>
              </w:trPr>
              <w:tc>
                <w:tcPr>
                  <w:tcW w:w="1205" w:type="dxa"/>
                  <w:tcBorders>
                    <w:top w:val="nil"/>
                    <w:left w:val="nil"/>
                    <w:bottom w:val="nil"/>
                    <w:right w:val="nil"/>
                  </w:tcBorders>
                  <w:shd w:val="clear" w:color="000000" w:fill="C5D9F1"/>
                  <w:noWrap/>
                  <w:vAlign w:val="center"/>
                  <w:hideMark/>
                </w:tcPr>
                <w:p w14:paraId="53A3585F"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3C822834"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684D17BF"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xml:space="preserve">Dermal repeat-dose </w:t>
                  </w:r>
                  <w:proofErr w:type="spellStart"/>
                  <w:r w:rsidRPr="006701D4">
                    <w:rPr>
                      <w:rFonts w:ascii="Segoe UI" w:eastAsia="Times New Roman" w:hAnsi="Segoe UI" w:cs="Segoe UI"/>
                      <w:color w:val="000000"/>
                      <w:sz w:val="18"/>
                      <w:szCs w:val="18"/>
                      <w:lang w:eastAsia="en-AU"/>
                    </w:rPr>
                    <w:t>NOAEL</w:t>
                  </w:r>
                  <w:proofErr w:type="spellEnd"/>
                  <w:r w:rsidRPr="006701D4">
                    <w:rPr>
                      <w:rFonts w:ascii="Segoe UI" w:eastAsia="Times New Roman" w:hAnsi="Segoe UI" w:cs="Segoe UI"/>
                      <w:color w:val="000000"/>
                      <w:sz w:val="18"/>
                      <w:szCs w:val="18"/>
                      <w:lang w:eastAsia="en-AU"/>
                    </w:rPr>
                    <w:t xml:space="preserve"> ≤200 mg/kg:</w:t>
                  </w:r>
                </w:p>
              </w:tc>
              <w:tc>
                <w:tcPr>
                  <w:tcW w:w="835" w:type="dxa"/>
                  <w:tcBorders>
                    <w:top w:val="nil"/>
                    <w:left w:val="nil"/>
                    <w:bottom w:val="nil"/>
                    <w:right w:val="nil"/>
                  </w:tcBorders>
                  <w:shd w:val="clear" w:color="000000" w:fill="C5D9F1"/>
                  <w:noWrap/>
                  <w:vAlign w:val="center"/>
                  <w:hideMark/>
                </w:tcPr>
                <w:p w14:paraId="7094F7D0"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1DF3E951"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tc>
              <w:tc>
                <w:tcPr>
                  <w:tcW w:w="1150" w:type="dxa"/>
                  <w:tcBorders>
                    <w:top w:val="nil"/>
                    <w:left w:val="nil"/>
                    <w:bottom w:val="nil"/>
                    <w:right w:val="nil"/>
                  </w:tcBorders>
                  <w:shd w:val="clear" w:color="000000" w:fill="C5D9F1"/>
                  <w:noWrap/>
                  <w:vAlign w:val="center"/>
                  <w:hideMark/>
                </w:tcPr>
                <w:p w14:paraId="314A7A8E"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114C60EC"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4BE9C92A" w14:textId="77777777" w:rsidTr="006701D4">
              <w:trPr>
                <w:trHeight w:val="342"/>
              </w:trPr>
              <w:tc>
                <w:tcPr>
                  <w:tcW w:w="1205" w:type="dxa"/>
                  <w:tcBorders>
                    <w:top w:val="nil"/>
                    <w:left w:val="nil"/>
                    <w:bottom w:val="nil"/>
                    <w:right w:val="nil"/>
                  </w:tcBorders>
                  <w:shd w:val="clear" w:color="000000" w:fill="C5D9F1"/>
                  <w:noWrap/>
                  <w:vAlign w:val="center"/>
                  <w:hideMark/>
                </w:tcPr>
                <w:p w14:paraId="35757B77"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770E42A5"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791F998A"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xml:space="preserve">Dermal </w:t>
                  </w:r>
                  <w:proofErr w:type="spellStart"/>
                  <w:r w:rsidRPr="006701D4">
                    <w:rPr>
                      <w:rFonts w:ascii="Segoe UI" w:eastAsia="Times New Roman" w:hAnsi="Segoe UI" w:cs="Segoe UI"/>
                      <w:color w:val="000000"/>
                      <w:sz w:val="18"/>
                      <w:szCs w:val="18"/>
                      <w:lang w:eastAsia="en-AU"/>
                    </w:rPr>
                    <w:t>LD</w:t>
                  </w:r>
                  <w:r w:rsidRPr="006701D4">
                    <w:rPr>
                      <w:rFonts w:ascii="Segoe UI" w:eastAsia="Times New Roman" w:hAnsi="Segoe UI" w:cs="Segoe UI"/>
                      <w:color w:val="000000"/>
                      <w:sz w:val="18"/>
                      <w:szCs w:val="18"/>
                      <w:vertAlign w:val="subscript"/>
                      <w:lang w:eastAsia="en-AU"/>
                    </w:rPr>
                    <w:t>50</w:t>
                  </w:r>
                  <w:proofErr w:type="spellEnd"/>
                  <w:r w:rsidRPr="006701D4">
                    <w:rPr>
                      <w:rFonts w:ascii="Segoe UI" w:eastAsia="Times New Roman" w:hAnsi="Segoe UI" w:cs="Segoe UI"/>
                      <w:color w:val="000000"/>
                      <w:sz w:val="18"/>
                      <w:szCs w:val="18"/>
                      <w:lang w:eastAsia="en-AU"/>
                    </w:rPr>
                    <w:t xml:space="preserve">/Inhalation </w:t>
                  </w:r>
                  <w:proofErr w:type="spellStart"/>
                  <w:r w:rsidRPr="006701D4">
                    <w:rPr>
                      <w:rFonts w:ascii="Segoe UI" w:eastAsia="Times New Roman" w:hAnsi="Segoe UI" w:cs="Segoe UI"/>
                      <w:color w:val="000000"/>
                      <w:sz w:val="18"/>
                      <w:szCs w:val="18"/>
                      <w:lang w:eastAsia="en-AU"/>
                    </w:rPr>
                    <w:t>LD</w:t>
                  </w:r>
                  <w:r w:rsidRPr="006701D4">
                    <w:rPr>
                      <w:rFonts w:ascii="Segoe UI" w:eastAsia="Times New Roman" w:hAnsi="Segoe UI" w:cs="Segoe UI"/>
                      <w:color w:val="000000"/>
                      <w:sz w:val="18"/>
                      <w:szCs w:val="18"/>
                      <w:vertAlign w:val="subscript"/>
                      <w:lang w:eastAsia="en-AU"/>
                    </w:rPr>
                    <w:t>50</w:t>
                  </w:r>
                  <w:proofErr w:type="spellEnd"/>
                  <w:r w:rsidRPr="006701D4">
                    <w:rPr>
                      <w:rFonts w:ascii="Segoe UI" w:eastAsia="Times New Roman" w:hAnsi="Segoe UI" w:cs="Segoe UI"/>
                      <w:color w:val="000000"/>
                      <w:sz w:val="18"/>
                      <w:szCs w:val="18"/>
                      <w:lang w:eastAsia="en-AU"/>
                    </w:rPr>
                    <w:t xml:space="preserve"> &lt;10:</w:t>
                  </w:r>
                </w:p>
              </w:tc>
              <w:tc>
                <w:tcPr>
                  <w:tcW w:w="835" w:type="dxa"/>
                  <w:tcBorders>
                    <w:top w:val="nil"/>
                    <w:left w:val="nil"/>
                    <w:bottom w:val="nil"/>
                    <w:right w:val="nil"/>
                  </w:tcBorders>
                  <w:shd w:val="clear" w:color="000000" w:fill="C5D9F1"/>
                  <w:noWrap/>
                  <w:vAlign w:val="center"/>
                  <w:hideMark/>
                </w:tcPr>
                <w:p w14:paraId="4C524F06"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0CAE77D1"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tc>
              <w:tc>
                <w:tcPr>
                  <w:tcW w:w="1150" w:type="dxa"/>
                  <w:tcBorders>
                    <w:top w:val="nil"/>
                    <w:left w:val="nil"/>
                    <w:bottom w:val="nil"/>
                    <w:right w:val="nil"/>
                  </w:tcBorders>
                  <w:shd w:val="clear" w:color="000000" w:fill="C5D9F1"/>
                  <w:noWrap/>
                  <w:vAlign w:val="center"/>
                  <w:hideMark/>
                </w:tcPr>
                <w:p w14:paraId="1C375037"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110D05CE"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02BA2E99" w14:textId="77777777" w:rsidTr="006701D4">
              <w:trPr>
                <w:trHeight w:val="342"/>
              </w:trPr>
              <w:tc>
                <w:tcPr>
                  <w:tcW w:w="1205" w:type="dxa"/>
                  <w:tcBorders>
                    <w:top w:val="nil"/>
                    <w:left w:val="nil"/>
                    <w:bottom w:val="nil"/>
                    <w:right w:val="nil"/>
                  </w:tcBorders>
                  <w:shd w:val="clear" w:color="000000" w:fill="C5D9F1"/>
                  <w:noWrap/>
                  <w:vAlign w:val="center"/>
                  <w:hideMark/>
                </w:tcPr>
                <w:p w14:paraId="2E5D1066"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434AD6A5"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29195D9F" w14:textId="77777777" w:rsidR="006701D4" w:rsidRPr="006701D4" w:rsidRDefault="006701D4" w:rsidP="006701D4">
                  <w:pPr>
                    <w:spacing w:after="0" w:line="240" w:lineRule="auto"/>
                    <w:jc w:val="right"/>
                    <w:rPr>
                      <w:rFonts w:ascii="Segoe UI" w:eastAsia="Times New Roman" w:hAnsi="Segoe UI" w:cs="Segoe UI"/>
                      <w:i/>
                      <w:iCs/>
                      <w:color w:val="000000"/>
                      <w:sz w:val="18"/>
                      <w:szCs w:val="18"/>
                      <w:lang w:eastAsia="en-AU"/>
                    </w:rPr>
                  </w:pPr>
                  <w:r w:rsidRPr="006701D4">
                    <w:rPr>
                      <w:rFonts w:ascii="Segoe UI" w:eastAsia="Times New Roman" w:hAnsi="Segoe UI" w:cs="Segoe UI"/>
                      <w:i/>
                      <w:iCs/>
                      <w:color w:val="000000"/>
                      <w:sz w:val="18"/>
                      <w:szCs w:val="18"/>
                      <w:lang w:eastAsia="en-AU"/>
                    </w:rPr>
                    <w:t>In vivo</w:t>
                  </w:r>
                  <w:r w:rsidRPr="006701D4">
                    <w:rPr>
                      <w:rFonts w:ascii="Segoe UI" w:eastAsia="Times New Roman" w:hAnsi="Segoe UI" w:cs="Segoe UI"/>
                      <w:color w:val="000000"/>
                      <w:sz w:val="18"/>
                      <w:szCs w:val="18"/>
                      <w:lang w:eastAsia="en-AU"/>
                    </w:rPr>
                    <w:t xml:space="preserve"> dermal absorption rate &gt;10%:</w:t>
                  </w:r>
                </w:p>
              </w:tc>
              <w:tc>
                <w:tcPr>
                  <w:tcW w:w="835" w:type="dxa"/>
                  <w:tcBorders>
                    <w:top w:val="nil"/>
                    <w:left w:val="nil"/>
                    <w:bottom w:val="nil"/>
                    <w:right w:val="nil"/>
                  </w:tcBorders>
                  <w:shd w:val="clear" w:color="000000" w:fill="C5D9F1"/>
                  <w:noWrap/>
                  <w:vAlign w:val="center"/>
                  <w:hideMark/>
                </w:tcPr>
                <w:p w14:paraId="4D2962E5"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47C3C5A1"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tc>
              <w:tc>
                <w:tcPr>
                  <w:tcW w:w="1150" w:type="dxa"/>
                  <w:tcBorders>
                    <w:top w:val="nil"/>
                    <w:left w:val="nil"/>
                    <w:bottom w:val="nil"/>
                    <w:right w:val="nil"/>
                  </w:tcBorders>
                  <w:shd w:val="clear" w:color="000000" w:fill="C5D9F1"/>
                  <w:noWrap/>
                  <w:vAlign w:val="center"/>
                  <w:hideMark/>
                </w:tcPr>
                <w:p w14:paraId="3C81948B"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522C7748"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711B495E" w14:textId="77777777" w:rsidTr="006701D4">
              <w:trPr>
                <w:trHeight w:val="342"/>
              </w:trPr>
              <w:tc>
                <w:tcPr>
                  <w:tcW w:w="1205" w:type="dxa"/>
                  <w:tcBorders>
                    <w:top w:val="nil"/>
                    <w:left w:val="nil"/>
                    <w:bottom w:val="nil"/>
                    <w:right w:val="nil"/>
                  </w:tcBorders>
                  <w:shd w:val="clear" w:color="000000" w:fill="C5D9F1"/>
                  <w:noWrap/>
                  <w:vAlign w:val="center"/>
                  <w:hideMark/>
                </w:tcPr>
                <w:p w14:paraId="15751D2F"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48ED54AA"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53D5C743"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Estimated dermal exposure at WES &gt;10%:</w:t>
                  </w:r>
                </w:p>
              </w:tc>
              <w:tc>
                <w:tcPr>
                  <w:tcW w:w="835" w:type="dxa"/>
                  <w:tcBorders>
                    <w:top w:val="nil"/>
                    <w:left w:val="nil"/>
                    <w:bottom w:val="nil"/>
                    <w:right w:val="nil"/>
                  </w:tcBorders>
                  <w:shd w:val="clear" w:color="000000" w:fill="C5D9F1"/>
                  <w:noWrap/>
                  <w:vAlign w:val="center"/>
                  <w:hideMark/>
                </w:tcPr>
                <w:p w14:paraId="4B4A3672"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79179CD6"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tc>
              <w:tc>
                <w:tcPr>
                  <w:tcW w:w="1150" w:type="dxa"/>
                  <w:tcBorders>
                    <w:top w:val="nil"/>
                    <w:left w:val="nil"/>
                    <w:bottom w:val="nil"/>
                    <w:right w:val="nil"/>
                  </w:tcBorders>
                  <w:shd w:val="clear" w:color="000000" w:fill="C5D9F1"/>
                  <w:noWrap/>
                  <w:vAlign w:val="center"/>
                  <w:hideMark/>
                </w:tcPr>
                <w:p w14:paraId="19E8AD63"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0E507B52"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r w:rsidR="006701D4" w:rsidRPr="006701D4" w14:paraId="426B0A5F" w14:textId="77777777" w:rsidTr="006701D4">
              <w:trPr>
                <w:trHeight w:val="342"/>
              </w:trPr>
              <w:tc>
                <w:tcPr>
                  <w:tcW w:w="1205" w:type="dxa"/>
                  <w:tcBorders>
                    <w:top w:val="nil"/>
                    <w:left w:val="nil"/>
                    <w:bottom w:val="nil"/>
                    <w:right w:val="nil"/>
                  </w:tcBorders>
                  <w:shd w:val="clear" w:color="000000" w:fill="C5D9F1"/>
                  <w:noWrap/>
                  <w:vAlign w:val="center"/>
                  <w:hideMark/>
                </w:tcPr>
                <w:p w14:paraId="163F984D"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20C27321"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5EC77275"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247ED88F"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3135" w:type="dxa"/>
                  <w:gridSpan w:val="3"/>
                  <w:tcBorders>
                    <w:top w:val="nil"/>
                    <w:left w:val="nil"/>
                    <w:bottom w:val="nil"/>
                    <w:right w:val="nil"/>
                  </w:tcBorders>
                  <w:shd w:val="clear" w:color="000000" w:fill="C5D9F1"/>
                  <w:noWrap/>
                  <w:vAlign w:val="center"/>
                  <w:hideMark/>
                </w:tcPr>
                <w:p w14:paraId="49B5978D" w14:textId="77777777" w:rsidR="006701D4" w:rsidRPr="006701D4" w:rsidRDefault="006701D4" w:rsidP="006701D4">
                  <w:pPr>
                    <w:spacing w:after="0" w:line="240" w:lineRule="auto"/>
                    <w:rPr>
                      <w:rFonts w:ascii="Segoe UI" w:eastAsia="Times New Roman" w:hAnsi="Segoe UI" w:cs="Segoe UI"/>
                      <w:color w:val="C5D9F1"/>
                      <w:sz w:val="18"/>
                      <w:szCs w:val="18"/>
                      <w:lang w:eastAsia="en-AU"/>
                    </w:rPr>
                  </w:pPr>
                  <w:r w:rsidRPr="006701D4">
                    <w:rPr>
                      <w:rFonts w:ascii="Segoe UI" w:eastAsia="Times New Roman" w:hAnsi="Segoe UI" w:cs="Segoe UI"/>
                      <w:color w:val="C5D9F1"/>
                      <w:sz w:val="18"/>
                      <w:szCs w:val="18"/>
                      <w:lang w:eastAsia="en-AU"/>
                    </w:rPr>
                    <w:t> </w:t>
                  </w:r>
                </w:p>
                <w:p w14:paraId="7EBD6224" w14:textId="7BA024ED" w:rsidR="006701D4" w:rsidRPr="006701D4" w:rsidRDefault="006701D4" w:rsidP="006701D4">
                  <w:pPr>
                    <w:spacing w:after="0" w:line="240" w:lineRule="auto"/>
                    <w:rPr>
                      <w:rFonts w:ascii="Segoe UI" w:eastAsia="Times New Roman" w:hAnsi="Segoe UI" w:cs="Segoe UI"/>
                      <w:b/>
                      <w:bCs/>
                      <w:color w:val="000000"/>
                      <w:sz w:val="18"/>
                      <w:szCs w:val="18"/>
                      <w:lang w:eastAsia="en-AU"/>
                    </w:rPr>
                  </w:pPr>
                  <w:r w:rsidRPr="006701D4">
                    <w:rPr>
                      <w:rFonts w:ascii="Segoe UI" w:eastAsia="Times New Roman" w:hAnsi="Segoe UI" w:cs="Segoe UI"/>
                      <w:b/>
                      <w:bCs/>
                      <w:color w:val="000000"/>
                      <w:sz w:val="18"/>
                      <w:szCs w:val="18"/>
                      <w:lang w:eastAsia="en-AU"/>
                    </w:rPr>
                    <w:t>a skin notation is not warranted</w:t>
                  </w:r>
                </w:p>
              </w:tc>
            </w:tr>
            <w:tr w:rsidR="006701D4" w:rsidRPr="006701D4" w14:paraId="79B8B748" w14:textId="77777777" w:rsidTr="006701D4">
              <w:trPr>
                <w:trHeight w:val="240"/>
              </w:trPr>
              <w:tc>
                <w:tcPr>
                  <w:tcW w:w="1205" w:type="dxa"/>
                  <w:tcBorders>
                    <w:top w:val="nil"/>
                    <w:left w:val="nil"/>
                    <w:bottom w:val="nil"/>
                    <w:right w:val="nil"/>
                  </w:tcBorders>
                  <w:shd w:val="clear" w:color="000000" w:fill="C5D9F1"/>
                  <w:noWrap/>
                  <w:vAlign w:val="center"/>
                  <w:hideMark/>
                </w:tcPr>
                <w:p w14:paraId="1F79ABC4"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19BF3C19"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2800" w:type="dxa"/>
                  <w:tcBorders>
                    <w:top w:val="nil"/>
                    <w:left w:val="nil"/>
                    <w:bottom w:val="nil"/>
                    <w:right w:val="nil"/>
                  </w:tcBorders>
                  <w:shd w:val="clear" w:color="000000" w:fill="C5D9F1"/>
                  <w:noWrap/>
                  <w:vAlign w:val="center"/>
                  <w:hideMark/>
                </w:tcPr>
                <w:p w14:paraId="58713FE8" w14:textId="77777777" w:rsidR="006701D4" w:rsidRPr="006701D4" w:rsidRDefault="006701D4" w:rsidP="006701D4">
                  <w:pPr>
                    <w:spacing w:after="0" w:line="240" w:lineRule="auto"/>
                    <w:jc w:val="right"/>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0BAD834C" w14:textId="77777777" w:rsidR="006701D4" w:rsidRPr="006701D4" w:rsidRDefault="006701D4" w:rsidP="006701D4">
                  <w:pPr>
                    <w:spacing w:after="0" w:line="240" w:lineRule="auto"/>
                    <w:jc w:val="center"/>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835" w:type="dxa"/>
                  <w:tcBorders>
                    <w:top w:val="nil"/>
                    <w:left w:val="nil"/>
                    <w:bottom w:val="nil"/>
                    <w:right w:val="nil"/>
                  </w:tcBorders>
                  <w:shd w:val="clear" w:color="000000" w:fill="C5D9F1"/>
                  <w:noWrap/>
                  <w:vAlign w:val="center"/>
                  <w:hideMark/>
                </w:tcPr>
                <w:p w14:paraId="1A92B030"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087DD00C"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c>
                <w:tcPr>
                  <w:tcW w:w="1150" w:type="dxa"/>
                  <w:tcBorders>
                    <w:top w:val="nil"/>
                    <w:left w:val="nil"/>
                    <w:bottom w:val="nil"/>
                    <w:right w:val="nil"/>
                  </w:tcBorders>
                  <w:shd w:val="clear" w:color="000000" w:fill="C5D9F1"/>
                  <w:noWrap/>
                  <w:vAlign w:val="center"/>
                  <w:hideMark/>
                </w:tcPr>
                <w:p w14:paraId="5DA30F16" w14:textId="77777777" w:rsidR="006701D4" w:rsidRPr="006701D4" w:rsidRDefault="006701D4" w:rsidP="006701D4">
                  <w:pPr>
                    <w:spacing w:after="0" w:line="240" w:lineRule="auto"/>
                    <w:rPr>
                      <w:rFonts w:ascii="Segoe UI" w:eastAsia="Times New Roman" w:hAnsi="Segoe UI" w:cs="Segoe UI"/>
                      <w:color w:val="000000"/>
                      <w:sz w:val="18"/>
                      <w:szCs w:val="18"/>
                      <w:lang w:eastAsia="en-AU"/>
                    </w:rPr>
                  </w:pPr>
                  <w:r w:rsidRPr="006701D4">
                    <w:rPr>
                      <w:rFonts w:ascii="Segoe UI" w:eastAsia="Times New Roman" w:hAnsi="Segoe UI" w:cs="Segoe UI"/>
                      <w:color w:val="000000"/>
                      <w:sz w:val="18"/>
                      <w:szCs w:val="18"/>
                      <w:lang w:eastAsia="en-AU"/>
                    </w:rPr>
                    <w:t> </w:t>
                  </w:r>
                </w:p>
              </w:tc>
            </w:tr>
          </w:tbl>
          <w:p w14:paraId="14A52DC2" w14:textId="20F565E5" w:rsidR="00932DCE" w:rsidRPr="004C23F4" w:rsidRDefault="00932DCE" w:rsidP="00F9496B">
            <w:pPr>
              <w:pStyle w:val="Tablefont"/>
            </w:pPr>
          </w:p>
        </w:tc>
      </w:tr>
    </w:tbl>
    <w:bookmarkEnd w:id="3"/>
    <w:p w14:paraId="6A008BBB" w14:textId="77777777" w:rsidR="00EB3D1B" w:rsidRDefault="00EB3D1B" w:rsidP="00EB3D1B">
      <w:pPr>
        <w:pStyle w:val="Heading3"/>
      </w:pPr>
      <w:proofErr w:type="spellStart"/>
      <w:r>
        <w:t>IDLH</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0"/>
        <w:gridCol w:w="4766"/>
      </w:tblGrid>
      <w:tr w:rsidR="00EB3D1B" w14:paraId="6D64AC72" w14:textId="77777777" w:rsidTr="00610F2E">
        <w:trPr>
          <w:trHeight w:val="454"/>
          <w:tblHeader/>
        </w:trPr>
        <w:tc>
          <w:tcPr>
            <w:tcW w:w="4361" w:type="dxa"/>
            <w:vAlign w:val="center"/>
          </w:tcPr>
          <w:p w14:paraId="31FD684A" w14:textId="77777777" w:rsidR="00EB3D1B" w:rsidRDefault="00EB3D1B" w:rsidP="00D87570">
            <w:pPr>
              <w:pStyle w:val="Tablefont"/>
            </w:pPr>
            <w:r>
              <w:t xml:space="preserve">Is there a </w:t>
            </w:r>
            <w:r w:rsidR="006E5D05">
              <w:t>suitable</w:t>
            </w:r>
            <w:r>
              <w:t xml:space="preserve"> </w:t>
            </w:r>
            <w:proofErr w:type="spellStart"/>
            <w:r>
              <w:t>IDLH</w:t>
            </w:r>
            <w:proofErr w:type="spellEnd"/>
            <w:r>
              <w:t xml:space="preserve">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6196B32D" w14:textId="56F446DA" w:rsidR="00EB3D1B" w:rsidRDefault="0020417C" w:rsidP="00EB3D1B">
                <w:pPr>
                  <w:pStyle w:val="Tablefont"/>
                </w:pPr>
                <w:r>
                  <w:t>No, the chemical is a genotoxic carcinogen</w:t>
                </w:r>
              </w:p>
            </w:tc>
          </w:sdtContent>
        </w:sdt>
      </w:tr>
    </w:tbl>
    <w:p w14:paraId="4A388F38"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6D01E73C" w14:textId="77777777" w:rsidTr="00EA6243">
        <w:trPr>
          <w:cantSplit/>
          <w:tblHeader/>
        </w:trPr>
        <w:tc>
          <w:tcPr>
            <w:tcW w:w="4077" w:type="dxa"/>
            <w:vAlign w:val="center"/>
          </w:tcPr>
          <w:p w14:paraId="76DB3048"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51D82B4C" w14:textId="33A024AA" w:rsidR="001B79E5" w:rsidRDefault="001268FE" w:rsidP="001B79E5">
                <w:pPr>
                  <w:pStyle w:val="Tablefont"/>
                </w:pPr>
                <w:r w:rsidRPr="001268FE">
                  <w:t>98.96</w:t>
                </w:r>
              </w:p>
            </w:tc>
          </w:sdtContent>
        </w:sdt>
      </w:tr>
      <w:tr w:rsidR="00A31D99" w:rsidRPr="004C23F4" w14:paraId="5D2C3EDC" w14:textId="77777777" w:rsidTr="00EA6243">
        <w:trPr>
          <w:cantSplit/>
          <w:tblHeader/>
        </w:trPr>
        <w:tc>
          <w:tcPr>
            <w:tcW w:w="4077" w:type="dxa"/>
            <w:vAlign w:val="center"/>
          </w:tcPr>
          <w:p w14:paraId="7D10E6D3" w14:textId="77777777" w:rsidR="00A31D99" w:rsidRPr="00263255" w:rsidRDefault="00A31D99" w:rsidP="00A31D99">
            <w:pPr>
              <w:pStyle w:val="Tablefont"/>
            </w:pPr>
            <w:r>
              <w:t xml:space="preserve">Conversion factors at </w:t>
            </w:r>
            <w:proofErr w:type="spellStart"/>
            <w:r>
              <w:t>25</w:t>
            </w:r>
            <w:r>
              <w:rPr>
                <w:rFonts w:cs="Arial"/>
              </w:rPr>
              <w:t>°</w:t>
            </w:r>
            <w:r>
              <w:t>C</w:t>
            </w:r>
            <w:proofErr w:type="spellEnd"/>
            <w:r>
              <w:t xml:space="preserve"> and 101.3 kPa: </w:t>
            </w:r>
          </w:p>
        </w:tc>
        <w:tc>
          <w:tcPr>
            <w:tcW w:w="5165" w:type="dxa"/>
            <w:vAlign w:val="center"/>
          </w:tcPr>
          <w:p w14:paraId="0C741A93" w14:textId="7570CC45" w:rsidR="00A31D99" w:rsidRDefault="00A0643F" w:rsidP="00A174CC">
            <w:pPr>
              <w:pStyle w:val="Tablefont"/>
            </w:pPr>
            <w:r>
              <w:t xml:space="preserve">1 ppm = </w:t>
            </w:r>
            <w:sdt>
              <w:sdtPr>
                <w:id w:val="-371151491"/>
                <w:placeholder>
                  <w:docPart w:val="A7231FB73EFF4B2B92EB3BD21C0CEA01"/>
                </w:placeholder>
              </w:sdtPr>
              <w:sdtEndPr/>
              <w:sdtContent>
                <w:r w:rsidR="001F1633">
                  <w:t>4.05</w:t>
                </w:r>
              </w:sdtContent>
            </w:sdt>
            <w:r>
              <w:t xml:space="preserve"> mg/</w:t>
            </w:r>
            <w:proofErr w:type="spellStart"/>
            <w:r>
              <w:t>m</w:t>
            </w:r>
            <w:r w:rsidRPr="00D83761">
              <w:rPr>
                <w:vertAlign w:val="superscript"/>
              </w:rPr>
              <w:t>3</w:t>
            </w:r>
            <w:proofErr w:type="spellEnd"/>
            <w:r>
              <w:t>; 1 mg/</w:t>
            </w:r>
            <w:proofErr w:type="spellStart"/>
            <w:r>
              <w:t>m</w:t>
            </w:r>
            <w:r w:rsidRPr="00D83761">
              <w:rPr>
                <w:vertAlign w:val="superscript"/>
              </w:rPr>
              <w:t>3</w:t>
            </w:r>
            <w:proofErr w:type="spellEnd"/>
            <w:r>
              <w:t xml:space="preserve"> = </w:t>
            </w:r>
            <w:sdt>
              <w:sdtPr>
                <w:id w:val="-1913150218"/>
                <w:placeholder>
                  <w:docPart w:val="5D98FA8C84704C71B6F1557317AE5303"/>
                </w:placeholder>
              </w:sdtPr>
              <w:sdtEndPr/>
              <w:sdtContent>
                <w:r w:rsidR="001F1633">
                  <w:t>0.25</w:t>
                </w:r>
              </w:sdtContent>
            </w:sdt>
            <w:r>
              <w:t xml:space="preserve"> ppm</w:t>
            </w:r>
          </w:p>
        </w:tc>
      </w:tr>
      <w:tr w:rsidR="00687890" w:rsidRPr="004C23F4" w14:paraId="4C1814A8" w14:textId="77777777" w:rsidTr="00EA6243">
        <w:trPr>
          <w:cantSplit/>
          <w:tblHeader/>
        </w:trPr>
        <w:tc>
          <w:tcPr>
            <w:tcW w:w="4077" w:type="dxa"/>
            <w:vAlign w:val="center"/>
          </w:tcPr>
          <w:p w14:paraId="05746660"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D882C4B" w14:textId="09EE71FA"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29F35F4A" w14:textId="77777777" w:rsidTr="00EA6243">
        <w:trPr>
          <w:cantSplit/>
        </w:trPr>
        <w:tc>
          <w:tcPr>
            <w:tcW w:w="4077" w:type="dxa"/>
            <w:vAlign w:val="center"/>
          </w:tcPr>
          <w:p w14:paraId="52DD61F3"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20376DB" w14:textId="6DA0D32C"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4D088B7" w14:textId="77777777" w:rsidTr="00EA6243">
        <w:trPr>
          <w:cantSplit/>
        </w:trPr>
        <w:tc>
          <w:tcPr>
            <w:tcW w:w="4077" w:type="dxa"/>
            <w:vAlign w:val="center"/>
          </w:tcPr>
          <w:p w14:paraId="789B6868"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7D014567" w14:textId="49356AAC"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13680" w14:textId="77777777" w:rsidTr="00EA6243">
        <w:trPr>
          <w:cantSplit/>
        </w:trPr>
        <w:tc>
          <w:tcPr>
            <w:tcW w:w="4077" w:type="dxa"/>
            <w:vAlign w:val="center"/>
          </w:tcPr>
          <w:p w14:paraId="3F19978B"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53D778C6" w14:textId="3D79DD3B" w:rsidR="00E06F40" w:rsidRPr="00A006A0" w:rsidRDefault="009021FF"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ACGIH</w:t>
            </w:r>
            <w:proofErr w:type="spellEnd"/>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DFG</w:t>
            </w:r>
            <w:proofErr w:type="spellEnd"/>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SCOEL</w:t>
            </w:r>
            <w:proofErr w:type="spellEnd"/>
            <w:r w:rsidR="00E06F40">
              <w:tab/>
            </w:r>
          </w:p>
        </w:tc>
      </w:tr>
    </w:tbl>
    <w:p w14:paraId="3CD47590"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2ED7F4C" w14:textId="77777777" w:rsidTr="00F053FA">
        <w:trPr>
          <w:tblHeader/>
        </w:trPr>
        <w:tc>
          <w:tcPr>
            <w:tcW w:w="4077" w:type="dxa"/>
            <w:shd w:val="clear" w:color="auto" w:fill="BFBFBF" w:themeFill="background1" w:themeFillShade="BF"/>
            <w:vAlign w:val="center"/>
          </w:tcPr>
          <w:p w14:paraId="3DAEDD78"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78731B5C" w14:textId="77777777" w:rsidR="00224EE2" w:rsidRPr="004C23F4" w:rsidRDefault="00224EE2" w:rsidP="00EB3D1B">
            <w:pPr>
              <w:pStyle w:val="Tableheader"/>
              <w:keepNext/>
              <w:keepLines/>
            </w:pPr>
            <w:r>
              <w:t>Standard</w:t>
            </w:r>
          </w:p>
        </w:tc>
      </w:tr>
      <w:tr w:rsidR="007F1005" w:rsidRPr="004C23F4" w14:paraId="13759BF4" w14:textId="77777777" w:rsidTr="00F053FA">
        <w:trPr>
          <w:tblHeader/>
        </w:trPr>
        <w:sdt>
          <w:sdtPr>
            <w:id w:val="-25557549"/>
            <w:placeholder>
              <w:docPart w:val="2BF891C0AB704CDAB9BC6E80D556473F"/>
            </w:placeholder>
            <w:text/>
          </w:sdtPr>
          <w:sdtEndPr/>
          <w:sdtContent>
            <w:tc>
              <w:tcPr>
                <w:tcW w:w="4077" w:type="dxa"/>
                <w:vAlign w:val="center"/>
              </w:tcPr>
              <w:p w14:paraId="1C396F96" w14:textId="5DD48E76" w:rsidR="007F1005" w:rsidRPr="004C23F4" w:rsidRDefault="001F1633" w:rsidP="00EB3D1B">
                <w:pPr>
                  <w:pStyle w:val="Tablefont"/>
                  <w:keepLines/>
                </w:pPr>
                <w:r>
                  <w:t>1991</w:t>
                </w:r>
              </w:p>
            </w:tc>
          </w:sdtContent>
        </w:sdt>
        <w:tc>
          <w:tcPr>
            <w:tcW w:w="5165" w:type="dxa"/>
            <w:vAlign w:val="center"/>
          </w:tcPr>
          <w:p w14:paraId="627A9366" w14:textId="4006907D" w:rsidR="007F1005" w:rsidRPr="001F1633" w:rsidRDefault="001F1633" w:rsidP="00EB3D1B">
            <w:pPr>
              <w:pStyle w:val="Tablefont"/>
              <w:keepLines/>
            </w:pPr>
            <w:r>
              <w:t>TWA: 10 ppm (40 mg/</w:t>
            </w:r>
            <w:proofErr w:type="spellStart"/>
            <w:r>
              <w:t>m</w:t>
            </w:r>
            <w:r>
              <w:rPr>
                <w:vertAlign w:val="superscript"/>
              </w:rPr>
              <w:t>3</w:t>
            </w:r>
            <w:proofErr w:type="spellEnd"/>
            <w:r>
              <w:t>)</w:t>
            </w:r>
          </w:p>
        </w:tc>
      </w:tr>
    </w:tbl>
    <w:bookmarkEnd w:id="4"/>
    <w:p w14:paraId="21ECA8B3" w14:textId="77777777" w:rsidR="00F87D92" w:rsidRDefault="00F87D92" w:rsidP="00EF7F78">
      <w:pPr>
        <w:pStyle w:val="Heading2"/>
        <w:tabs>
          <w:tab w:val="right" w:pos="8505"/>
        </w:tabs>
      </w:pPr>
      <w:r>
        <w:t>References</w:t>
      </w:r>
      <w:r w:rsidR="00EF7F78">
        <w:tab/>
      </w:r>
    </w:p>
    <w:p w14:paraId="0F109254" w14:textId="77A9555B" w:rsidR="007F1005" w:rsidRDefault="006650FE" w:rsidP="00084859">
      <w:r>
        <w:t>American Conference of Industrial Hygienists (</w:t>
      </w:r>
      <w:proofErr w:type="spellStart"/>
      <w:r>
        <w:t>ACGIH</w:t>
      </w:r>
      <w:proofErr w:type="spellEnd"/>
      <w:r>
        <w:rPr>
          <w:vertAlign w:val="superscript"/>
        </w:rPr>
        <w:t>®</w:t>
      </w:r>
      <w:r>
        <w:t>)</w:t>
      </w:r>
      <w:r w:rsidR="00482EB5">
        <w:t xml:space="preserve">. </w:t>
      </w:r>
      <w:r>
        <w:t>(201</w:t>
      </w:r>
      <w:r w:rsidR="00F67BBB">
        <w:t>8</w:t>
      </w:r>
      <w:r>
        <w:t>)</w:t>
      </w:r>
      <w:r w:rsidR="00482EB5">
        <w:t>.</w:t>
      </w:r>
      <w:r>
        <w:t xml:space="preserve"> TLVs</w:t>
      </w:r>
      <w:r>
        <w:rPr>
          <w:vertAlign w:val="superscript"/>
        </w:rPr>
        <w:t>®</w:t>
      </w:r>
      <w:r>
        <w:t xml:space="preserve"> and </w:t>
      </w:r>
      <w:proofErr w:type="spellStart"/>
      <w:r>
        <w:t>BEIs</w:t>
      </w:r>
      <w:proofErr w:type="spellEnd"/>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w:t>
        </w:r>
        <w:proofErr w:type="spellStart"/>
        <w:r>
          <w:rPr>
            <w:rStyle w:val="Hyperlink"/>
            <w:i/>
          </w:rPr>
          <w:t>BEIs</w:t>
        </w:r>
        <w:proofErr w:type="spellEnd"/>
        <w:r>
          <w:rPr>
            <w:rStyle w:val="Hyperlink"/>
            <w:i/>
            <w:vertAlign w:val="superscript"/>
          </w:rPr>
          <w:t>®</w:t>
        </w:r>
        <w:r>
          <w:rPr>
            <w:rStyle w:val="Hyperlink"/>
            <w:i/>
          </w:rPr>
          <w:t xml:space="preserve"> Guidelines section</w:t>
        </w:r>
      </w:hyperlink>
      <w:r>
        <w:t xml:space="preserve"> on the </w:t>
      </w:r>
      <w:proofErr w:type="spellStart"/>
      <w:r>
        <w:t>ACGIH</w:t>
      </w:r>
      <w:proofErr w:type="spellEnd"/>
      <w:r>
        <w:t xml:space="preserve"> website.</w:t>
      </w:r>
    </w:p>
    <w:p w14:paraId="1141BB8A" w14:textId="00DFA999" w:rsidR="00245279" w:rsidRDefault="00245279" w:rsidP="00084859">
      <w:r>
        <w:t xml:space="preserve">Deutsche </w:t>
      </w:r>
      <w:proofErr w:type="spellStart"/>
      <w:r>
        <w:t>Forschungsgemeinschaft</w:t>
      </w:r>
      <w:proofErr w:type="spellEnd"/>
      <w:r>
        <w:t xml:space="preserve"> (</w:t>
      </w:r>
      <w:proofErr w:type="spellStart"/>
      <w:r>
        <w:t>DFG</w:t>
      </w:r>
      <w:proofErr w:type="spellEnd"/>
      <w:r>
        <w:t>)</w:t>
      </w:r>
      <w:r w:rsidR="00482EB5">
        <w:t xml:space="preserve">. </w:t>
      </w:r>
      <w:r>
        <w:t>(</w:t>
      </w:r>
      <w:r w:rsidR="00DF217B">
        <w:t>2013</w:t>
      </w:r>
      <w:r>
        <w:t>)</w:t>
      </w:r>
      <w:r w:rsidR="00482EB5">
        <w:t>.</w:t>
      </w:r>
      <w:r>
        <w:t xml:space="preserve"> </w:t>
      </w:r>
      <w:r w:rsidR="00DF217B" w:rsidRPr="00DF217B">
        <w:t>1,2-Dichloroethane</w:t>
      </w:r>
      <w:r>
        <w:t xml:space="preserve"> – MAK value documentation.</w:t>
      </w:r>
    </w:p>
    <w:p w14:paraId="3F434A2C" w14:textId="2581B221" w:rsidR="00245279" w:rsidRDefault="00245279" w:rsidP="00DF217B">
      <w:r>
        <w:t>European Chemicals Agency (ECHA)</w:t>
      </w:r>
      <w:r w:rsidR="00482EB5">
        <w:t xml:space="preserve">. </w:t>
      </w:r>
      <w:r>
        <w:t>(</w:t>
      </w:r>
      <w:r w:rsidR="00DF217B">
        <w:t>2019</w:t>
      </w:r>
      <w:r>
        <w:t>)</w:t>
      </w:r>
      <w:r w:rsidR="00482EB5">
        <w:t>.</w:t>
      </w:r>
      <w:r w:rsidR="00C73834">
        <w:t xml:space="preserve"> </w:t>
      </w:r>
      <w:r w:rsidR="00DF217B">
        <w:t>Ethylene dichloride</w:t>
      </w:r>
      <w:r>
        <w:t xml:space="preserve"> – REACH assessment.</w:t>
      </w:r>
    </w:p>
    <w:p w14:paraId="03965406" w14:textId="39C8EE11" w:rsidR="00A13E5F" w:rsidRDefault="00DF217B" w:rsidP="00084859">
      <w:r>
        <w:lastRenderedPageBreak/>
        <w:t>EU Scientific Committee on Occupational Exposure Limits (</w:t>
      </w:r>
      <w:proofErr w:type="spellStart"/>
      <w:r>
        <w:t>SCOEL</w:t>
      </w:r>
      <w:proofErr w:type="spellEnd"/>
      <w:r>
        <w:t>)</w:t>
      </w:r>
      <w:r w:rsidR="00482EB5">
        <w:t xml:space="preserve">. </w:t>
      </w:r>
      <w:r>
        <w:t>(2016)</w:t>
      </w:r>
      <w:r w:rsidR="00482EB5">
        <w:t>.</w:t>
      </w:r>
      <w:r>
        <w:t xml:space="preserve"> Recommendation from the Scientific Committee on Occupational Exposure Limits for </w:t>
      </w:r>
      <w:r w:rsidRPr="00DF217B">
        <w:t>Ethylene dichloride</w:t>
      </w:r>
      <w:r>
        <w:t xml:space="preserve">. </w:t>
      </w:r>
      <w:proofErr w:type="spellStart"/>
      <w:r w:rsidRPr="00DF217B">
        <w:t>SCOEL</w:t>
      </w:r>
      <w:proofErr w:type="spellEnd"/>
      <w:r w:rsidRPr="00DF217B">
        <w:t>/REC/302</w:t>
      </w:r>
      <w:r>
        <w:t>.</w:t>
      </w:r>
    </w:p>
    <w:p w14:paraId="59B812BD" w14:textId="0B602FA3" w:rsidR="00DF217B" w:rsidRDefault="00DF217B" w:rsidP="00084859">
      <w:r>
        <w:t>International Agency for Research on Cancer (IARC)</w:t>
      </w:r>
      <w:r w:rsidR="00482EB5">
        <w:t xml:space="preserve">. </w:t>
      </w:r>
      <w:r>
        <w:t>(</w:t>
      </w:r>
      <w:r w:rsidRPr="00DF217B">
        <w:t>1999</w:t>
      </w:r>
      <w:r>
        <w:t>)</w:t>
      </w:r>
      <w:r w:rsidR="00482EB5">
        <w:t>.</w:t>
      </w:r>
      <w:r>
        <w:t xml:space="preserve"> </w:t>
      </w:r>
      <w:r w:rsidRPr="00DF217B">
        <w:t>1,2-Dichloroethane</w:t>
      </w:r>
      <w:r>
        <w:t>. IARC Monographs on the evaluation of the carcinogenic risk to humans.</w:t>
      </w:r>
    </w:p>
    <w:p w14:paraId="36F8840E" w14:textId="4AB47D6F" w:rsidR="00DF217B" w:rsidRDefault="00DF217B" w:rsidP="00084859">
      <w:r>
        <w:t>National Industrial Chemicals Notification and Assessment Scheme (</w:t>
      </w:r>
      <w:proofErr w:type="spellStart"/>
      <w:r>
        <w:t>NICNAS</w:t>
      </w:r>
      <w:proofErr w:type="spellEnd"/>
      <w:r>
        <w:t>)</w:t>
      </w:r>
      <w:r w:rsidR="00482EB5">
        <w:t xml:space="preserve">. </w:t>
      </w:r>
      <w:r>
        <w:t>(</w:t>
      </w:r>
      <w:r w:rsidRPr="00DF217B">
        <w:t>2013</w:t>
      </w:r>
      <w:r>
        <w:t>)</w:t>
      </w:r>
      <w:r w:rsidR="00482EB5">
        <w:t>.</w:t>
      </w:r>
      <w:r>
        <w:t xml:space="preserve"> </w:t>
      </w:r>
      <w:r w:rsidRPr="00DF217B">
        <w:t>Ethane, 1,2-</w:t>
      </w:r>
      <w:proofErr w:type="spellStart"/>
      <w:r w:rsidRPr="00DF217B">
        <w:t>dichloro</w:t>
      </w:r>
      <w:proofErr w:type="spellEnd"/>
      <w:r>
        <w:t xml:space="preserve">: Human health </w:t>
      </w:r>
      <w:r w:rsidRPr="00DF217B">
        <w:t>tier II</w:t>
      </w:r>
      <w:r>
        <w:t xml:space="preserve"> assessment – IMAP report.</w:t>
      </w:r>
    </w:p>
    <w:p w14:paraId="7E6182BF" w14:textId="25EDEB9F" w:rsidR="00A13E5F" w:rsidRDefault="00A13E5F" w:rsidP="00A13E5F">
      <w:r>
        <w:t xml:space="preserve">Organization for Economic Co-operation and Development (OECD). (2002). SIDS Initial Assessment Profile. SIAM 15, 22-25. </w:t>
      </w:r>
    </w:p>
    <w:p w14:paraId="1480A5C3" w14:textId="5EDDED3A" w:rsidR="00A13E5F" w:rsidRDefault="00A13E5F" w:rsidP="00A13E5F">
      <w:r>
        <w:t xml:space="preserve">US Environmental Protection Agency (US EPA). (1987). Integrated Risk Information System (IRIS) – 1,2 Dichloroethane; </w:t>
      </w:r>
      <w:proofErr w:type="spellStart"/>
      <w:r>
        <w:t>CASRN</w:t>
      </w:r>
      <w:proofErr w:type="spellEnd"/>
      <w:r>
        <w:t xml:space="preserve"> 107-06-2. </w:t>
      </w:r>
    </w:p>
    <w:p w14:paraId="63890A2A" w14:textId="6B854652" w:rsidR="00DF217B" w:rsidRDefault="00DF217B" w:rsidP="00084859">
      <w:r>
        <w:t>US National Institute for Occupational Safety and Health (</w:t>
      </w:r>
      <w:proofErr w:type="spellStart"/>
      <w:r>
        <w:t>NIOSH</w:t>
      </w:r>
      <w:proofErr w:type="spellEnd"/>
      <w:r>
        <w:t>)</w:t>
      </w:r>
      <w:r w:rsidR="00482EB5">
        <w:t xml:space="preserve">. </w:t>
      </w:r>
      <w:r>
        <w:t>(</w:t>
      </w:r>
      <w:r w:rsidRPr="00DF217B">
        <w:t>1994</w:t>
      </w:r>
      <w:r>
        <w:t>)</w:t>
      </w:r>
      <w:r w:rsidR="00482EB5">
        <w:t>.</w:t>
      </w:r>
      <w:r>
        <w:t xml:space="preserve"> Immediately dangerous to life or health concentrations – </w:t>
      </w:r>
      <w:r w:rsidRPr="00DF217B">
        <w:t>Ethylene dichloride</w:t>
      </w:r>
      <w:r>
        <w:t>.</w:t>
      </w:r>
    </w:p>
    <w:p w14:paraId="2F1BE1A8" w14:textId="77777777" w:rsidR="00A13E5F" w:rsidRPr="00351FE0" w:rsidRDefault="00A13E5F" w:rsidP="00084859"/>
    <w:sectPr w:rsidR="00A13E5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282E0" w14:textId="77777777" w:rsidR="00DB446D" w:rsidRDefault="00DB446D" w:rsidP="00F43AD5">
      <w:pPr>
        <w:spacing w:after="0" w:line="240" w:lineRule="auto"/>
      </w:pPr>
      <w:r>
        <w:separator/>
      </w:r>
    </w:p>
  </w:endnote>
  <w:endnote w:type="continuationSeparator" w:id="0">
    <w:p w14:paraId="4766FDA9" w14:textId="77777777" w:rsidR="00DB446D" w:rsidRDefault="00DB446D"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E7632DC" w14:textId="77777777" w:rsidR="00FC5C40" w:rsidRDefault="00FC5C40" w:rsidP="0034744C">
        <w:pPr>
          <w:pStyle w:val="Footer"/>
          <w:rPr>
            <w:sz w:val="18"/>
            <w:szCs w:val="18"/>
          </w:rPr>
        </w:pPr>
        <w:r w:rsidRPr="000B3DA2">
          <w:rPr>
            <w:b/>
            <w:sz w:val="18"/>
            <w:szCs w:val="18"/>
          </w:rPr>
          <w:t>Ethylene dichloride</w:t>
        </w:r>
        <w:r>
          <w:rPr>
            <w:b/>
            <w:sz w:val="18"/>
            <w:szCs w:val="18"/>
          </w:rPr>
          <w:t xml:space="preserve"> (</w:t>
        </w:r>
        <w:r w:rsidRPr="000B3DA2">
          <w:rPr>
            <w:b/>
            <w:sz w:val="18"/>
            <w:szCs w:val="18"/>
          </w:rPr>
          <w:t>107-06-2</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778A0786" w14:textId="2F474670" w:rsidR="00FC5C40" w:rsidRPr="00F43AD5" w:rsidRDefault="00FC5C40"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330DE8">
          <w:rPr>
            <w:noProof/>
            <w:sz w:val="18"/>
            <w:szCs w:val="18"/>
          </w:rPr>
          <w:t>3</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54797" w14:textId="77777777" w:rsidR="00DB446D" w:rsidRDefault="00DB446D" w:rsidP="00F43AD5">
      <w:pPr>
        <w:spacing w:after="0" w:line="240" w:lineRule="auto"/>
      </w:pPr>
      <w:r>
        <w:separator/>
      </w:r>
    </w:p>
  </w:footnote>
  <w:footnote w:type="continuationSeparator" w:id="0">
    <w:p w14:paraId="680829D4" w14:textId="77777777" w:rsidR="00DB446D" w:rsidRDefault="00DB446D"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AFB18" w14:textId="7D76A21E" w:rsidR="00330DE8" w:rsidRDefault="00330DE8" w:rsidP="00330DE8">
    <w:pPr>
      <w:pStyle w:val="Header"/>
      <w:jc w:val="right"/>
    </w:pPr>
    <w:r>
      <w:rPr>
        <w:noProof/>
        <w:lang w:eastAsia="en-AU"/>
      </w:rPr>
      <w:drawing>
        <wp:inline distT="0" distB="0" distL="0" distR="0" wp14:anchorId="22226A0B" wp14:editId="1982315A">
          <wp:extent cx="2943225"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6F2E3B46" w14:textId="54F28AE2" w:rsidR="00FC5C40" w:rsidRPr="00330DE8" w:rsidRDefault="00FC5C40" w:rsidP="00330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EF7BF" w14:textId="27C96091" w:rsidR="00330DE8" w:rsidRDefault="009021FF" w:rsidP="00330DE8">
    <w:pPr>
      <w:pStyle w:val="Header"/>
      <w:jc w:val="right"/>
    </w:pPr>
    <w:sdt>
      <w:sdtPr>
        <w:id w:val="2100750368"/>
        <w:docPartObj>
          <w:docPartGallery w:val="Watermarks"/>
          <w:docPartUnique/>
        </w:docPartObj>
      </w:sdtPr>
      <w:sdtEndPr/>
      <w:sdtContent/>
    </w:sdt>
    <w:r w:rsidR="00330DE8">
      <w:rPr>
        <w:noProof/>
        <w:lang w:eastAsia="en-AU"/>
      </w:rPr>
      <w:drawing>
        <wp:inline distT="0" distB="0" distL="0" distR="0" wp14:anchorId="4E055BB2" wp14:editId="40B8F1EA">
          <wp:extent cx="2943225" cy="590550"/>
          <wp:effectExtent l="0" t="0" r="0" b="0"/>
          <wp:docPr id="4" name="Picture 4"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324FC595" w14:textId="215A00FD" w:rsidR="00FC5C40" w:rsidRDefault="00FC5C40"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DE63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B453E1"/>
    <w:multiLevelType w:val="hybridMultilevel"/>
    <w:tmpl w:val="4E520E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7B54031"/>
    <w:multiLevelType w:val="hybridMultilevel"/>
    <w:tmpl w:val="D75A4C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A0E3A28"/>
    <w:multiLevelType w:val="hybridMultilevel"/>
    <w:tmpl w:val="A82E61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A1E1AFF"/>
    <w:multiLevelType w:val="hybridMultilevel"/>
    <w:tmpl w:val="BB564E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DAC6952"/>
    <w:multiLevelType w:val="hybridMultilevel"/>
    <w:tmpl w:val="89D8C97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2EBB6F18"/>
    <w:multiLevelType w:val="hybridMultilevel"/>
    <w:tmpl w:val="941445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06E288F"/>
    <w:multiLevelType w:val="hybridMultilevel"/>
    <w:tmpl w:val="890641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3656C47"/>
    <w:multiLevelType w:val="hybridMultilevel"/>
    <w:tmpl w:val="71B84146"/>
    <w:lvl w:ilvl="0" w:tplc="0C090003">
      <w:start w:val="1"/>
      <w:numFmt w:val="bullet"/>
      <w:lvlText w:val="o"/>
      <w:lvlJc w:val="left"/>
      <w:pPr>
        <w:ind w:left="1662" w:hanging="360"/>
      </w:pPr>
      <w:rPr>
        <w:rFonts w:ascii="Courier New" w:hAnsi="Courier New" w:cs="Courier New" w:hint="default"/>
      </w:rPr>
    </w:lvl>
    <w:lvl w:ilvl="1" w:tplc="0C090003" w:tentative="1">
      <w:start w:val="1"/>
      <w:numFmt w:val="bullet"/>
      <w:lvlText w:val="o"/>
      <w:lvlJc w:val="left"/>
      <w:pPr>
        <w:ind w:left="2382" w:hanging="360"/>
      </w:pPr>
      <w:rPr>
        <w:rFonts w:ascii="Courier New" w:hAnsi="Courier New" w:cs="Courier New" w:hint="default"/>
      </w:rPr>
    </w:lvl>
    <w:lvl w:ilvl="2" w:tplc="0C090005" w:tentative="1">
      <w:start w:val="1"/>
      <w:numFmt w:val="bullet"/>
      <w:lvlText w:val=""/>
      <w:lvlJc w:val="left"/>
      <w:pPr>
        <w:ind w:left="3102" w:hanging="360"/>
      </w:pPr>
      <w:rPr>
        <w:rFonts w:ascii="Wingdings" w:hAnsi="Wingdings" w:hint="default"/>
      </w:rPr>
    </w:lvl>
    <w:lvl w:ilvl="3" w:tplc="0C090001" w:tentative="1">
      <w:start w:val="1"/>
      <w:numFmt w:val="bullet"/>
      <w:lvlText w:val=""/>
      <w:lvlJc w:val="left"/>
      <w:pPr>
        <w:ind w:left="3822" w:hanging="360"/>
      </w:pPr>
      <w:rPr>
        <w:rFonts w:ascii="Symbol" w:hAnsi="Symbol" w:hint="default"/>
      </w:rPr>
    </w:lvl>
    <w:lvl w:ilvl="4" w:tplc="0C090003" w:tentative="1">
      <w:start w:val="1"/>
      <w:numFmt w:val="bullet"/>
      <w:lvlText w:val="o"/>
      <w:lvlJc w:val="left"/>
      <w:pPr>
        <w:ind w:left="4542" w:hanging="360"/>
      </w:pPr>
      <w:rPr>
        <w:rFonts w:ascii="Courier New" w:hAnsi="Courier New" w:cs="Courier New" w:hint="default"/>
      </w:rPr>
    </w:lvl>
    <w:lvl w:ilvl="5" w:tplc="0C090005" w:tentative="1">
      <w:start w:val="1"/>
      <w:numFmt w:val="bullet"/>
      <w:lvlText w:val=""/>
      <w:lvlJc w:val="left"/>
      <w:pPr>
        <w:ind w:left="5262" w:hanging="360"/>
      </w:pPr>
      <w:rPr>
        <w:rFonts w:ascii="Wingdings" w:hAnsi="Wingdings" w:hint="default"/>
      </w:rPr>
    </w:lvl>
    <w:lvl w:ilvl="6" w:tplc="0C090001" w:tentative="1">
      <w:start w:val="1"/>
      <w:numFmt w:val="bullet"/>
      <w:lvlText w:val=""/>
      <w:lvlJc w:val="left"/>
      <w:pPr>
        <w:ind w:left="5982" w:hanging="360"/>
      </w:pPr>
      <w:rPr>
        <w:rFonts w:ascii="Symbol" w:hAnsi="Symbol" w:hint="default"/>
      </w:rPr>
    </w:lvl>
    <w:lvl w:ilvl="7" w:tplc="0C090003" w:tentative="1">
      <w:start w:val="1"/>
      <w:numFmt w:val="bullet"/>
      <w:lvlText w:val="o"/>
      <w:lvlJc w:val="left"/>
      <w:pPr>
        <w:ind w:left="6702" w:hanging="360"/>
      </w:pPr>
      <w:rPr>
        <w:rFonts w:ascii="Courier New" w:hAnsi="Courier New" w:cs="Courier New" w:hint="default"/>
      </w:rPr>
    </w:lvl>
    <w:lvl w:ilvl="8" w:tplc="0C090005" w:tentative="1">
      <w:start w:val="1"/>
      <w:numFmt w:val="bullet"/>
      <w:lvlText w:val=""/>
      <w:lvlJc w:val="left"/>
      <w:pPr>
        <w:ind w:left="7422" w:hanging="360"/>
      </w:pPr>
      <w:rPr>
        <w:rFonts w:ascii="Wingdings" w:hAnsi="Wingdings" w:hint="default"/>
      </w:rPr>
    </w:lvl>
  </w:abstractNum>
  <w:abstractNum w:abstractNumId="9" w15:restartNumberingAfterBreak="0">
    <w:nsid w:val="3A906ADF"/>
    <w:multiLevelType w:val="hybridMultilevel"/>
    <w:tmpl w:val="657011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F501B64"/>
    <w:multiLevelType w:val="hybridMultilevel"/>
    <w:tmpl w:val="1C3A509C"/>
    <w:lvl w:ilvl="0" w:tplc="10090001">
      <w:start w:val="1"/>
      <w:numFmt w:val="bullet"/>
      <w:lvlText w:val=""/>
      <w:lvlJc w:val="left"/>
      <w:pPr>
        <w:ind w:left="770" w:hanging="360"/>
      </w:pPr>
      <w:rPr>
        <w:rFonts w:ascii="Symbol" w:hAnsi="Symbol"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abstractNum w:abstractNumId="11" w15:restartNumberingAfterBreak="0">
    <w:nsid w:val="47F84684"/>
    <w:multiLevelType w:val="hybridMultilevel"/>
    <w:tmpl w:val="EADC84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90B7BCB"/>
    <w:multiLevelType w:val="hybridMultilevel"/>
    <w:tmpl w:val="FC9EFB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E097A7F"/>
    <w:multiLevelType w:val="hybridMultilevel"/>
    <w:tmpl w:val="786080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923684341">
    <w:abstractNumId w:val="13"/>
  </w:num>
  <w:num w:numId="2" w16cid:durableId="1610551770">
    <w:abstractNumId w:val="10"/>
  </w:num>
  <w:num w:numId="3" w16cid:durableId="1022898482">
    <w:abstractNumId w:val="7"/>
  </w:num>
  <w:num w:numId="4" w16cid:durableId="1710105393">
    <w:abstractNumId w:val="9"/>
  </w:num>
  <w:num w:numId="5" w16cid:durableId="665087246">
    <w:abstractNumId w:val="6"/>
  </w:num>
  <w:num w:numId="6" w16cid:durableId="491795705">
    <w:abstractNumId w:val="11"/>
  </w:num>
  <w:num w:numId="7" w16cid:durableId="1547135267">
    <w:abstractNumId w:val="3"/>
  </w:num>
  <w:num w:numId="8" w16cid:durableId="1865945839">
    <w:abstractNumId w:val="4"/>
  </w:num>
  <w:num w:numId="9" w16cid:durableId="1561673744">
    <w:abstractNumId w:val="2"/>
  </w:num>
  <w:num w:numId="10" w16cid:durableId="1346130685">
    <w:abstractNumId w:val="1"/>
  </w:num>
  <w:num w:numId="11" w16cid:durableId="575020468">
    <w:abstractNumId w:val="12"/>
  </w:num>
  <w:num w:numId="12" w16cid:durableId="2032560248">
    <w:abstractNumId w:val="0"/>
  </w:num>
  <w:num w:numId="13" w16cid:durableId="292322615">
    <w:abstractNumId w:val="8"/>
  </w:num>
  <w:num w:numId="14" w16cid:durableId="1587336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229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60B5"/>
    <w:rsid w:val="0001671C"/>
    <w:rsid w:val="00017C82"/>
    <w:rsid w:val="0002344C"/>
    <w:rsid w:val="00032B88"/>
    <w:rsid w:val="00034ED0"/>
    <w:rsid w:val="000371E0"/>
    <w:rsid w:val="000401F1"/>
    <w:rsid w:val="0004207F"/>
    <w:rsid w:val="00046DF5"/>
    <w:rsid w:val="00052060"/>
    <w:rsid w:val="0005574A"/>
    <w:rsid w:val="00055FE1"/>
    <w:rsid w:val="00056EC2"/>
    <w:rsid w:val="00060B48"/>
    <w:rsid w:val="00067F32"/>
    <w:rsid w:val="00071807"/>
    <w:rsid w:val="00073468"/>
    <w:rsid w:val="00077944"/>
    <w:rsid w:val="000803E1"/>
    <w:rsid w:val="00084513"/>
    <w:rsid w:val="00084859"/>
    <w:rsid w:val="00092D94"/>
    <w:rsid w:val="000956BD"/>
    <w:rsid w:val="000B0868"/>
    <w:rsid w:val="000B3DA2"/>
    <w:rsid w:val="000B3E12"/>
    <w:rsid w:val="000B3E78"/>
    <w:rsid w:val="000B7B48"/>
    <w:rsid w:val="000C096D"/>
    <w:rsid w:val="000C139A"/>
    <w:rsid w:val="000C2053"/>
    <w:rsid w:val="000C248C"/>
    <w:rsid w:val="000C2F20"/>
    <w:rsid w:val="000C509A"/>
    <w:rsid w:val="000D291C"/>
    <w:rsid w:val="000E5A54"/>
    <w:rsid w:val="000E63D3"/>
    <w:rsid w:val="000E67CF"/>
    <w:rsid w:val="000F6B54"/>
    <w:rsid w:val="0010461E"/>
    <w:rsid w:val="00106FAA"/>
    <w:rsid w:val="00113443"/>
    <w:rsid w:val="001259F8"/>
    <w:rsid w:val="001268FE"/>
    <w:rsid w:val="001269A7"/>
    <w:rsid w:val="00131092"/>
    <w:rsid w:val="00131466"/>
    <w:rsid w:val="00134336"/>
    <w:rsid w:val="00140E6A"/>
    <w:rsid w:val="00146545"/>
    <w:rsid w:val="00146B75"/>
    <w:rsid w:val="00147254"/>
    <w:rsid w:val="0015266D"/>
    <w:rsid w:val="0015288A"/>
    <w:rsid w:val="00155057"/>
    <w:rsid w:val="00160F47"/>
    <w:rsid w:val="00177CA1"/>
    <w:rsid w:val="00183823"/>
    <w:rsid w:val="00183942"/>
    <w:rsid w:val="00184213"/>
    <w:rsid w:val="001859D5"/>
    <w:rsid w:val="001A009E"/>
    <w:rsid w:val="001A1287"/>
    <w:rsid w:val="001A3859"/>
    <w:rsid w:val="001A3C9D"/>
    <w:rsid w:val="001A43F8"/>
    <w:rsid w:val="001B79E5"/>
    <w:rsid w:val="001D56F0"/>
    <w:rsid w:val="001D663B"/>
    <w:rsid w:val="001D7B41"/>
    <w:rsid w:val="001E46DA"/>
    <w:rsid w:val="001E7D80"/>
    <w:rsid w:val="001F1633"/>
    <w:rsid w:val="001F242B"/>
    <w:rsid w:val="001F4B6C"/>
    <w:rsid w:val="001F62CB"/>
    <w:rsid w:val="001F6ED0"/>
    <w:rsid w:val="001F72E6"/>
    <w:rsid w:val="001F73C5"/>
    <w:rsid w:val="0020417C"/>
    <w:rsid w:val="002046A6"/>
    <w:rsid w:val="00204956"/>
    <w:rsid w:val="00213640"/>
    <w:rsid w:val="00221547"/>
    <w:rsid w:val="002216FC"/>
    <w:rsid w:val="00222533"/>
    <w:rsid w:val="00222F30"/>
    <w:rsid w:val="00224EE2"/>
    <w:rsid w:val="00227EC7"/>
    <w:rsid w:val="00244AD1"/>
    <w:rsid w:val="00245279"/>
    <w:rsid w:val="002463BC"/>
    <w:rsid w:val="002465CE"/>
    <w:rsid w:val="0024687A"/>
    <w:rsid w:val="0025734A"/>
    <w:rsid w:val="00263255"/>
    <w:rsid w:val="00276494"/>
    <w:rsid w:val="00277B0C"/>
    <w:rsid w:val="002A4DD5"/>
    <w:rsid w:val="002B1A2C"/>
    <w:rsid w:val="002B1A97"/>
    <w:rsid w:val="002C34F2"/>
    <w:rsid w:val="002C4989"/>
    <w:rsid w:val="002C58FF"/>
    <w:rsid w:val="002C7AFE"/>
    <w:rsid w:val="002D05D2"/>
    <w:rsid w:val="002D779B"/>
    <w:rsid w:val="002D79E3"/>
    <w:rsid w:val="002E0D61"/>
    <w:rsid w:val="002E28AE"/>
    <w:rsid w:val="002E4C7B"/>
    <w:rsid w:val="002F5DE7"/>
    <w:rsid w:val="00304642"/>
    <w:rsid w:val="0030740C"/>
    <w:rsid w:val="00315833"/>
    <w:rsid w:val="003215EE"/>
    <w:rsid w:val="003224BF"/>
    <w:rsid w:val="003241A8"/>
    <w:rsid w:val="003253F0"/>
    <w:rsid w:val="00330DE8"/>
    <w:rsid w:val="003337DA"/>
    <w:rsid w:val="00334EFB"/>
    <w:rsid w:val="00335CDE"/>
    <w:rsid w:val="003365A5"/>
    <w:rsid w:val="00347192"/>
    <w:rsid w:val="0034744C"/>
    <w:rsid w:val="00351FE0"/>
    <w:rsid w:val="00352615"/>
    <w:rsid w:val="0035412B"/>
    <w:rsid w:val="003567A8"/>
    <w:rsid w:val="003602D4"/>
    <w:rsid w:val="00362895"/>
    <w:rsid w:val="00370DBF"/>
    <w:rsid w:val="00372D52"/>
    <w:rsid w:val="00386093"/>
    <w:rsid w:val="003904A4"/>
    <w:rsid w:val="00391841"/>
    <w:rsid w:val="00391B6D"/>
    <w:rsid w:val="00394922"/>
    <w:rsid w:val="003A08F6"/>
    <w:rsid w:val="003A0E32"/>
    <w:rsid w:val="003A29EA"/>
    <w:rsid w:val="003A2B94"/>
    <w:rsid w:val="003B1F92"/>
    <w:rsid w:val="003B387D"/>
    <w:rsid w:val="003C0D58"/>
    <w:rsid w:val="003C6A87"/>
    <w:rsid w:val="003D4261"/>
    <w:rsid w:val="003D47DE"/>
    <w:rsid w:val="003D4FA3"/>
    <w:rsid w:val="003E0807"/>
    <w:rsid w:val="003E51FB"/>
    <w:rsid w:val="003E6B39"/>
    <w:rsid w:val="003F07E1"/>
    <w:rsid w:val="003F1914"/>
    <w:rsid w:val="004030BC"/>
    <w:rsid w:val="00403F7D"/>
    <w:rsid w:val="00406785"/>
    <w:rsid w:val="004079B4"/>
    <w:rsid w:val="0041265C"/>
    <w:rsid w:val="00415CD2"/>
    <w:rsid w:val="00417A56"/>
    <w:rsid w:val="00420957"/>
    <w:rsid w:val="00422A10"/>
    <w:rsid w:val="00422A9B"/>
    <w:rsid w:val="00430179"/>
    <w:rsid w:val="0044113C"/>
    <w:rsid w:val="004414B5"/>
    <w:rsid w:val="00444482"/>
    <w:rsid w:val="00444B42"/>
    <w:rsid w:val="00445242"/>
    <w:rsid w:val="00445E44"/>
    <w:rsid w:val="004509E2"/>
    <w:rsid w:val="004515EE"/>
    <w:rsid w:val="004529F0"/>
    <w:rsid w:val="004538EC"/>
    <w:rsid w:val="00460A03"/>
    <w:rsid w:val="00472A11"/>
    <w:rsid w:val="00472AAD"/>
    <w:rsid w:val="00474E33"/>
    <w:rsid w:val="004762E4"/>
    <w:rsid w:val="00476803"/>
    <w:rsid w:val="00482EB5"/>
    <w:rsid w:val="00485BFD"/>
    <w:rsid w:val="004867A2"/>
    <w:rsid w:val="004873F2"/>
    <w:rsid w:val="00490D4C"/>
    <w:rsid w:val="00493A35"/>
    <w:rsid w:val="0049527A"/>
    <w:rsid w:val="004966BF"/>
    <w:rsid w:val="004972B5"/>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055B8"/>
    <w:rsid w:val="005142C4"/>
    <w:rsid w:val="0051509C"/>
    <w:rsid w:val="005272E2"/>
    <w:rsid w:val="0053108F"/>
    <w:rsid w:val="00532B56"/>
    <w:rsid w:val="00534B10"/>
    <w:rsid w:val="005446A2"/>
    <w:rsid w:val="00544D2F"/>
    <w:rsid w:val="00546E66"/>
    <w:rsid w:val="00547E3D"/>
    <w:rsid w:val="00551BD8"/>
    <w:rsid w:val="00581055"/>
    <w:rsid w:val="00591E38"/>
    <w:rsid w:val="005A19C5"/>
    <w:rsid w:val="005A3034"/>
    <w:rsid w:val="005A462D"/>
    <w:rsid w:val="005B253B"/>
    <w:rsid w:val="005B2FA1"/>
    <w:rsid w:val="005B771D"/>
    <w:rsid w:val="005C4A38"/>
    <w:rsid w:val="005C5D16"/>
    <w:rsid w:val="005D3193"/>
    <w:rsid w:val="005D4A6E"/>
    <w:rsid w:val="005E3101"/>
    <w:rsid w:val="005E6979"/>
    <w:rsid w:val="005E75CB"/>
    <w:rsid w:val="005F09D3"/>
    <w:rsid w:val="005F2834"/>
    <w:rsid w:val="006013C1"/>
    <w:rsid w:val="0060669E"/>
    <w:rsid w:val="006070CF"/>
    <w:rsid w:val="00610F2E"/>
    <w:rsid w:val="00611399"/>
    <w:rsid w:val="00624C4E"/>
    <w:rsid w:val="00625200"/>
    <w:rsid w:val="00635241"/>
    <w:rsid w:val="006363A8"/>
    <w:rsid w:val="00636DB7"/>
    <w:rsid w:val="00650905"/>
    <w:rsid w:val="00651D67"/>
    <w:rsid w:val="006532ED"/>
    <w:rsid w:val="00654768"/>
    <w:rsid w:val="00654811"/>
    <w:rsid w:val="006549F2"/>
    <w:rsid w:val="006567B7"/>
    <w:rsid w:val="00657BFB"/>
    <w:rsid w:val="0066333C"/>
    <w:rsid w:val="006639B4"/>
    <w:rsid w:val="006650FE"/>
    <w:rsid w:val="006701D4"/>
    <w:rsid w:val="00672C9D"/>
    <w:rsid w:val="0067305D"/>
    <w:rsid w:val="006744E8"/>
    <w:rsid w:val="006766B7"/>
    <w:rsid w:val="00677D9B"/>
    <w:rsid w:val="00683204"/>
    <w:rsid w:val="006867F3"/>
    <w:rsid w:val="00687890"/>
    <w:rsid w:val="006901A2"/>
    <w:rsid w:val="00690368"/>
    <w:rsid w:val="0069079C"/>
    <w:rsid w:val="00690B53"/>
    <w:rsid w:val="00695B72"/>
    <w:rsid w:val="006A0B8B"/>
    <w:rsid w:val="006A56CB"/>
    <w:rsid w:val="006A7DB6"/>
    <w:rsid w:val="006B160A"/>
    <w:rsid w:val="006B4E6C"/>
    <w:rsid w:val="006B50B6"/>
    <w:rsid w:val="006B7043"/>
    <w:rsid w:val="006C0462"/>
    <w:rsid w:val="006D79EA"/>
    <w:rsid w:val="006E5D05"/>
    <w:rsid w:val="006F1278"/>
    <w:rsid w:val="00701053"/>
    <w:rsid w:val="00701507"/>
    <w:rsid w:val="0070799B"/>
    <w:rsid w:val="00714021"/>
    <w:rsid w:val="00714D39"/>
    <w:rsid w:val="00716A0F"/>
    <w:rsid w:val="00717D45"/>
    <w:rsid w:val="007208F7"/>
    <w:rsid w:val="007218AF"/>
    <w:rsid w:val="007224D1"/>
    <w:rsid w:val="007365D1"/>
    <w:rsid w:val="00740E0E"/>
    <w:rsid w:val="007448C8"/>
    <w:rsid w:val="00744E53"/>
    <w:rsid w:val="00750212"/>
    <w:rsid w:val="00754779"/>
    <w:rsid w:val="0075716D"/>
    <w:rsid w:val="00757CAE"/>
    <w:rsid w:val="00765F14"/>
    <w:rsid w:val="00770E31"/>
    <w:rsid w:val="007770F1"/>
    <w:rsid w:val="0078136E"/>
    <w:rsid w:val="00781AF2"/>
    <w:rsid w:val="00781E8B"/>
    <w:rsid w:val="00783FB1"/>
    <w:rsid w:val="00785CDD"/>
    <w:rsid w:val="00791847"/>
    <w:rsid w:val="007925F0"/>
    <w:rsid w:val="007939B3"/>
    <w:rsid w:val="0079509C"/>
    <w:rsid w:val="00796289"/>
    <w:rsid w:val="00796708"/>
    <w:rsid w:val="007B1B42"/>
    <w:rsid w:val="007B42E8"/>
    <w:rsid w:val="007C30EB"/>
    <w:rsid w:val="007D16A8"/>
    <w:rsid w:val="007E063C"/>
    <w:rsid w:val="007E2A4B"/>
    <w:rsid w:val="007E307D"/>
    <w:rsid w:val="007E6A4E"/>
    <w:rsid w:val="007E6C94"/>
    <w:rsid w:val="007F1005"/>
    <w:rsid w:val="007F25E0"/>
    <w:rsid w:val="007F5328"/>
    <w:rsid w:val="00804F5A"/>
    <w:rsid w:val="00810C6D"/>
    <w:rsid w:val="00812887"/>
    <w:rsid w:val="008171E1"/>
    <w:rsid w:val="00820E93"/>
    <w:rsid w:val="00824439"/>
    <w:rsid w:val="00826F21"/>
    <w:rsid w:val="00834CC8"/>
    <w:rsid w:val="00835E00"/>
    <w:rsid w:val="00837113"/>
    <w:rsid w:val="008414E4"/>
    <w:rsid w:val="00843E21"/>
    <w:rsid w:val="0084508E"/>
    <w:rsid w:val="008551C2"/>
    <w:rsid w:val="0085562F"/>
    <w:rsid w:val="00857A8A"/>
    <w:rsid w:val="00860C7E"/>
    <w:rsid w:val="008630EE"/>
    <w:rsid w:val="00864D13"/>
    <w:rsid w:val="00871CD5"/>
    <w:rsid w:val="008734AF"/>
    <w:rsid w:val="008745A2"/>
    <w:rsid w:val="008768A8"/>
    <w:rsid w:val="0088798F"/>
    <w:rsid w:val="00887E4B"/>
    <w:rsid w:val="008915C8"/>
    <w:rsid w:val="008A36CF"/>
    <w:rsid w:val="008A3BC4"/>
    <w:rsid w:val="008A5D9B"/>
    <w:rsid w:val="008B403C"/>
    <w:rsid w:val="008B7983"/>
    <w:rsid w:val="008C2511"/>
    <w:rsid w:val="008C7ACE"/>
    <w:rsid w:val="008D026D"/>
    <w:rsid w:val="008D23AB"/>
    <w:rsid w:val="008D4B8B"/>
    <w:rsid w:val="008D5A78"/>
    <w:rsid w:val="008E7501"/>
    <w:rsid w:val="008E7B64"/>
    <w:rsid w:val="008F5DCD"/>
    <w:rsid w:val="00900951"/>
    <w:rsid w:val="009021FF"/>
    <w:rsid w:val="009118A6"/>
    <w:rsid w:val="00913929"/>
    <w:rsid w:val="00916909"/>
    <w:rsid w:val="00916EC0"/>
    <w:rsid w:val="00920467"/>
    <w:rsid w:val="00921DE7"/>
    <w:rsid w:val="00926206"/>
    <w:rsid w:val="0093041A"/>
    <w:rsid w:val="00930714"/>
    <w:rsid w:val="00931B03"/>
    <w:rsid w:val="009323B9"/>
    <w:rsid w:val="00932DCE"/>
    <w:rsid w:val="0093327E"/>
    <w:rsid w:val="00934028"/>
    <w:rsid w:val="0093760E"/>
    <w:rsid w:val="00946044"/>
    <w:rsid w:val="0094660B"/>
    <w:rsid w:val="00946A33"/>
    <w:rsid w:val="00950058"/>
    <w:rsid w:val="0095260E"/>
    <w:rsid w:val="009578DD"/>
    <w:rsid w:val="00957AA5"/>
    <w:rsid w:val="00960040"/>
    <w:rsid w:val="00961124"/>
    <w:rsid w:val="009621B6"/>
    <w:rsid w:val="00974F2D"/>
    <w:rsid w:val="009763C8"/>
    <w:rsid w:val="00977524"/>
    <w:rsid w:val="00977E88"/>
    <w:rsid w:val="00980744"/>
    <w:rsid w:val="00984920"/>
    <w:rsid w:val="0099303A"/>
    <w:rsid w:val="009971C2"/>
    <w:rsid w:val="009A1254"/>
    <w:rsid w:val="009B2FF2"/>
    <w:rsid w:val="009B380C"/>
    <w:rsid w:val="009B4843"/>
    <w:rsid w:val="009B6543"/>
    <w:rsid w:val="009C199D"/>
    <w:rsid w:val="009C2286"/>
    <w:rsid w:val="009C278F"/>
    <w:rsid w:val="009C2B94"/>
    <w:rsid w:val="009C36F9"/>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3E5F"/>
    <w:rsid w:val="00A16D91"/>
    <w:rsid w:val="00A174CC"/>
    <w:rsid w:val="00A2073D"/>
    <w:rsid w:val="00A20751"/>
    <w:rsid w:val="00A27E2D"/>
    <w:rsid w:val="00A31D99"/>
    <w:rsid w:val="00A357BA"/>
    <w:rsid w:val="00A35ADC"/>
    <w:rsid w:val="00A37440"/>
    <w:rsid w:val="00A402A3"/>
    <w:rsid w:val="00A53681"/>
    <w:rsid w:val="00A633D4"/>
    <w:rsid w:val="00A640BD"/>
    <w:rsid w:val="00A6461A"/>
    <w:rsid w:val="00A646A0"/>
    <w:rsid w:val="00A72EEC"/>
    <w:rsid w:val="00A827D2"/>
    <w:rsid w:val="00A84504"/>
    <w:rsid w:val="00A8672F"/>
    <w:rsid w:val="00A86832"/>
    <w:rsid w:val="00A86A54"/>
    <w:rsid w:val="00A93057"/>
    <w:rsid w:val="00A968B0"/>
    <w:rsid w:val="00AA3CF2"/>
    <w:rsid w:val="00AB2672"/>
    <w:rsid w:val="00AB2817"/>
    <w:rsid w:val="00AB43C4"/>
    <w:rsid w:val="00AB4C9B"/>
    <w:rsid w:val="00AC32E7"/>
    <w:rsid w:val="00AC3A9F"/>
    <w:rsid w:val="00AC6D2F"/>
    <w:rsid w:val="00AE2745"/>
    <w:rsid w:val="00AE2F64"/>
    <w:rsid w:val="00AE6520"/>
    <w:rsid w:val="00AF065A"/>
    <w:rsid w:val="00AF4146"/>
    <w:rsid w:val="00AF42CB"/>
    <w:rsid w:val="00AF483F"/>
    <w:rsid w:val="00AF5E07"/>
    <w:rsid w:val="00AF5F06"/>
    <w:rsid w:val="00B00A25"/>
    <w:rsid w:val="00B1422A"/>
    <w:rsid w:val="00B1765C"/>
    <w:rsid w:val="00B213C4"/>
    <w:rsid w:val="00B236BE"/>
    <w:rsid w:val="00B40C60"/>
    <w:rsid w:val="00B479A9"/>
    <w:rsid w:val="00B52EDF"/>
    <w:rsid w:val="00B55167"/>
    <w:rsid w:val="00B60638"/>
    <w:rsid w:val="00B71188"/>
    <w:rsid w:val="00B76A41"/>
    <w:rsid w:val="00B87D4C"/>
    <w:rsid w:val="00B93646"/>
    <w:rsid w:val="00BA0B38"/>
    <w:rsid w:val="00BA1DBB"/>
    <w:rsid w:val="00BA4510"/>
    <w:rsid w:val="00BA529A"/>
    <w:rsid w:val="00BB0CB7"/>
    <w:rsid w:val="00BB1C8A"/>
    <w:rsid w:val="00BB612A"/>
    <w:rsid w:val="00BC6486"/>
    <w:rsid w:val="00BD499F"/>
    <w:rsid w:val="00BD56DE"/>
    <w:rsid w:val="00BD6025"/>
    <w:rsid w:val="00BF2406"/>
    <w:rsid w:val="00C03F70"/>
    <w:rsid w:val="00C06E43"/>
    <w:rsid w:val="00C16315"/>
    <w:rsid w:val="00C201CC"/>
    <w:rsid w:val="00C247E7"/>
    <w:rsid w:val="00C3091E"/>
    <w:rsid w:val="00C40FF1"/>
    <w:rsid w:val="00C419E2"/>
    <w:rsid w:val="00C4323F"/>
    <w:rsid w:val="00C5020E"/>
    <w:rsid w:val="00C57452"/>
    <w:rsid w:val="00C57856"/>
    <w:rsid w:val="00C60A66"/>
    <w:rsid w:val="00C61EDF"/>
    <w:rsid w:val="00C6239D"/>
    <w:rsid w:val="00C64A55"/>
    <w:rsid w:val="00C64D4C"/>
    <w:rsid w:val="00C6594B"/>
    <w:rsid w:val="00C67FFB"/>
    <w:rsid w:val="00C7155E"/>
    <w:rsid w:val="00C71D1E"/>
    <w:rsid w:val="00C71D7D"/>
    <w:rsid w:val="00C73834"/>
    <w:rsid w:val="00C74833"/>
    <w:rsid w:val="00C850A0"/>
    <w:rsid w:val="00C85A86"/>
    <w:rsid w:val="00C978F0"/>
    <w:rsid w:val="00CA00EC"/>
    <w:rsid w:val="00CA58FE"/>
    <w:rsid w:val="00CB1CB1"/>
    <w:rsid w:val="00CB6BC1"/>
    <w:rsid w:val="00CB6CB8"/>
    <w:rsid w:val="00CC19B3"/>
    <w:rsid w:val="00CC1A68"/>
    <w:rsid w:val="00CC2123"/>
    <w:rsid w:val="00CD2BFD"/>
    <w:rsid w:val="00CE448E"/>
    <w:rsid w:val="00CE5AD6"/>
    <w:rsid w:val="00CE617F"/>
    <w:rsid w:val="00CE78EF"/>
    <w:rsid w:val="00D048F7"/>
    <w:rsid w:val="00D0517E"/>
    <w:rsid w:val="00D140FC"/>
    <w:rsid w:val="00D15555"/>
    <w:rsid w:val="00D16A42"/>
    <w:rsid w:val="00D21D8C"/>
    <w:rsid w:val="00D30E63"/>
    <w:rsid w:val="00D31357"/>
    <w:rsid w:val="00D329D8"/>
    <w:rsid w:val="00D33220"/>
    <w:rsid w:val="00D334D1"/>
    <w:rsid w:val="00D36FE7"/>
    <w:rsid w:val="00D4134B"/>
    <w:rsid w:val="00D44C89"/>
    <w:rsid w:val="00D516CD"/>
    <w:rsid w:val="00D55955"/>
    <w:rsid w:val="00D668E6"/>
    <w:rsid w:val="00D66F00"/>
    <w:rsid w:val="00D70670"/>
    <w:rsid w:val="00D74D80"/>
    <w:rsid w:val="00D76624"/>
    <w:rsid w:val="00D87570"/>
    <w:rsid w:val="00D91CB9"/>
    <w:rsid w:val="00D97989"/>
    <w:rsid w:val="00D97D8D"/>
    <w:rsid w:val="00DA352E"/>
    <w:rsid w:val="00DA7591"/>
    <w:rsid w:val="00DB446D"/>
    <w:rsid w:val="00DC30B0"/>
    <w:rsid w:val="00DC7694"/>
    <w:rsid w:val="00DD053D"/>
    <w:rsid w:val="00DD1BF6"/>
    <w:rsid w:val="00DD2F9B"/>
    <w:rsid w:val="00DE2513"/>
    <w:rsid w:val="00DE26E8"/>
    <w:rsid w:val="00DF217B"/>
    <w:rsid w:val="00DF6F36"/>
    <w:rsid w:val="00E0084C"/>
    <w:rsid w:val="00E025AB"/>
    <w:rsid w:val="00E02B23"/>
    <w:rsid w:val="00E06F40"/>
    <w:rsid w:val="00E07CE8"/>
    <w:rsid w:val="00E23766"/>
    <w:rsid w:val="00E26A07"/>
    <w:rsid w:val="00E32595"/>
    <w:rsid w:val="00E37CFD"/>
    <w:rsid w:val="00E41A26"/>
    <w:rsid w:val="00E46BCB"/>
    <w:rsid w:val="00E51CAF"/>
    <w:rsid w:val="00E60287"/>
    <w:rsid w:val="00E60F04"/>
    <w:rsid w:val="00E61AFA"/>
    <w:rsid w:val="00E62AAC"/>
    <w:rsid w:val="00E67C2F"/>
    <w:rsid w:val="00E67EF5"/>
    <w:rsid w:val="00E804EA"/>
    <w:rsid w:val="00E80A71"/>
    <w:rsid w:val="00E82337"/>
    <w:rsid w:val="00E844DA"/>
    <w:rsid w:val="00E92499"/>
    <w:rsid w:val="00E94929"/>
    <w:rsid w:val="00E949AF"/>
    <w:rsid w:val="00E958E3"/>
    <w:rsid w:val="00E96077"/>
    <w:rsid w:val="00EA0A06"/>
    <w:rsid w:val="00EA4720"/>
    <w:rsid w:val="00EA5C46"/>
    <w:rsid w:val="00EA6243"/>
    <w:rsid w:val="00EA74AB"/>
    <w:rsid w:val="00EB0C84"/>
    <w:rsid w:val="00EB3D1B"/>
    <w:rsid w:val="00EC008F"/>
    <w:rsid w:val="00ED110D"/>
    <w:rsid w:val="00ED1D89"/>
    <w:rsid w:val="00ED57B3"/>
    <w:rsid w:val="00ED66BC"/>
    <w:rsid w:val="00EE4B0A"/>
    <w:rsid w:val="00EF233A"/>
    <w:rsid w:val="00EF303E"/>
    <w:rsid w:val="00EF3A40"/>
    <w:rsid w:val="00EF7F78"/>
    <w:rsid w:val="00F01B08"/>
    <w:rsid w:val="00F01C4D"/>
    <w:rsid w:val="00F053FA"/>
    <w:rsid w:val="00F10C97"/>
    <w:rsid w:val="00F11B80"/>
    <w:rsid w:val="00F11C71"/>
    <w:rsid w:val="00F16019"/>
    <w:rsid w:val="00F20E68"/>
    <w:rsid w:val="00F22093"/>
    <w:rsid w:val="00F236DF"/>
    <w:rsid w:val="00F43AD5"/>
    <w:rsid w:val="00F4402E"/>
    <w:rsid w:val="00F56DD0"/>
    <w:rsid w:val="00F6491C"/>
    <w:rsid w:val="00F67BBB"/>
    <w:rsid w:val="00F7174D"/>
    <w:rsid w:val="00F87D92"/>
    <w:rsid w:val="00F90AA7"/>
    <w:rsid w:val="00F92498"/>
    <w:rsid w:val="00F9496B"/>
    <w:rsid w:val="00F970C9"/>
    <w:rsid w:val="00FA06A8"/>
    <w:rsid w:val="00FA3DF5"/>
    <w:rsid w:val="00FA741F"/>
    <w:rsid w:val="00FB4E07"/>
    <w:rsid w:val="00FB72AB"/>
    <w:rsid w:val="00FB755A"/>
    <w:rsid w:val="00FC5C40"/>
    <w:rsid w:val="00FC60A2"/>
    <w:rsid w:val="00FD16AE"/>
    <w:rsid w:val="00FD1871"/>
    <w:rsid w:val="00FD3110"/>
    <w:rsid w:val="00FF135B"/>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customStyle="1" w:styleId="UnresolvedMention1">
    <w:name w:val="Unresolved Mention1"/>
    <w:basedOn w:val="DefaultParagraphFont"/>
    <w:uiPriority w:val="99"/>
    <w:semiHidden/>
    <w:unhideWhenUsed/>
    <w:rsid w:val="00482EB5"/>
    <w:rPr>
      <w:color w:val="605E5C"/>
      <w:shd w:val="clear" w:color="auto" w:fill="E1DFDD"/>
    </w:rPr>
  </w:style>
  <w:style w:type="character" w:styleId="CommentReference">
    <w:name w:val="annotation reference"/>
    <w:basedOn w:val="DefaultParagraphFont"/>
    <w:uiPriority w:val="99"/>
    <w:semiHidden/>
    <w:unhideWhenUsed/>
    <w:rsid w:val="00AB4C9B"/>
    <w:rPr>
      <w:sz w:val="16"/>
      <w:szCs w:val="16"/>
    </w:rPr>
  </w:style>
  <w:style w:type="paragraph" w:styleId="CommentText">
    <w:name w:val="annotation text"/>
    <w:basedOn w:val="Normal"/>
    <w:link w:val="CommentTextChar"/>
    <w:uiPriority w:val="99"/>
    <w:unhideWhenUsed/>
    <w:rsid w:val="00AB4C9B"/>
    <w:pPr>
      <w:spacing w:line="240" w:lineRule="auto"/>
    </w:pPr>
    <w:rPr>
      <w:szCs w:val="20"/>
    </w:rPr>
  </w:style>
  <w:style w:type="character" w:customStyle="1" w:styleId="CommentTextChar">
    <w:name w:val="Comment Text Char"/>
    <w:basedOn w:val="DefaultParagraphFont"/>
    <w:link w:val="CommentText"/>
    <w:uiPriority w:val="99"/>
    <w:rsid w:val="00AB4C9B"/>
    <w:rPr>
      <w:szCs w:val="20"/>
    </w:rPr>
  </w:style>
  <w:style w:type="paragraph" w:styleId="CommentSubject">
    <w:name w:val="annotation subject"/>
    <w:basedOn w:val="CommentText"/>
    <w:next w:val="CommentText"/>
    <w:link w:val="CommentSubjectChar"/>
    <w:uiPriority w:val="99"/>
    <w:semiHidden/>
    <w:unhideWhenUsed/>
    <w:rsid w:val="00AB4C9B"/>
    <w:rPr>
      <w:b/>
      <w:bCs/>
    </w:rPr>
  </w:style>
  <w:style w:type="character" w:customStyle="1" w:styleId="CommentSubjectChar">
    <w:name w:val="Comment Subject Char"/>
    <w:basedOn w:val="CommentTextChar"/>
    <w:link w:val="CommentSubject"/>
    <w:uiPriority w:val="99"/>
    <w:semiHidden/>
    <w:rsid w:val="00AB4C9B"/>
    <w:rPr>
      <w:b/>
      <w:bCs/>
      <w:szCs w:val="20"/>
    </w:rPr>
  </w:style>
  <w:style w:type="paragraph" w:styleId="ListBullet">
    <w:name w:val="List Bullet"/>
    <w:basedOn w:val="Normal"/>
    <w:uiPriority w:val="99"/>
    <w:unhideWhenUsed/>
    <w:rsid w:val="00957AA5"/>
    <w:pPr>
      <w:numPr>
        <w:numId w:val="12"/>
      </w:numPr>
      <w:contextualSpacing/>
    </w:pPr>
  </w:style>
  <w:style w:type="paragraph" w:styleId="Revision">
    <w:name w:val="Revision"/>
    <w:hidden/>
    <w:uiPriority w:val="99"/>
    <w:semiHidden/>
    <w:rsid w:val="00F11B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150391">
      <w:bodyDiv w:val="1"/>
      <w:marLeft w:val="0"/>
      <w:marRight w:val="0"/>
      <w:marTop w:val="0"/>
      <w:marBottom w:val="0"/>
      <w:divBdr>
        <w:top w:val="none" w:sz="0" w:space="0" w:color="auto"/>
        <w:left w:val="none" w:sz="0" w:space="0" w:color="auto"/>
        <w:bottom w:val="none" w:sz="0" w:space="0" w:color="auto"/>
        <w:right w:val="none" w:sz="0" w:space="0" w:color="auto"/>
      </w:divBdr>
    </w:div>
    <w:div w:id="809595835">
      <w:bodyDiv w:val="1"/>
      <w:marLeft w:val="0"/>
      <w:marRight w:val="0"/>
      <w:marTop w:val="0"/>
      <w:marBottom w:val="0"/>
      <w:divBdr>
        <w:top w:val="none" w:sz="0" w:space="0" w:color="auto"/>
        <w:left w:val="none" w:sz="0" w:space="0" w:color="auto"/>
        <w:bottom w:val="none" w:sz="0" w:space="0" w:color="auto"/>
        <w:right w:val="none" w:sz="0" w:space="0" w:color="auto"/>
      </w:divBdr>
    </w:div>
    <w:div w:id="1095322279">
      <w:bodyDiv w:val="1"/>
      <w:marLeft w:val="0"/>
      <w:marRight w:val="0"/>
      <w:marTop w:val="0"/>
      <w:marBottom w:val="0"/>
      <w:divBdr>
        <w:top w:val="none" w:sz="0" w:space="0" w:color="auto"/>
        <w:left w:val="none" w:sz="0" w:space="0" w:color="auto"/>
        <w:bottom w:val="none" w:sz="0" w:space="0" w:color="auto"/>
        <w:right w:val="none" w:sz="0" w:space="0" w:color="auto"/>
      </w:divBdr>
    </w:div>
    <w:div w:id="1428112916">
      <w:bodyDiv w:val="1"/>
      <w:marLeft w:val="0"/>
      <w:marRight w:val="0"/>
      <w:marTop w:val="0"/>
      <w:marBottom w:val="0"/>
      <w:divBdr>
        <w:top w:val="none" w:sz="0" w:space="0" w:color="auto"/>
        <w:left w:val="none" w:sz="0" w:space="0" w:color="auto"/>
        <w:bottom w:val="none" w:sz="0" w:space="0" w:color="auto"/>
        <w:right w:val="none" w:sz="0" w:space="0" w:color="auto"/>
      </w:divBdr>
    </w:div>
    <w:div w:id="1694964747">
      <w:bodyDiv w:val="1"/>
      <w:marLeft w:val="0"/>
      <w:marRight w:val="0"/>
      <w:marTop w:val="0"/>
      <w:marBottom w:val="0"/>
      <w:divBdr>
        <w:top w:val="none" w:sz="0" w:space="0" w:color="auto"/>
        <w:left w:val="none" w:sz="0" w:space="0" w:color="auto"/>
        <w:bottom w:val="none" w:sz="0" w:space="0" w:color="auto"/>
        <w:right w:val="none" w:sz="0" w:space="0" w:color="auto"/>
      </w:divBdr>
    </w:div>
    <w:div w:id="184473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B695E8FBA1944D4A88426F066B96C114"/>
        <w:category>
          <w:name w:val="General"/>
          <w:gallery w:val="placeholder"/>
        </w:category>
        <w:types>
          <w:type w:val="bbPlcHdr"/>
        </w:types>
        <w:behaviors>
          <w:behavior w:val="content"/>
        </w:behaviors>
        <w:guid w:val="{408CE3CF-9DC4-4992-B853-BC5096785634}"/>
      </w:docPartPr>
      <w:docPartBody>
        <w:p w:rsidR="00AE0C90" w:rsidRDefault="000D2098" w:rsidP="000D2098">
          <w:pPr>
            <w:pStyle w:val="B695E8FBA1944D4A88426F066B96C114"/>
          </w:pPr>
          <w:r w:rsidRPr="00F4402E">
            <w:rPr>
              <w:rStyle w:val="PlaceholderText"/>
              <w:color w:val="FFFFFF" w:themeColor="background1"/>
            </w:rPr>
            <w:t>Choose an item.</w:t>
          </w:r>
        </w:p>
      </w:docPartBody>
    </w:docPart>
    <w:docPart>
      <w:docPartPr>
        <w:name w:val="A61BABC7425742B1B2370362477BF0A2"/>
        <w:category>
          <w:name w:val="General"/>
          <w:gallery w:val="placeholder"/>
        </w:category>
        <w:types>
          <w:type w:val="bbPlcHdr"/>
        </w:types>
        <w:behaviors>
          <w:behavior w:val="content"/>
        </w:behaviors>
        <w:guid w:val="{B7972E77-C7EA-401C-AF4F-B4A9573C5A9D}"/>
      </w:docPartPr>
      <w:docPartBody>
        <w:p w:rsidR="00AE0C90" w:rsidRDefault="000D2098" w:rsidP="000D2098">
          <w:pPr>
            <w:pStyle w:val="A61BABC7425742B1B2370362477BF0A2"/>
          </w:pPr>
          <w:r w:rsidRPr="00F4402E">
            <w:rPr>
              <w:rStyle w:val="PlaceholderText"/>
              <w:color w:val="FFFFFF" w:themeColor="background1"/>
            </w:rPr>
            <w:t>Choose an item.</w:t>
          </w:r>
        </w:p>
      </w:docPartBody>
    </w:docPart>
    <w:docPart>
      <w:docPartPr>
        <w:name w:val="04650402EE914FDAB81587BB70BD6864"/>
        <w:category>
          <w:name w:val="General"/>
          <w:gallery w:val="placeholder"/>
        </w:category>
        <w:types>
          <w:type w:val="bbPlcHdr"/>
        </w:types>
        <w:behaviors>
          <w:behavior w:val="content"/>
        </w:behaviors>
        <w:guid w:val="{28D80B6A-C0F4-41B6-8399-09CCADE2BB25}"/>
      </w:docPartPr>
      <w:docPartBody>
        <w:p w:rsidR="00AE0C90" w:rsidRDefault="000D2098" w:rsidP="000D2098">
          <w:pPr>
            <w:pStyle w:val="04650402EE914FDAB81587BB70BD6864"/>
          </w:pPr>
          <w:r w:rsidRPr="001D56F0">
            <w:rPr>
              <w:rStyle w:val="PlaceholderText"/>
            </w:rPr>
            <w:t>Choose an item.</w:t>
          </w:r>
        </w:p>
      </w:docPartBody>
    </w:docPart>
    <w:docPart>
      <w:docPartPr>
        <w:name w:val="82205B56367940539657E4CF002FEC60"/>
        <w:category>
          <w:name w:val="General"/>
          <w:gallery w:val="placeholder"/>
        </w:category>
        <w:types>
          <w:type w:val="bbPlcHdr"/>
        </w:types>
        <w:behaviors>
          <w:behavior w:val="content"/>
        </w:behaviors>
        <w:guid w:val="{7458524D-71F3-4C7D-A1AE-526EF579D9D3}"/>
      </w:docPartPr>
      <w:docPartBody>
        <w:p w:rsidR="00AE0C90" w:rsidRDefault="000D2098" w:rsidP="000D2098">
          <w:pPr>
            <w:pStyle w:val="82205B56367940539657E4CF002FEC60"/>
          </w:pPr>
          <w:r w:rsidRPr="00F4402E">
            <w:rPr>
              <w:rStyle w:val="PlaceholderText"/>
              <w:color w:val="FFFFFF" w:themeColor="background1"/>
            </w:rPr>
            <w:t>Choose an item.</w:t>
          </w:r>
        </w:p>
      </w:docPartBody>
    </w:docPart>
    <w:docPart>
      <w:docPartPr>
        <w:name w:val="5307A5B10A18497682643D0DA24D1D31"/>
        <w:category>
          <w:name w:val="General"/>
          <w:gallery w:val="placeholder"/>
        </w:category>
        <w:types>
          <w:type w:val="bbPlcHdr"/>
        </w:types>
        <w:behaviors>
          <w:behavior w:val="content"/>
        </w:behaviors>
        <w:guid w:val="{27C72753-DCFE-47AC-85E2-291A2B039AC5}"/>
      </w:docPartPr>
      <w:docPartBody>
        <w:p w:rsidR="00AE0C90" w:rsidRDefault="000D2098" w:rsidP="000D2098">
          <w:pPr>
            <w:pStyle w:val="5307A5B10A18497682643D0DA24D1D31"/>
          </w:pPr>
          <w:r w:rsidRPr="00CA109A">
            <w:rPr>
              <w:rStyle w:val="PlaceholderText"/>
              <w:color w:val="FFFFFF" w:themeColor="background1"/>
            </w:rPr>
            <w:t>Choose an item.</w:t>
          </w:r>
        </w:p>
      </w:docPartBody>
    </w:docPart>
    <w:docPart>
      <w:docPartPr>
        <w:name w:val="E17A1688A8D747F7BC2645A66C689881"/>
        <w:category>
          <w:name w:val="General"/>
          <w:gallery w:val="placeholder"/>
        </w:category>
        <w:types>
          <w:type w:val="bbPlcHdr"/>
        </w:types>
        <w:behaviors>
          <w:behavior w:val="content"/>
        </w:behaviors>
        <w:guid w:val="{B7D2CD82-2E10-456C-A01C-133F17964A03}"/>
      </w:docPartPr>
      <w:docPartBody>
        <w:p w:rsidR="00AE0C90" w:rsidRDefault="000D2098" w:rsidP="000D2098">
          <w:pPr>
            <w:pStyle w:val="E17A1688A8D747F7BC2645A66C689881"/>
          </w:pPr>
          <w:r w:rsidRPr="00121186">
            <w:rPr>
              <w:rStyle w:val="PlaceholderText"/>
              <w:color w:val="FFFFFF" w:themeColor="background1"/>
            </w:rPr>
            <w:t>Click here to enter text.</w:t>
          </w:r>
        </w:p>
      </w:docPartBody>
    </w:docPart>
    <w:docPart>
      <w:docPartPr>
        <w:name w:val="EC151BAA6F844D4981EE1F3EC2C5BCF7"/>
        <w:category>
          <w:name w:val="General"/>
          <w:gallery w:val="placeholder"/>
        </w:category>
        <w:types>
          <w:type w:val="bbPlcHdr"/>
        </w:types>
        <w:behaviors>
          <w:behavior w:val="content"/>
        </w:behaviors>
        <w:guid w:val="{02FD3839-7791-43B6-B64F-FB9AAFCA359E}"/>
      </w:docPartPr>
      <w:docPartBody>
        <w:p w:rsidR="00AE0C90" w:rsidRDefault="000D2098" w:rsidP="000D2098">
          <w:pPr>
            <w:pStyle w:val="EC151BAA6F844D4981EE1F3EC2C5BCF7"/>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D0A2E"/>
    <w:rsid w:val="000D2098"/>
    <w:rsid w:val="00266456"/>
    <w:rsid w:val="00307AC6"/>
    <w:rsid w:val="0041740A"/>
    <w:rsid w:val="00684BBE"/>
    <w:rsid w:val="008A36CD"/>
    <w:rsid w:val="009A1EFC"/>
    <w:rsid w:val="00AE0C90"/>
    <w:rsid w:val="00BA5AE7"/>
    <w:rsid w:val="00C64D4C"/>
    <w:rsid w:val="00D21A9F"/>
    <w:rsid w:val="00EE4BF1"/>
    <w:rsid w:val="00FD16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2098"/>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B695E8FBA1944D4A88426F066B96C114">
    <w:name w:val="B695E8FBA1944D4A88426F066B96C114"/>
    <w:rsid w:val="000D2098"/>
  </w:style>
  <w:style w:type="paragraph" w:customStyle="1" w:styleId="A61BABC7425742B1B2370362477BF0A2">
    <w:name w:val="A61BABC7425742B1B2370362477BF0A2"/>
    <w:rsid w:val="000D2098"/>
  </w:style>
  <w:style w:type="paragraph" w:customStyle="1" w:styleId="04650402EE914FDAB81587BB70BD6864">
    <w:name w:val="04650402EE914FDAB81587BB70BD6864"/>
    <w:rsid w:val="000D2098"/>
  </w:style>
  <w:style w:type="paragraph" w:customStyle="1" w:styleId="82205B56367940539657E4CF002FEC60">
    <w:name w:val="82205B56367940539657E4CF002FEC60"/>
    <w:rsid w:val="000D2098"/>
  </w:style>
  <w:style w:type="paragraph" w:customStyle="1" w:styleId="5307A5B10A18497682643D0DA24D1D31">
    <w:name w:val="5307A5B10A18497682643D0DA24D1D31"/>
    <w:rsid w:val="000D2098"/>
  </w:style>
  <w:style w:type="paragraph" w:customStyle="1" w:styleId="E17A1688A8D747F7BC2645A66C689881">
    <w:name w:val="E17A1688A8D747F7BC2645A66C689881"/>
    <w:rsid w:val="000D2098"/>
  </w:style>
  <w:style w:type="paragraph" w:customStyle="1" w:styleId="EC151BAA6F844D4981EE1F3EC2C5BCF7">
    <w:name w:val="EC151BAA6F844D4981EE1F3EC2C5BCF7"/>
    <w:rsid w:val="000D2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0197B-CFFB-462B-AEB5-A89CCC73D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A0739-5185-4CDB-BE88-3DDCE1FE73F3}">
  <ds:schemaRefs>
    <ds:schemaRef ds:uri="http://www.w3.org/XML/1998/namespace"/>
    <ds:schemaRef ds:uri="1c567317-0c4d-4a62-8516-c22afd1b5354"/>
    <ds:schemaRef ds:uri="http://schemas.microsoft.com/office/2006/documentManagement/types"/>
    <ds:schemaRef ds:uri="http://schemas.microsoft.com/office/2006/metadata/properties"/>
    <ds:schemaRef ds:uri="a0509f21-ed56-4150-9955-96be669e5f2d"/>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63FED09E-6C92-46C8-8056-219B12BF01EF}">
  <ds:schemaRefs>
    <ds:schemaRef ds:uri="http://schemas.microsoft.com/sharepoint/v3/contenttype/forms"/>
  </ds:schemaRefs>
</ds:datastoreItem>
</file>

<file path=customXml/itemProps4.xml><?xml version="1.0" encoding="utf-8"?>
<ds:datastoreItem xmlns:ds="http://schemas.openxmlformats.org/officeDocument/2006/customXml" ds:itemID="{02263B49-7CA6-44FA-BFC6-924ADC77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1982</Words>
  <Characters>10943</Characters>
  <Application>Microsoft Office Word</Application>
  <DocSecurity>0</DocSecurity>
  <Lines>377</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2019-11-19T05:24:00Z</dcterms:created>
  <dcterms:modified xsi:type="dcterms:W3CDTF">2026-01-09T00:06:00Z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2025-12-23T03:40:45Z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341f066c-c183-4e3b-865d-c394b445ef35</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