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DF1403A" w14:textId="647FFBDE" w:rsidR="00BD499F" w:rsidRPr="004C23F4" w:rsidRDefault="00B12E78" w:rsidP="00B40C60">
          <w:pPr>
            <w:pStyle w:val="Heading1"/>
            <w:jc w:val="center"/>
            <w:rPr>
              <w:rFonts w:ascii="Arial" w:hAnsi="Arial" w:cs="Arial"/>
            </w:rPr>
          </w:pPr>
          <w:r w:rsidRPr="00B12E78">
            <w:rPr>
              <w:rFonts w:ascii="Arial" w:hAnsi="Arial" w:cs="Arial"/>
            </w:rPr>
            <w:t xml:space="preserve">Ethyl </w:t>
          </w:r>
          <w:proofErr w:type="spellStart"/>
          <w:r w:rsidRPr="00B12E78">
            <w:rPr>
              <w:rFonts w:ascii="Arial" w:hAnsi="Arial" w:cs="Arial"/>
            </w:rPr>
            <w:t>formate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54E186F1" w14:textId="77777777" w:rsidTr="00B76A41">
        <w:trPr>
          <w:cantSplit/>
          <w:tblHeader/>
        </w:trPr>
        <w:tc>
          <w:tcPr>
            <w:tcW w:w="4077" w:type="dxa"/>
          </w:tcPr>
          <w:p w14:paraId="6B39D1B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42FB28D" w14:textId="4F7799A9" w:rsidR="00F43AD5" w:rsidRPr="00717D45" w:rsidRDefault="00AB3AB1" w:rsidP="00B76A41">
            <w:pPr>
              <w:pStyle w:val="Tablefont"/>
            </w:pPr>
            <w:r w:rsidRPr="00AB3AB1">
              <w:t>109-94-4</w:t>
            </w:r>
          </w:p>
        </w:tc>
      </w:tr>
      <w:tr w:rsidR="00F43AD5" w:rsidRPr="004C23F4" w14:paraId="65E40379" w14:textId="77777777" w:rsidTr="00B76A41">
        <w:trPr>
          <w:cantSplit/>
        </w:trPr>
        <w:tc>
          <w:tcPr>
            <w:tcW w:w="4077" w:type="dxa"/>
          </w:tcPr>
          <w:p w14:paraId="6B029C7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E39AE63" w14:textId="179CAB0C" w:rsidR="00F43AD5" w:rsidRPr="00717D45" w:rsidRDefault="006A23C8" w:rsidP="00B76A41">
            <w:pPr>
              <w:pStyle w:val="Tablefont"/>
            </w:pPr>
            <w:r>
              <w:t xml:space="preserve">Ethyl </w:t>
            </w:r>
            <w:proofErr w:type="spellStart"/>
            <w:r>
              <w:t>methanoate</w:t>
            </w:r>
            <w:proofErr w:type="spellEnd"/>
            <w:r>
              <w:t xml:space="preserve">, </w:t>
            </w:r>
            <w:r w:rsidR="003B1397">
              <w:t xml:space="preserve">formic </w:t>
            </w:r>
            <w:r>
              <w:t>acid ethyl ester</w:t>
            </w:r>
          </w:p>
        </w:tc>
      </w:tr>
      <w:tr w:rsidR="00F43AD5" w:rsidRPr="004C23F4" w14:paraId="09FFB8FF" w14:textId="77777777" w:rsidTr="00B76A41">
        <w:trPr>
          <w:cantSplit/>
        </w:trPr>
        <w:tc>
          <w:tcPr>
            <w:tcW w:w="4077" w:type="dxa"/>
          </w:tcPr>
          <w:p w14:paraId="77662E4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60ADE52" w14:textId="0914F4B4" w:rsidR="00F43AD5" w:rsidRPr="00717D45" w:rsidRDefault="006A23C8" w:rsidP="00B76A41">
            <w:pPr>
              <w:pStyle w:val="Tablefont"/>
            </w:pPr>
            <w:proofErr w:type="spellStart"/>
            <w:r>
              <w:t>C</w:t>
            </w:r>
            <w:r w:rsidRPr="006A23C8">
              <w:rPr>
                <w:vertAlign w:val="subscript"/>
              </w:rPr>
              <w:t>3</w:t>
            </w:r>
            <w:r>
              <w:t>H</w:t>
            </w:r>
            <w:r w:rsidRPr="006A23C8">
              <w:rPr>
                <w:vertAlign w:val="subscript"/>
              </w:rPr>
              <w:t>6</w:t>
            </w:r>
            <w:r>
              <w:t>O</w:t>
            </w:r>
            <w:r w:rsidRPr="006A23C8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3D3766BB" w14:textId="77777777" w:rsidTr="00B76A41">
        <w:trPr>
          <w:cantSplit/>
        </w:trPr>
        <w:tc>
          <w:tcPr>
            <w:tcW w:w="4077" w:type="dxa"/>
          </w:tcPr>
          <w:p w14:paraId="3268D3D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A94E58E" w14:textId="0F627EB2" w:rsidR="00F43AD5" w:rsidRPr="008A0CCF" w:rsidRDefault="006A23C8" w:rsidP="00B76A41">
            <w:pPr>
              <w:pStyle w:val="Tablerowheading"/>
              <w:rPr>
                <w:b w:val="0"/>
              </w:rPr>
            </w:pPr>
            <w:r w:rsidRPr="008A0CCF">
              <w:rPr>
                <w:b w:val="0"/>
              </w:rPr>
              <w:t>—</w:t>
            </w:r>
          </w:p>
        </w:tc>
      </w:tr>
    </w:tbl>
    <w:p w14:paraId="116CEE60" w14:textId="6BDA36E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6F61F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3A51217" w14:textId="77777777" w:rsidTr="00E71525">
        <w:trPr>
          <w:cantSplit/>
          <w:tblHeader/>
        </w:trPr>
        <w:tc>
          <w:tcPr>
            <w:tcW w:w="4005" w:type="dxa"/>
            <w:vAlign w:val="center"/>
          </w:tcPr>
          <w:p w14:paraId="1B01959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6D3BA76" w14:textId="44952BAF" w:rsidR="002C7AFE" w:rsidRPr="006F61FE" w:rsidRDefault="006F61FE" w:rsidP="00017C82">
            <w:pPr>
              <w:pStyle w:val="Tablefont"/>
              <w:rPr>
                <w:b/>
              </w:rPr>
            </w:pPr>
            <w:r w:rsidRPr="006F61FE">
              <w:rPr>
                <w:rFonts w:cs="Arial"/>
                <w:b/>
              </w:rPr>
              <w:t>100 ppm (303 mg/</w:t>
            </w:r>
            <w:proofErr w:type="spellStart"/>
            <w:r w:rsidRPr="006F61FE">
              <w:rPr>
                <w:rFonts w:cs="Arial"/>
                <w:b/>
              </w:rPr>
              <w:t>m</w:t>
            </w:r>
            <w:r w:rsidRPr="006F61FE">
              <w:rPr>
                <w:rFonts w:cs="Arial"/>
                <w:b/>
                <w:vertAlign w:val="superscript"/>
              </w:rPr>
              <w:t>3</w:t>
            </w:r>
            <w:proofErr w:type="spellEnd"/>
            <w:r w:rsidRPr="006F61FE">
              <w:rPr>
                <w:rFonts w:cs="Arial"/>
                <w:b/>
              </w:rPr>
              <w:t>)</w:t>
            </w:r>
          </w:p>
        </w:tc>
      </w:tr>
      <w:tr w:rsidR="002C7AFE" w:rsidRPr="004C23F4" w14:paraId="092B21D2" w14:textId="77777777" w:rsidTr="00E71525">
        <w:trPr>
          <w:cantSplit/>
        </w:trPr>
        <w:tc>
          <w:tcPr>
            <w:tcW w:w="4005" w:type="dxa"/>
            <w:vAlign w:val="center"/>
          </w:tcPr>
          <w:p w14:paraId="0EB3D24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3979490" w14:textId="2C5491A7" w:rsidR="002C7AFE" w:rsidRPr="00EB3D1B" w:rsidRDefault="006F61FE" w:rsidP="00017C82">
            <w:pPr>
              <w:pStyle w:val="Tablefont"/>
              <w:rPr>
                <w:b/>
              </w:rPr>
            </w:pPr>
            <w:r w:rsidRPr="006F61FE">
              <w:rPr>
                <w:b/>
              </w:rPr>
              <w:t>150 ppm (462 mg/</w:t>
            </w:r>
            <w:proofErr w:type="spellStart"/>
            <w:r w:rsidRPr="006F61FE">
              <w:rPr>
                <w:b/>
              </w:rPr>
              <w:t>m</w:t>
            </w:r>
            <w:r w:rsidRPr="006F61FE">
              <w:rPr>
                <w:b/>
                <w:vertAlign w:val="superscript"/>
              </w:rPr>
              <w:t>3</w:t>
            </w:r>
            <w:proofErr w:type="spellEnd"/>
            <w:r w:rsidRPr="006F61FE">
              <w:rPr>
                <w:b/>
              </w:rPr>
              <w:t>)</w:t>
            </w:r>
          </w:p>
        </w:tc>
      </w:tr>
      <w:tr w:rsidR="002C7AFE" w:rsidRPr="004C23F4" w14:paraId="1E5C6229" w14:textId="77777777" w:rsidTr="00E71525">
        <w:trPr>
          <w:cantSplit/>
        </w:trPr>
        <w:tc>
          <w:tcPr>
            <w:tcW w:w="4005" w:type="dxa"/>
            <w:vAlign w:val="center"/>
          </w:tcPr>
          <w:p w14:paraId="56BD300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2E88C55" w14:textId="6BAB04B1" w:rsidR="002C7AFE" w:rsidRPr="00EB3D1B" w:rsidRDefault="006F61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61FC61" w14:textId="77777777" w:rsidTr="00E71525">
        <w:trPr>
          <w:cantSplit/>
        </w:trPr>
        <w:tc>
          <w:tcPr>
            <w:tcW w:w="4005" w:type="dxa"/>
          </w:tcPr>
          <w:p w14:paraId="592E8B1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99B0D81" w14:textId="3670FD1C" w:rsidR="002C7AFE" w:rsidRPr="00EB3D1B" w:rsidRDefault="006F61F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8C399D2" w14:textId="77777777" w:rsidTr="00E71525">
        <w:trPr>
          <w:cantSplit/>
        </w:trPr>
        <w:tc>
          <w:tcPr>
            <w:tcW w:w="4005" w:type="dxa"/>
            <w:vAlign w:val="center"/>
          </w:tcPr>
          <w:p w14:paraId="561C125E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0DF9872E" w14:textId="07793045" w:rsidR="002C7AFE" w:rsidRPr="00EB3D1B" w:rsidRDefault="006A23C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C8082A">
              <w:rPr>
                <w:b/>
              </w:rPr>
              <w:t>,</w:t>
            </w:r>
            <w:r>
              <w:rPr>
                <w:b/>
              </w:rPr>
              <w:t>500 ppm</w:t>
            </w:r>
          </w:p>
        </w:tc>
      </w:tr>
      <w:tr w:rsidR="00254B2D" w:rsidRPr="004C23F4" w14:paraId="6DC9C230" w14:textId="77777777" w:rsidTr="0082560A">
        <w:trPr>
          <w:cantSplit/>
        </w:trPr>
        <w:tc>
          <w:tcPr>
            <w:tcW w:w="9026" w:type="dxa"/>
            <w:gridSpan w:val="2"/>
            <w:vAlign w:val="center"/>
          </w:tcPr>
          <w:p w14:paraId="2F58693B" w14:textId="4211E28B" w:rsidR="00254B2D" w:rsidRPr="00EB3D1B" w:rsidRDefault="00254B2D" w:rsidP="00254B2D">
            <w:pPr>
              <w:pStyle w:val="Tablefont"/>
              <w:rPr>
                <w:b/>
              </w:rPr>
            </w:pPr>
            <w:r w:rsidRPr="007A6F81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F5A2D29FC264F07AC0B284C30C362E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7A6F8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02BAFC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9CC0CB" w14:textId="16DC4762" w:rsidR="004E5296" w:rsidRDefault="004E5296" w:rsidP="004E5296">
      <w:pPr>
        <w:rPr>
          <w:rFonts w:cs="Arial"/>
        </w:rPr>
      </w:pPr>
      <w:r w:rsidRPr="004E5296">
        <w:rPr>
          <w:rFonts w:cs="Arial"/>
        </w:rPr>
        <w:t xml:space="preserve">A TWA of </w:t>
      </w:r>
      <w:r>
        <w:rPr>
          <w:rFonts w:cs="Arial"/>
        </w:rPr>
        <w:t xml:space="preserve">100 </w:t>
      </w:r>
      <w:r w:rsidRPr="004E5296">
        <w:rPr>
          <w:rFonts w:cs="Arial"/>
        </w:rPr>
        <w:t>ppm (</w:t>
      </w:r>
      <w:r>
        <w:rPr>
          <w:rFonts w:cs="Arial"/>
        </w:rPr>
        <w:t>303</w:t>
      </w:r>
      <w:r w:rsidRPr="004E5296">
        <w:rPr>
          <w:rFonts w:cs="Arial"/>
        </w:rPr>
        <w:t xml:space="preserve"> mg/</w:t>
      </w:r>
      <w:proofErr w:type="spellStart"/>
      <w:r w:rsidRPr="004E5296"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Pr="004E5296">
        <w:rPr>
          <w:rFonts w:cs="Arial"/>
        </w:rPr>
        <w:t xml:space="preserve">) </w:t>
      </w:r>
      <w:r>
        <w:rPr>
          <w:rFonts w:cs="Arial"/>
        </w:rPr>
        <w:t xml:space="preserve">is </w:t>
      </w:r>
      <w:r w:rsidR="007A6F81">
        <w:rPr>
          <w:rFonts w:cs="Arial"/>
        </w:rPr>
        <w:t>recommended</w:t>
      </w:r>
      <w:r>
        <w:rPr>
          <w:rFonts w:cs="Arial"/>
        </w:rPr>
        <w:t xml:space="preserve"> to protect for eye and upper respiratory tract irritation </w:t>
      </w:r>
      <w:r w:rsidRPr="004E5296">
        <w:rPr>
          <w:rFonts w:cs="Arial"/>
        </w:rPr>
        <w:t xml:space="preserve">in exposed workers. </w:t>
      </w:r>
    </w:p>
    <w:p w14:paraId="0E3D81C7" w14:textId="7C60A260" w:rsidR="007A6F81" w:rsidRPr="004E5296" w:rsidRDefault="007A6F81" w:rsidP="004E5296">
      <w:pPr>
        <w:rPr>
          <w:rFonts w:cs="Arial"/>
        </w:rPr>
      </w:pPr>
      <w:r w:rsidRPr="004E5296">
        <w:rPr>
          <w:rFonts w:cs="Arial"/>
        </w:rPr>
        <w:t xml:space="preserve">A </w:t>
      </w:r>
      <w:r>
        <w:rPr>
          <w:rFonts w:cs="Arial"/>
        </w:rPr>
        <w:t>STEL of 150 ppm (462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>) is recommended to protect for acute eye and upper respiratory tract irritation.</w:t>
      </w:r>
    </w:p>
    <w:p w14:paraId="1A58E47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C03BE41" w14:textId="7E5EBF34" w:rsidR="00022753" w:rsidRDefault="00B72EAA" w:rsidP="006639B4">
      <w:pPr>
        <w:rPr>
          <w:rFonts w:cs="Arial"/>
        </w:rPr>
      </w:pPr>
      <w:r>
        <w:rPr>
          <w:rFonts w:cs="Arial"/>
        </w:rPr>
        <w:t xml:space="preserve">Ethyl </w:t>
      </w:r>
      <w:proofErr w:type="spellStart"/>
      <w:r>
        <w:rPr>
          <w:rFonts w:cs="Arial"/>
        </w:rPr>
        <w:t>formate</w:t>
      </w:r>
      <w:proofErr w:type="spellEnd"/>
      <w:r>
        <w:rPr>
          <w:rFonts w:cs="Arial"/>
        </w:rPr>
        <w:t xml:space="preserve"> is u</w:t>
      </w:r>
      <w:r w:rsidR="00805DCF">
        <w:rPr>
          <w:rFonts w:cs="Arial"/>
        </w:rPr>
        <w:t>sed as a solvent, fungicide</w:t>
      </w:r>
      <w:r w:rsidR="00CC52E3">
        <w:rPr>
          <w:rFonts w:cs="Arial"/>
        </w:rPr>
        <w:t xml:space="preserve">, </w:t>
      </w:r>
      <w:r w:rsidR="00805DCF">
        <w:rPr>
          <w:rFonts w:cs="Arial"/>
        </w:rPr>
        <w:t>larvicide</w:t>
      </w:r>
      <w:r w:rsidR="003B35B7">
        <w:rPr>
          <w:rFonts w:cs="Arial"/>
        </w:rPr>
        <w:t>,</w:t>
      </w:r>
      <w:r w:rsidR="00805DCF">
        <w:rPr>
          <w:rFonts w:cs="Arial"/>
        </w:rPr>
        <w:t xml:space="preserve"> and flavouring agent.</w:t>
      </w:r>
      <w:r>
        <w:rPr>
          <w:rFonts w:cs="Arial"/>
        </w:rPr>
        <w:t xml:space="preserve"> Critical effects are </w:t>
      </w:r>
      <w:r w:rsidR="00D96EDA">
        <w:rPr>
          <w:rFonts w:cs="Arial"/>
        </w:rPr>
        <w:t xml:space="preserve">progressive </w:t>
      </w:r>
      <w:r>
        <w:rPr>
          <w:rFonts w:cs="Arial"/>
        </w:rPr>
        <w:t>irritation of the upper respiratory tract and eyes.</w:t>
      </w:r>
      <w:r w:rsidR="00D96EDA">
        <w:rPr>
          <w:rFonts w:cs="Arial"/>
        </w:rPr>
        <w:t xml:space="preserve"> </w:t>
      </w:r>
    </w:p>
    <w:p w14:paraId="25C24DF2" w14:textId="4B721ECB" w:rsidR="008B0DAF" w:rsidRDefault="00462E33" w:rsidP="006639B4">
      <w:pPr>
        <w:rPr>
          <w:rFonts w:cs="Arial"/>
        </w:rPr>
      </w:pPr>
      <w:r>
        <w:rPr>
          <w:rFonts w:cs="Arial"/>
        </w:rPr>
        <w:t xml:space="preserve">Slight eye and upper respiratory tract irritation </w:t>
      </w:r>
      <w:r w:rsidR="00F06D99">
        <w:rPr>
          <w:rFonts w:cs="Arial"/>
        </w:rPr>
        <w:t xml:space="preserve">are </w:t>
      </w:r>
      <w:r>
        <w:rPr>
          <w:rFonts w:cs="Arial"/>
        </w:rPr>
        <w:t xml:space="preserve">reported in humans </w:t>
      </w:r>
      <w:r w:rsidR="00F06D99">
        <w:rPr>
          <w:rFonts w:cs="Arial"/>
        </w:rPr>
        <w:t xml:space="preserve">exposed </w:t>
      </w:r>
      <w:r>
        <w:rPr>
          <w:rFonts w:cs="Arial"/>
        </w:rPr>
        <w:t>above 330 ppm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2018; 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, 2013). </w:t>
      </w:r>
      <w:r w:rsidR="00CC52E3">
        <w:rPr>
          <w:rFonts w:cs="Arial"/>
        </w:rPr>
        <w:t>Data indicate that while these effects are reversible, they are progressive and may persist for up to four hours following exposure (</w:t>
      </w:r>
      <w:proofErr w:type="spellStart"/>
      <w:r w:rsidR="00CC52E3">
        <w:rPr>
          <w:rFonts w:cs="Arial"/>
        </w:rPr>
        <w:t>DFG</w:t>
      </w:r>
      <w:proofErr w:type="spellEnd"/>
      <w:r w:rsidR="00CC52E3">
        <w:rPr>
          <w:rFonts w:cs="Arial"/>
        </w:rPr>
        <w:t xml:space="preserve">, 2013). </w:t>
      </w:r>
      <w:r w:rsidR="003B35B7">
        <w:rPr>
          <w:rFonts w:cs="Arial"/>
        </w:rPr>
        <w:t xml:space="preserve">Enzymatic hydrolysis produces acidic metabolites, which are rapidly eliminated and not expected to accumulate </w:t>
      </w:r>
      <w:r w:rsidR="00F06D99">
        <w:rPr>
          <w:rFonts w:cs="Arial"/>
        </w:rPr>
        <w:t xml:space="preserve">from </w:t>
      </w:r>
      <w:r w:rsidR="003B35B7">
        <w:rPr>
          <w:rFonts w:cs="Arial"/>
        </w:rPr>
        <w:t xml:space="preserve">exposure </w:t>
      </w:r>
      <w:r w:rsidR="00F06D99">
        <w:rPr>
          <w:rFonts w:cs="Arial"/>
        </w:rPr>
        <w:t>below</w:t>
      </w:r>
      <w:r w:rsidR="003B35B7">
        <w:rPr>
          <w:rFonts w:cs="Arial"/>
        </w:rPr>
        <w:t xml:space="preserve"> 100 ppm (</w:t>
      </w:r>
      <w:proofErr w:type="spellStart"/>
      <w:r w:rsidR="003B35B7">
        <w:rPr>
          <w:rFonts w:cs="Arial"/>
        </w:rPr>
        <w:t>DFG</w:t>
      </w:r>
      <w:proofErr w:type="spellEnd"/>
      <w:r w:rsidR="003B35B7">
        <w:rPr>
          <w:rFonts w:cs="Arial"/>
        </w:rPr>
        <w:t xml:space="preserve">, 2013; </w:t>
      </w:r>
      <w:proofErr w:type="spellStart"/>
      <w:r w:rsidR="003B35B7">
        <w:rPr>
          <w:rFonts w:cs="Arial"/>
        </w:rPr>
        <w:t>HCOTN</w:t>
      </w:r>
      <w:proofErr w:type="spellEnd"/>
      <w:r w:rsidR="003B35B7">
        <w:rPr>
          <w:rFonts w:cs="Arial"/>
        </w:rPr>
        <w:t xml:space="preserve">, 2002). </w:t>
      </w:r>
      <w:r w:rsidR="00F06D99">
        <w:rPr>
          <w:rFonts w:cs="Arial"/>
        </w:rPr>
        <w:t xml:space="preserve">The current </w:t>
      </w:r>
      <w:r w:rsidR="00D96EDA">
        <w:rPr>
          <w:rFonts w:cs="Arial"/>
        </w:rPr>
        <w:t xml:space="preserve">TWA </w:t>
      </w:r>
      <w:r>
        <w:rPr>
          <w:rFonts w:cs="Arial"/>
        </w:rPr>
        <w:t xml:space="preserve">of 100 ppm </w:t>
      </w:r>
      <w:r w:rsidR="008B0DAF">
        <w:rPr>
          <w:rFonts w:cs="Arial"/>
        </w:rPr>
        <w:t xml:space="preserve">is </w:t>
      </w:r>
      <w:r w:rsidR="004978A6">
        <w:rPr>
          <w:rFonts w:cs="Arial"/>
        </w:rPr>
        <w:t xml:space="preserve">recommended to be retained and is </w:t>
      </w:r>
      <w:r w:rsidR="008B0DAF">
        <w:rPr>
          <w:rFonts w:cs="Arial"/>
        </w:rPr>
        <w:t xml:space="preserve">same as the </w:t>
      </w:r>
      <w:r w:rsidR="004978A6">
        <w:rPr>
          <w:rFonts w:cs="Arial"/>
        </w:rPr>
        <w:t xml:space="preserve">recommendations </w:t>
      </w:r>
      <w:r w:rsidR="008B0DAF">
        <w:rPr>
          <w:rFonts w:cs="Arial"/>
        </w:rPr>
        <w:t xml:space="preserve">by </w:t>
      </w:r>
      <w:proofErr w:type="spellStart"/>
      <w:r w:rsidR="008B0DAF">
        <w:rPr>
          <w:rFonts w:cs="Arial"/>
        </w:rPr>
        <w:t>DFG</w:t>
      </w:r>
      <w:proofErr w:type="spellEnd"/>
      <w:r w:rsidR="008B0DAF">
        <w:rPr>
          <w:rFonts w:cs="Arial"/>
        </w:rPr>
        <w:t xml:space="preserve"> and </w:t>
      </w:r>
      <w:proofErr w:type="spellStart"/>
      <w:r w:rsidR="008B0DAF">
        <w:rPr>
          <w:rFonts w:cs="Arial"/>
        </w:rPr>
        <w:t>HCOTN</w:t>
      </w:r>
      <w:proofErr w:type="spellEnd"/>
      <w:r w:rsidR="00CF2FFE">
        <w:rPr>
          <w:rFonts w:cs="Arial"/>
        </w:rPr>
        <w:t xml:space="preserve">. </w:t>
      </w:r>
      <w:r w:rsidR="004978A6">
        <w:rPr>
          <w:rFonts w:cs="Arial"/>
        </w:rPr>
        <w:t xml:space="preserve">This </w:t>
      </w:r>
      <w:r w:rsidR="00EC69AE">
        <w:rPr>
          <w:rFonts w:cs="Arial"/>
        </w:rPr>
        <w:t>TWA</w:t>
      </w:r>
      <w:r w:rsidR="00CF2FFE">
        <w:rPr>
          <w:rFonts w:cs="Arial"/>
        </w:rPr>
        <w:t xml:space="preserve"> is </w:t>
      </w:r>
      <w:r w:rsidR="00D96EDA">
        <w:rPr>
          <w:rFonts w:cs="Arial"/>
        </w:rPr>
        <w:t xml:space="preserve">expected to be protective </w:t>
      </w:r>
      <w:r w:rsidR="00EC69AE">
        <w:rPr>
          <w:rFonts w:cs="Arial"/>
        </w:rPr>
        <w:t xml:space="preserve">of </w:t>
      </w:r>
      <w:r w:rsidR="00D96EDA">
        <w:rPr>
          <w:rFonts w:cs="Arial"/>
        </w:rPr>
        <w:t>irritation effects in humans</w:t>
      </w:r>
      <w:r w:rsidR="003D676B">
        <w:rPr>
          <w:rFonts w:cs="Arial"/>
        </w:rPr>
        <w:t xml:space="preserve"> </w:t>
      </w:r>
      <w:r>
        <w:rPr>
          <w:rFonts w:cs="Arial"/>
        </w:rPr>
        <w:t>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2018; 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>, 2013</w:t>
      </w:r>
      <w:r w:rsidR="00EC69AE">
        <w:rPr>
          <w:rFonts w:cs="Arial"/>
        </w:rPr>
        <w:t xml:space="preserve">, </w:t>
      </w:r>
      <w:proofErr w:type="spellStart"/>
      <w:r w:rsidR="00EC69AE">
        <w:rPr>
          <w:rFonts w:cs="Arial"/>
        </w:rPr>
        <w:t>HCOTN</w:t>
      </w:r>
      <w:proofErr w:type="spellEnd"/>
      <w:r w:rsidR="00EC69AE">
        <w:rPr>
          <w:rFonts w:cs="Arial"/>
        </w:rPr>
        <w:t>, 2002</w:t>
      </w:r>
      <w:r>
        <w:rPr>
          <w:rFonts w:cs="Arial"/>
        </w:rPr>
        <w:t>)</w:t>
      </w:r>
      <w:r w:rsidR="00CC52E3">
        <w:rPr>
          <w:rFonts w:cs="Arial"/>
        </w:rPr>
        <w:t xml:space="preserve">. </w:t>
      </w:r>
    </w:p>
    <w:p w14:paraId="4B4F95BA" w14:textId="0F52EA6A" w:rsidR="00D96EDA" w:rsidRPr="004C23F4" w:rsidRDefault="00CC52E3" w:rsidP="006639B4">
      <w:pPr>
        <w:rPr>
          <w:rFonts w:cs="Arial"/>
        </w:rPr>
      </w:pPr>
      <w:r>
        <w:rPr>
          <w:rFonts w:cs="Arial"/>
        </w:rPr>
        <w:t>E</w:t>
      </w:r>
      <w:r w:rsidR="00462E33">
        <w:rPr>
          <w:rFonts w:cs="Arial"/>
        </w:rPr>
        <w:t>xposures at 1,000 ppm a</w:t>
      </w:r>
      <w:r w:rsidR="003D676B">
        <w:rPr>
          <w:rFonts w:cs="Arial"/>
        </w:rPr>
        <w:t>re associated with</w:t>
      </w:r>
      <w:r w:rsidR="00462E33">
        <w:rPr>
          <w:rFonts w:cs="Arial"/>
        </w:rPr>
        <w:t xml:space="preserve"> strong pungen</w:t>
      </w:r>
      <w:r w:rsidR="003D676B">
        <w:rPr>
          <w:rFonts w:cs="Arial"/>
        </w:rPr>
        <w:t>cy</w:t>
      </w:r>
      <w:r w:rsidR="00462E33">
        <w:rPr>
          <w:rFonts w:cs="Arial"/>
        </w:rPr>
        <w:t xml:space="preserve"> and nuisance (</w:t>
      </w:r>
      <w:proofErr w:type="spellStart"/>
      <w:r w:rsidR="00462E33">
        <w:rPr>
          <w:rFonts w:cs="Arial"/>
        </w:rPr>
        <w:t>ACGIH</w:t>
      </w:r>
      <w:proofErr w:type="spellEnd"/>
      <w:r w:rsidR="00462E33">
        <w:rPr>
          <w:rFonts w:cs="Arial"/>
        </w:rPr>
        <w:t>, 2018)</w:t>
      </w:r>
      <w:r w:rsidR="00D96EDA">
        <w:rPr>
          <w:rFonts w:cs="Arial"/>
        </w:rPr>
        <w:t xml:space="preserve">. Therefore, </w:t>
      </w:r>
      <w:r w:rsidR="008B0DAF">
        <w:rPr>
          <w:rFonts w:cs="Arial"/>
        </w:rPr>
        <w:t>a</w:t>
      </w:r>
      <w:r w:rsidR="00D96EDA">
        <w:rPr>
          <w:rFonts w:cs="Arial"/>
        </w:rPr>
        <w:t xml:space="preserve"> STEL </w:t>
      </w:r>
      <w:r w:rsidR="00462E33">
        <w:rPr>
          <w:rFonts w:cs="Arial"/>
        </w:rPr>
        <w:t xml:space="preserve">of 150 ppm </w:t>
      </w:r>
      <w:r w:rsidR="008B0DAF">
        <w:rPr>
          <w:rFonts w:cs="Arial"/>
        </w:rPr>
        <w:t xml:space="preserve">adopted from HSE (2002) is </w:t>
      </w:r>
      <w:r w:rsidR="00D96EDA">
        <w:rPr>
          <w:rFonts w:cs="Arial"/>
        </w:rPr>
        <w:t>considered protective of these effects</w:t>
      </w:r>
      <w:r w:rsidR="003B35B7">
        <w:rPr>
          <w:rFonts w:cs="Arial"/>
        </w:rPr>
        <w:t xml:space="preserve">, </w:t>
      </w:r>
      <w:r w:rsidR="008B0DAF">
        <w:rPr>
          <w:rFonts w:cs="Arial"/>
        </w:rPr>
        <w:t xml:space="preserve">given </w:t>
      </w:r>
      <w:r w:rsidR="003B35B7">
        <w:rPr>
          <w:rFonts w:cs="Arial"/>
        </w:rPr>
        <w:t>their progressive nature</w:t>
      </w:r>
      <w:r w:rsidR="00D96EDA">
        <w:rPr>
          <w:rFonts w:cs="Arial"/>
        </w:rPr>
        <w:t>.</w:t>
      </w:r>
    </w:p>
    <w:p w14:paraId="4DF7BB2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6743A51" w14:textId="04507DE7" w:rsidR="006A23C8" w:rsidRPr="00A70823" w:rsidRDefault="006A23C8" w:rsidP="006A23C8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 Classification and Labelling o</w:t>
      </w:r>
      <w:r w:rsidR="00C3163A">
        <w:rPr>
          <w:rFonts w:cs="Arial"/>
        </w:rPr>
        <w:t>f</w:t>
      </w:r>
      <w:r w:rsidRPr="00A70823">
        <w:rPr>
          <w:rFonts w:cs="Arial"/>
        </w:rPr>
        <w:t xml:space="preserve"> Chemicals (GHS).</w:t>
      </w:r>
    </w:p>
    <w:p w14:paraId="43EE12DD" w14:textId="503AC9B5" w:rsidR="006A23C8" w:rsidRPr="00A70823" w:rsidRDefault="006A23C8" w:rsidP="006A23C8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C3163A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27422467" w14:textId="064E1200" w:rsidR="005E6979" w:rsidRPr="004C23F4" w:rsidRDefault="006F61FE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F61FE">
        <w:rPr>
          <w:rFonts w:cs="Arial"/>
        </w:rPr>
        <w:lastRenderedPageBreak/>
        <w:t>A skin notation is not warranted based on the available evidence.</w:t>
      </w:r>
      <w:r w:rsidR="00AC49DD" w:rsidRPr="00AC49DD">
        <w:rPr>
          <w:rFonts w:cs="Arial"/>
        </w:rPr>
        <w:t xml:space="preserve"> </w:t>
      </w:r>
      <w:proofErr w:type="spellStart"/>
      <w:r w:rsidR="005121F2">
        <w:rPr>
          <w:rFonts w:cs="Arial"/>
        </w:rPr>
        <w:t>ACGIH</w:t>
      </w:r>
      <w:proofErr w:type="spellEnd"/>
      <w:r w:rsidR="005121F2">
        <w:rPr>
          <w:rFonts w:cs="Arial"/>
        </w:rPr>
        <w:t xml:space="preserve"> </w:t>
      </w:r>
      <w:r w:rsidR="008A2BF1">
        <w:rPr>
          <w:rFonts w:cs="Arial"/>
        </w:rPr>
        <w:t xml:space="preserve">has </w:t>
      </w:r>
      <w:r w:rsidR="005121F2">
        <w:rPr>
          <w:rFonts w:cs="Arial"/>
        </w:rPr>
        <w:t>not assign</w:t>
      </w:r>
      <w:r w:rsidR="008A2BF1">
        <w:rPr>
          <w:rFonts w:cs="Arial"/>
        </w:rPr>
        <w:t>ed</w:t>
      </w:r>
      <w:r w:rsidR="005121F2">
        <w:rPr>
          <w:rFonts w:cs="Arial"/>
        </w:rPr>
        <w:t xml:space="preserve"> a</w:t>
      </w:r>
      <w:r w:rsidR="00AC49DD">
        <w:rPr>
          <w:rFonts w:cs="Arial"/>
        </w:rPr>
        <w:t xml:space="preserve"> skin notation due to </w:t>
      </w:r>
      <w:r w:rsidR="00F06D99">
        <w:rPr>
          <w:rFonts w:cs="Arial"/>
        </w:rPr>
        <w:t xml:space="preserve">limited </w:t>
      </w:r>
      <w:r w:rsidR="00AC49DD">
        <w:rPr>
          <w:rFonts w:cs="Arial"/>
        </w:rPr>
        <w:t>evidence for appreciable dermal absorption and subsequent systemic toxicity in animals or humans (</w:t>
      </w:r>
      <w:proofErr w:type="spellStart"/>
      <w:r w:rsidR="00AC49DD">
        <w:rPr>
          <w:rFonts w:cs="Arial"/>
        </w:rPr>
        <w:t>ACGIH</w:t>
      </w:r>
      <w:proofErr w:type="spellEnd"/>
      <w:r w:rsidR="00AC49DD">
        <w:rPr>
          <w:rFonts w:cs="Arial"/>
        </w:rPr>
        <w:t xml:space="preserve">, 2018). The </w:t>
      </w:r>
      <w:proofErr w:type="spellStart"/>
      <w:r w:rsidR="00AC49DD">
        <w:rPr>
          <w:rFonts w:cs="Arial"/>
        </w:rPr>
        <w:t>DFG</w:t>
      </w:r>
      <w:proofErr w:type="spellEnd"/>
      <w:r w:rsidR="00AC49DD">
        <w:rPr>
          <w:rFonts w:cs="Arial"/>
        </w:rPr>
        <w:t xml:space="preserve"> (2013) assigns a skin notation by analogy to the structurally related methyl </w:t>
      </w:r>
      <w:proofErr w:type="spellStart"/>
      <w:r w:rsidR="00AC49DD">
        <w:rPr>
          <w:rFonts w:cs="Arial"/>
        </w:rPr>
        <w:t>formate</w:t>
      </w:r>
      <w:proofErr w:type="spellEnd"/>
      <w:r w:rsidR="00AC49DD">
        <w:rPr>
          <w:rFonts w:cs="Arial"/>
        </w:rPr>
        <w:t xml:space="preserve">, which is inconsistent with other </w:t>
      </w:r>
      <w:r w:rsidR="005121F2">
        <w:rPr>
          <w:rFonts w:cs="Arial"/>
        </w:rPr>
        <w:t>primary sources</w:t>
      </w:r>
      <w:r w:rsidR="00AC49DD">
        <w:rPr>
          <w:rFonts w:cs="Arial"/>
        </w:rPr>
        <w:t>.</w:t>
      </w:r>
    </w:p>
    <w:p w14:paraId="2F7B462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40267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2071F7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11195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4E143E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64DE1EF" w14:textId="4850D9E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262D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262D2">
                  <w:t>TWA: 100 ppm (303 mg/</w:t>
                </w:r>
                <w:proofErr w:type="spellStart"/>
                <w:r w:rsidR="00E262D2">
                  <w:t>m</w:t>
                </w:r>
                <w:r w:rsidR="00E262D2" w:rsidRPr="00E262D2">
                  <w:rPr>
                    <w:vertAlign w:val="superscript"/>
                  </w:rPr>
                  <w:t>3</w:t>
                </w:r>
                <w:proofErr w:type="spellEnd"/>
                <w:r w:rsidR="00E262D2">
                  <w:t>)</w:t>
                </w:r>
              </w:sdtContent>
            </w:sdt>
          </w:p>
        </w:tc>
      </w:tr>
      <w:tr w:rsidR="00C978F0" w:rsidRPr="00DA352E" w14:paraId="34FA259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F7941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E480D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808112" w14:textId="79A5774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E262D2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E262D2">
                  <w:t>TLV-STEL: 100 ppm (303 mg/</w:t>
                </w:r>
                <w:proofErr w:type="spellStart"/>
                <w:r w:rsidR="00E262D2">
                  <w:t>m</w:t>
                </w:r>
                <w:r w:rsidR="00E262D2" w:rsidRPr="00E262D2">
                  <w:rPr>
                    <w:vertAlign w:val="superscript"/>
                  </w:rPr>
                  <w:t>3</w:t>
                </w:r>
                <w:proofErr w:type="spellEnd"/>
                <w:r w:rsidR="00E262D2">
                  <w:t>)</w:t>
                </w:r>
              </w:sdtContent>
            </w:sdt>
          </w:p>
        </w:tc>
      </w:tr>
      <w:tr w:rsidR="00C978F0" w:rsidRPr="00DA352E" w14:paraId="5D95E3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956C13" w14:textId="6DFEBDDC" w:rsidR="00C978F0" w:rsidRDefault="00AE7EF6" w:rsidP="003365A5">
            <w:pPr>
              <w:pStyle w:val="Tabletextprimarysource"/>
            </w:pPr>
            <w:r>
              <w:t xml:space="preserve">TLV-STEL intended to protect for irritation of the upper respiratory tract and </w:t>
            </w:r>
            <w:r w:rsidR="00C3163A">
              <w:t>CNS</w:t>
            </w:r>
            <w:r>
              <w:t xml:space="preserve"> effects. </w:t>
            </w:r>
          </w:p>
          <w:p w14:paraId="5A419E65" w14:textId="39BAA473" w:rsidR="00805DCF" w:rsidRDefault="00805DCF" w:rsidP="003365A5">
            <w:pPr>
              <w:pStyle w:val="Tabletextprimarysource"/>
            </w:pPr>
            <w:r>
              <w:t>Summary of data:</w:t>
            </w:r>
          </w:p>
          <w:p w14:paraId="4843ADE3" w14:textId="0FE5EE1F" w:rsidR="00937CDF" w:rsidRDefault="00937CDF" w:rsidP="003365A5">
            <w:pPr>
              <w:pStyle w:val="Tabletextprimarysource"/>
            </w:pPr>
            <w:r>
              <w:t xml:space="preserve">TLV-STEL derived from human sensory data that shows respiratory and eye irritation above </w:t>
            </w:r>
            <w:r w:rsidR="00890833">
              <w:t>330 </w:t>
            </w:r>
            <w:r>
              <w:t xml:space="preserve">ppm, which is supported by signs of irritation in animals at 5,000 ppm. </w:t>
            </w:r>
            <w:r w:rsidR="00890833">
              <w:t>Assigning a</w:t>
            </w:r>
            <w:r>
              <w:t xml:space="preserve"> TLV-</w:t>
            </w:r>
            <w:r w:rsidR="00B9245C">
              <w:t>STEL instead of a TLV-TWA</w:t>
            </w:r>
            <w:r>
              <w:t xml:space="preserve"> not discussed, but previous value of 100 ppm </w:t>
            </w:r>
            <w:r w:rsidR="00890833">
              <w:t xml:space="preserve">was </w:t>
            </w:r>
            <w:r>
              <w:t xml:space="preserve">withdrawn in 2012. No chronic inhalational data </w:t>
            </w:r>
            <w:r w:rsidR="00890833">
              <w:t>reported</w:t>
            </w:r>
            <w:r>
              <w:t>.</w:t>
            </w:r>
          </w:p>
          <w:p w14:paraId="69A366FF" w14:textId="0EAC5B6E" w:rsidR="002313F9" w:rsidRDefault="002313F9" w:rsidP="003365A5">
            <w:pPr>
              <w:pStyle w:val="Tabletextprimarysource"/>
            </w:pPr>
            <w:r>
              <w:t>Human data:</w:t>
            </w:r>
          </w:p>
          <w:p w14:paraId="0E513F42" w14:textId="08FA0229" w:rsidR="00720D82" w:rsidRDefault="00720D82" w:rsidP="002313F9">
            <w:pPr>
              <w:pStyle w:val="Tabletextprimarysource"/>
              <w:numPr>
                <w:ilvl w:val="0"/>
                <w:numId w:val="2"/>
              </w:numPr>
            </w:pPr>
            <w:r>
              <w:t>Odour threshold: 30 ppm; nasal stimulation threshold: 18,800 ppm (n=72)</w:t>
            </w:r>
          </w:p>
          <w:p w14:paraId="62B802F9" w14:textId="4683CDD0" w:rsidR="00FC4B51" w:rsidRDefault="00FC4B51" w:rsidP="002313F9">
            <w:pPr>
              <w:pStyle w:val="Tabletextprimarysource"/>
              <w:numPr>
                <w:ilvl w:val="0"/>
                <w:numId w:val="2"/>
              </w:numPr>
            </w:pPr>
            <w:r>
              <w:t>Upper respiratory irritation at 330</w:t>
            </w:r>
            <w:r w:rsidR="00692198">
              <w:t>–</w:t>
            </w:r>
            <w:r>
              <w:t>1,000 ppm (no further details provided)</w:t>
            </w:r>
          </w:p>
          <w:p w14:paraId="7A318B19" w14:textId="0D1110A3" w:rsidR="00720D82" w:rsidRDefault="00720D82" w:rsidP="002313F9">
            <w:pPr>
              <w:pStyle w:val="Tabletextprimarysource"/>
              <w:numPr>
                <w:ilvl w:val="0"/>
                <w:numId w:val="2"/>
              </w:numPr>
            </w:pPr>
            <w:r>
              <w:t>Weakly pungent at 100 ppm; strongly pungent and annoying at 1,000 ppm (n=48)</w:t>
            </w:r>
          </w:p>
          <w:p w14:paraId="053C4A47" w14:textId="5EF8EAB6" w:rsidR="002313F9" w:rsidRDefault="002313F9" w:rsidP="002313F9">
            <w:pPr>
              <w:pStyle w:val="Tabletextprimarysource"/>
              <w:numPr>
                <w:ilvl w:val="0"/>
                <w:numId w:val="2"/>
              </w:numPr>
            </w:pPr>
            <w:r>
              <w:t>Slight eye irritation at 330 ppm and increasing nasal irritation (no further information); progressive and persistent eye and mucous membrane irritation at 10,560 ppm</w:t>
            </w:r>
          </w:p>
          <w:p w14:paraId="47352B91" w14:textId="218CEA04" w:rsidR="002313F9" w:rsidRDefault="00937CDF" w:rsidP="002313F9">
            <w:pPr>
              <w:pStyle w:val="Tabletextprimarysource"/>
              <w:numPr>
                <w:ilvl w:val="0"/>
                <w:numId w:val="2"/>
              </w:numPr>
            </w:pPr>
            <w:r>
              <w:t>Non-sensitising</w:t>
            </w:r>
            <w:r w:rsidR="00720D82">
              <w:t xml:space="preserve"> in patch test at 4% in petrolatum </w:t>
            </w:r>
            <w:r w:rsidR="003B25E7">
              <w:t>(n=23)</w:t>
            </w:r>
            <w:r w:rsidR="007A6F81">
              <w:t>.</w:t>
            </w:r>
          </w:p>
          <w:p w14:paraId="2EEC5945" w14:textId="0BF638F5" w:rsidR="002313F9" w:rsidRDefault="002313F9" w:rsidP="003365A5">
            <w:pPr>
              <w:pStyle w:val="Tabletextprimarysource"/>
            </w:pPr>
            <w:r>
              <w:t>Animal data:</w:t>
            </w:r>
          </w:p>
          <w:p w14:paraId="621E5270" w14:textId="162EAB85" w:rsidR="00805DCF" w:rsidRDefault="00805DCF" w:rsidP="00805DC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1,800</w:t>
            </w:r>
            <w:r w:rsidR="00602776">
              <w:t>–</w:t>
            </w:r>
            <w:r>
              <w:t>4,290 mg/kg (rats), 2,100 mg/kg (rabbits); median narcotic dose also 2,</w:t>
            </w:r>
            <w:r w:rsidR="00692198">
              <w:t xml:space="preserve">100 </w:t>
            </w:r>
            <w:r>
              <w:t>mg/kg (rabbits)</w:t>
            </w:r>
          </w:p>
          <w:p w14:paraId="0518ED6B" w14:textId="5458A254" w:rsidR="00937CDF" w:rsidRDefault="00805DCF" w:rsidP="00937CDF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3163A">
              <w:t>:</w:t>
            </w:r>
            <w:r>
              <w:t xml:space="preserve"> </w:t>
            </w:r>
            <w:r w:rsidR="00937CDF">
              <w:t>&gt;</w:t>
            </w:r>
            <w:r>
              <w:t>18,300 mg/kg (rabbits</w:t>
            </w:r>
            <w:r w:rsidR="00C3163A">
              <w:t>, dermal</w:t>
            </w:r>
            <w:r>
              <w:t xml:space="preserve">); </w:t>
            </w:r>
            <w:r w:rsidR="004679C7">
              <w:t xml:space="preserve">no- or </w:t>
            </w:r>
            <w:r>
              <w:t>low dermal irritation noted</w:t>
            </w:r>
            <w:r w:rsidR="00937CDF">
              <w:t xml:space="preserve"> </w:t>
            </w:r>
          </w:p>
          <w:p w14:paraId="6A060237" w14:textId="158C046F" w:rsidR="00805DCF" w:rsidRDefault="00937CDF" w:rsidP="00937CDF">
            <w:pPr>
              <w:pStyle w:val="Tabletextprimarysource"/>
              <w:numPr>
                <w:ilvl w:val="0"/>
                <w:numId w:val="1"/>
              </w:numPr>
            </w:pPr>
            <w:r>
              <w:t>Readily hydrolysed upon absorption to formic acid and ethanol, which can pass through alveoli and gastrointestinal wall</w:t>
            </w:r>
          </w:p>
          <w:p w14:paraId="72A4C194" w14:textId="180C0BEC" w:rsidR="004679C7" w:rsidRDefault="004679C7" w:rsidP="004679C7">
            <w:pPr>
              <w:pStyle w:val="Tabletextprimarysource"/>
              <w:numPr>
                <w:ilvl w:val="0"/>
                <w:numId w:val="1"/>
              </w:numPr>
            </w:pPr>
            <w:r>
              <w:t>Fatal by inhalation at 8,000 ppm (rats, 4 h)</w:t>
            </w:r>
            <w:r w:rsidR="00937CDF">
              <w:t xml:space="preserve"> and</w:t>
            </w:r>
            <w:r>
              <w:t xml:space="preserve"> 10,000 ppm (cats, 90 min), </w:t>
            </w:r>
            <w:r w:rsidR="00937CDF">
              <w:t xml:space="preserve">eye irritation and salivation at 5,000 ppm (20 min), </w:t>
            </w:r>
            <w:r>
              <w:t xml:space="preserve">narcosis and pulmonary oedema </w:t>
            </w:r>
            <w:r w:rsidR="00937CDF">
              <w:t>at 10,000 ppm (</w:t>
            </w:r>
            <w:r w:rsidR="00937CDF" w:rsidRPr="00937CDF">
              <w:t>80</w:t>
            </w:r>
            <w:r w:rsidR="00602776">
              <w:t> </w:t>
            </w:r>
            <w:r w:rsidR="00937CDF" w:rsidRPr="00937CDF">
              <w:t>min</w:t>
            </w:r>
            <w:r w:rsidR="00937CDF">
              <w:t>)</w:t>
            </w:r>
          </w:p>
          <w:p w14:paraId="567E51D8" w14:textId="2069322F" w:rsidR="004679C7" w:rsidRDefault="004679C7" w:rsidP="004679C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histopathological or haematological changes when </w:t>
            </w:r>
            <w:r w:rsidR="0032438D">
              <w:t>administered in diet at 100</w:t>
            </w:r>
            <w:r w:rsidR="00692198">
              <w:t>–</w:t>
            </w:r>
            <w:r w:rsidR="0032438D">
              <w:t>1</w:t>
            </w:r>
            <w:r>
              <w:t>,000</w:t>
            </w:r>
            <w:r w:rsidR="00692198">
              <w:t xml:space="preserve"> </w:t>
            </w:r>
            <w:r w:rsidR="005C12F0">
              <w:t>mg/kg/d</w:t>
            </w:r>
            <w:r>
              <w:t xml:space="preserve"> (young rats, 17 </w:t>
            </w:r>
            <w:proofErr w:type="spellStart"/>
            <w:r>
              <w:t>wk</w:t>
            </w:r>
            <w:proofErr w:type="spellEnd"/>
            <w:proofErr w:type="gramStart"/>
            <w:r>
              <w:t>)</w:t>
            </w:r>
            <w:r w:rsidR="0032438D">
              <w:t>;</w:t>
            </w:r>
            <w:proofErr w:type="gramEnd"/>
            <w:r w:rsidR="0032438D">
              <w:t xml:space="preserve"> no evidence for carcinogenicity</w:t>
            </w:r>
          </w:p>
          <w:p w14:paraId="11FEC427" w14:textId="77777777" w:rsidR="004679C7" w:rsidRDefault="004679C7" w:rsidP="004679C7">
            <w:pPr>
              <w:pStyle w:val="Tabletextprimarysource"/>
              <w:numPr>
                <w:ilvl w:val="0"/>
                <w:numId w:val="1"/>
              </w:numPr>
            </w:pPr>
            <w:r>
              <w:t>No higher incidence of lung tumours when maximally tolerated dose (</w:t>
            </w:r>
            <w:proofErr w:type="spellStart"/>
            <w:r>
              <w:t>MTD</w:t>
            </w:r>
            <w:proofErr w:type="spellEnd"/>
            <w:r>
              <w:t xml:space="preserve">) or 20% of </w:t>
            </w:r>
            <w:proofErr w:type="spellStart"/>
            <w:r>
              <w:t>MTD</w:t>
            </w:r>
            <w:proofErr w:type="spellEnd"/>
            <w:r>
              <w:t xml:space="preserve"> was administered intraperitoneally (mice, 24 injections, 8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21A1DE56" w14:textId="6DB9F86E" w:rsidR="004679C7" w:rsidRDefault="004679C7" w:rsidP="004679C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proofErr w:type="gramStart"/>
            <w:r>
              <w:rPr>
                <w:i/>
              </w:rPr>
              <w:t>in vitro</w:t>
            </w:r>
            <w:r w:rsidR="002313F9">
              <w:t>, but</w:t>
            </w:r>
            <w:proofErr w:type="gramEnd"/>
            <w:r w:rsidR="002313F9">
              <w:t xml:space="preserve"> increases </w:t>
            </w:r>
            <w:r>
              <w:t xml:space="preserve">lethal mutations in </w:t>
            </w:r>
            <w:r>
              <w:rPr>
                <w:i/>
              </w:rPr>
              <w:t xml:space="preserve">Drosophila </w:t>
            </w:r>
            <w:r w:rsidR="002313F9">
              <w:t>eggs</w:t>
            </w:r>
            <w:r w:rsidR="007A6F81">
              <w:t>.</w:t>
            </w:r>
          </w:p>
          <w:p w14:paraId="127C919E" w14:textId="0FB80403" w:rsidR="00602776" w:rsidRDefault="00602776" w:rsidP="007333F1">
            <w:pPr>
              <w:pStyle w:val="Tabletextprimarysource"/>
            </w:pPr>
          </w:p>
          <w:p w14:paraId="217EAFB3" w14:textId="3CA31A48" w:rsidR="00602776" w:rsidRDefault="00602776" w:rsidP="007333F1">
            <w:pPr>
              <w:pStyle w:val="Tabletextprimarysource"/>
            </w:pPr>
            <w:r>
              <w:t xml:space="preserve">Several long-term exposure studies indicate </w:t>
            </w:r>
            <w:r w:rsidR="00890833">
              <w:rPr>
                <w:rFonts w:cs="Arial"/>
              </w:rPr>
              <w:t xml:space="preserve">ethyl </w:t>
            </w:r>
            <w:proofErr w:type="spellStart"/>
            <w:r w:rsidR="00890833">
              <w:rPr>
                <w:rFonts w:cs="Arial"/>
              </w:rPr>
              <w:t>formate</w:t>
            </w:r>
            <w:proofErr w:type="spellEnd"/>
            <w:r w:rsidR="00890833">
              <w:rPr>
                <w:rFonts w:cs="Arial"/>
              </w:rPr>
              <w:t xml:space="preserve"> </w:t>
            </w:r>
            <w:r>
              <w:t>is not classifiable as a human carcinogen. Insufficient data to recommend notations for skin absorption or sensitisation.</w:t>
            </w:r>
          </w:p>
          <w:p w14:paraId="5830A77A" w14:textId="7EB6EFF7" w:rsidR="002313F9" w:rsidRPr="00805DCF" w:rsidRDefault="002313F9" w:rsidP="00C3163A">
            <w:pPr>
              <w:pStyle w:val="Tabletextprimarysource"/>
              <w:ind w:left="720"/>
            </w:pPr>
          </w:p>
        </w:tc>
      </w:tr>
      <w:tr w:rsidR="00C978F0" w:rsidRPr="00DA352E" w14:paraId="13BE94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47E8E6" w14:textId="60D6EE1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AE7EF6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E262D2">
                  <w:t xml:space="preserve">MAK: </w:t>
                </w:r>
                <w:r w:rsidR="00805DCF">
                  <w:t>100</w:t>
                </w:r>
                <w:r w:rsidR="00E262D2">
                  <w:t xml:space="preserve"> ppm (</w:t>
                </w:r>
                <w:r w:rsidR="00805DCF">
                  <w:t>310</w:t>
                </w:r>
                <w:r w:rsidR="00E262D2">
                  <w:t xml:space="preserve"> mg/</w:t>
                </w:r>
                <w:proofErr w:type="spellStart"/>
                <w:r w:rsidR="00E262D2">
                  <w:t>m</w:t>
                </w:r>
                <w:r w:rsidR="00E262D2" w:rsidRPr="00E262D2">
                  <w:rPr>
                    <w:vertAlign w:val="superscript"/>
                  </w:rPr>
                  <w:t>3</w:t>
                </w:r>
                <w:proofErr w:type="spellEnd"/>
                <w:r w:rsidR="00E262D2">
                  <w:t>)</w:t>
                </w:r>
              </w:sdtContent>
            </w:sdt>
          </w:p>
        </w:tc>
      </w:tr>
      <w:tr w:rsidR="00C978F0" w:rsidRPr="00DA352E" w14:paraId="1CA7D7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BF24FA" w14:textId="77777777" w:rsidR="00C978F0" w:rsidRDefault="005C12F0" w:rsidP="003365A5">
            <w:pPr>
              <w:pStyle w:val="Tabletextprimarysource"/>
            </w:pPr>
            <w:r>
              <w:t>Summary of additional data:</w:t>
            </w:r>
          </w:p>
          <w:p w14:paraId="23CA15D1" w14:textId="2473BB86" w:rsidR="007A6F81" w:rsidRDefault="005548F9" w:rsidP="00D3794F">
            <w:pPr>
              <w:pStyle w:val="Tabletextprimarysource"/>
            </w:pPr>
            <w:r>
              <w:t>Accumulation and a</w:t>
            </w:r>
            <w:r w:rsidR="005C12F0">
              <w:t xml:space="preserve">cidosis from acidic </w:t>
            </w:r>
            <w:r>
              <w:t>metabolites</w:t>
            </w:r>
            <w:r w:rsidR="005C12F0">
              <w:t xml:space="preserve"> not expected to occur </w:t>
            </w:r>
            <w:r w:rsidR="00C3163A">
              <w:t>&lt;</w:t>
            </w:r>
            <w:r>
              <w:t>1</w:t>
            </w:r>
            <w:r w:rsidR="005C12F0">
              <w:t>00 ppm</w:t>
            </w:r>
            <w:r w:rsidR="00F76E6D">
              <w:t xml:space="preserve">. Assuming a 70 kg worker with a respiratory volume of 10 </w:t>
            </w:r>
            <w:proofErr w:type="spellStart"/>
            <w:r w:rsidR="00F76E6D">
              <w:t>m</w:t>
            </w:r>
            <w:r w:rsidR="00F76E6D">
              <w:rPr>
                <w:vertAlign w:val="superscript"/>
              </w:rPr>
              <w:t>3</w:t>
            </w:r>
            <w:proofErr w:type="spellEnd"/>
            <w:r w:rsidR="00F76E6D">
              <w:t xml:space="preserve"> during an 8 h shift</w:t>
            </w:r>
            <w:r w:rsidR="00EA5852">
              <w:t xml:space="preserve"> and 100% absorption</w:t>
            </w:r>
            <w:r w:rsidR="00F76E6D">
              <w:t xml:space="preserve">, </w:t>
            </w:r>
            <w:r w:rsidR="00EA5852">
              <w:t>exposure of 100</w:t>
            </w:r>
            <w:r w:rsidR="00692198">
              <w:t xml:space="preserve"> </w:t>
            </w:r>
            <w:r w:rsidR="00EA5852">
              <w:t xml:space="preserve">ppm </w:t>
            </w:r>
            <w:r w:rsidR="00EA5852">
              <w:rPr>
                <w:rFonts w:cs="Arial"/>
              </w:rPr>
              <w:t>≡</w:t>
            </w:r>
            <w:r w:rsidR="00EA5852">
              <w:t>5.4 mg/kg/h, which is significantly lower than relevant elimination rates of either metabolite, formic acid (34 mg/kg/h) and ethanol (85</w:t>
            </w:r>
            <w:r w:rsidR="00692198">
              <w:t>–</w:t>
            </w:r>
            <w:r w:rsidR="00EA5852">
              <w:t>100 mg/kg/h).</w:t>
            </w:r>
            <w:r w:rsidR="006A57C0">
              <w:t xml:space="preserve"> </w:t>
            </w:r>
            <w:r w:rsidR="005C12F0">
              <w:t>MAK therefore retained</w:t>
            </w:r>
            <w:r w:rsidR="00F76E6D">
              <w:t xml:space="preserve">. </w:t>
            </w:r>
          </w:p>
          <w:p w14:paraId="12ADF7D5" w14:textId="38EEFCA1" w:rsidR="005548F9" w:rsidRDefault="005548F9" w:rsidP="005548F9">
            <w:pPr>
              <w:pStyle w:val="Tabletextprimarysource"/>
            </w:pPr>
            <w:r>
              <w:t>Human data:</w:t>
            </w:r>
          </w:p>
          <w:p w14:paraId="435E8BDF" w14:textId="73F0DD66" w:rsidR="005548F9" w:rsidRDefault="005548F9" w:rsidP="005548F9">
            <w:pPr>
              <w:pStyle w:val="Tabletextprimarysource"/>
              <w:numPr>
                <w:ilvl w:val="0"/>
                <w:numId w:val="1"/>
              </w:numPr>
            </w:pPr>
            <w:r>
              <w:t>Slight eye irritation and rapidly progressing nasal irritation at 330 ppm persisted for 4 h following exposure (duration not specified)</w:t>
            </w:r>
            <w:r w:rsidR="007A6F81">
              <w:t>.</w:t>
            </w:r>
          </w:p>
          <w:p w14:paraId="7D3EAAFE" w14:textId="77777777" w:rsidR="005C12F0" w:rsidRDefault="005C12F0" w:rsidP="005C12F0">
            <w:pPr>
              <w:pStyle w:val="Tabletextprimarysource"/>
            </w:pPr>
            <w:r>
              <w:t>Animal data:</w:t>
            </w:r>
          </w:p>
          <w:p w14:paraId="5461EE67" w14:textId="33B976A1" w:rsidR="005C12F0" w:rsidRDefault="005C12F0" w:rsidP="005C12F0">
            <w:pPr>
              <w:pStyle w:val="Tabletextprimarysource"/>
              <w:numPr>
                <w:ilvl w:val="0"/>
                <w:numId w:val="1"/>
              </w:numPr>
            </w:pPr>
            <w:r>
              <w:t>17</w:t>
            </w:r>
            <w:r w:rsidR="00692198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feeding study (also </w:t>
            </w:r>
            <w:r w:rsidR="00C05FC2">
              <w:t>reported by</w:t>
            </w:r>
            <w:r>
              <w:t xml:space="preserve"> </w:t>
            </w:r>
            <w:proofErr w:type="spellStart"/>
            <w:r>
              <w:t>ACGIH</w:t>
            </w:r>
            <w:proofErr w:type="spellEnd"/>
            <w:r>
              <w:t>) considered unsuitable due to volatility of the substance</w:t>
            </w:r>
            <w:r w:rsidR="00692198">
              <w:t>.</w:t>
            </w:r>
          </w:p>
          <w:p w14:paraId="6941342B" w14:textId="77777777" w:rsidR="00602776" w:rsidRDefault="00602776" w:rsidP="007333F1">
            <w:pPr>
              <w:pStyle w:val="Tabletextprimarysource"/>
            </w:pPr>
          </w:p>
          <w:p w14:paraId="6D3FC868" w14:textId="77777777" w:rsidR="00602776" w:rsidRDefault="00602776" w:rsidP="00602776">
            <w:pPr>
              <w:pStyle w:val="Tabletextprimarysource"/>
            </w:pPr>
            <w:r>
              <w:t xml:space="preserve">No peak limitation derived due to absence of </w:t>
            </w:r>
            <w:proofErr w:type="spellStart"/>
            <w:r>
              <w:t>NOAEL</w:t>
            </w:r>
            <w:proofErr w:type="spellEnd"/>
            <w:r>
              <w:t xml:space="preserve"> for irritation. Toxic effects on reproduction reported </w:t>
            </w:r>
            <w:r>
              <w:rPr>
                <w:i/>
              </w:rPr>
              <w:t>in vitro</w:t>
            </w:r>
            <w:r>
              <w:t xml:space="preserve"> not expected if MAK is observed. Skin notation is recommended by analogy to structurally related methyl </w:t>
            </w:r>
            <w:proofErr w:type="spellStart"/>
            <w:r>
              <w:t>formate</w:t>
            </w:r>
            <w:proofErr w:type="spellEnd"/>
            <w:r>
              <w:t>. Insufficient data to recommend a sensitiser notation.</w:t>
            </w:r>
          </w:p>
          <w:p w14:paraId="114EF208" w14:textId="554C4007" w:rsidR="00602776" w:rsidRPr="00DA352E" w:rsidRDefault="00602776" w:rsidP="007333F1">
            <w:pPr>
              <w:pStyle w:val="Tabletextprimarysource"/>
            </w:pPr>
          </w:p>
        </w:tc>
      </w:tr>
      <w:tr w:rsidR="00C978F0" w:rsidRPr="00DA352E" w14:paraId="09AECF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0324FC" w14:textId="0C54863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E262D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E262D2">
                  <w:t>NA</w:t>
                </w:r>
                <w:proofErr w:type="spellEnd"/>
              </w:sdtContent>
            </w:sdt>
          </w:p>
        </w:tc>
      </w:tr>
      <w:tr w:rsidR="00C978F0" w:rsidRPr="00DA352E" w14:paraId="6D1CC8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58A0C8" w14:textId="1EF686A2" w:rsidR="00C978F0" w:rsidRPr="00DA352E" w:rsidRDefault="00E262D2" w:rsidP="003365A5">
            <w:pPr>
              <w:pStyle w:val="Tabletextprimarysource"/>
            </w:pPr>
            <w:r>
              <w:t>No report</w:t>
            </w:r>
            <w:r w:rsidR="00C3163A">
              <w:t>.</w:t>
            </w:r>
          </w:p>
        </w:tc>
      </w:tr>
      <w:tr w:rsidR="00DA352E" w:rsidRPr="00DA352E" w14:paraId="592350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4EABD9" w14:textId="73F93F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E262D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E262D2">
                  <w:t>NA</w:t>
                </w:r>
                <w:proofErr w:type="spellEnd"/>
              </w:sdtContent>
            </w:sdt>
          </w:p>
        </w:tc>
      </w:tr>
      <w:tr w:rsidR="00DA352E" w:rsidRPr="00DA352E" w14:paraId="543932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D68F03" w14:textId="218916A7" w:rsidR="00DA352E" w:rsidRPr="00DA352E" w:rsidRDefault="00E262D2" w:rsidP="003365A5">
            <w:pPr>
              <w:pStyle w:val="Tabletextprimarysource"/>
            </w:pPr>
            <w:r>
              <w:t>No report</w:t>
            </w:r>
            <w:r w:rsidR="00C3163A">
              <w:t>.</w:t>
            </w:r>
          </w:p>
        </w:tc>
      </w:tr>
      <w:tr w:rsidR="00DA352E" w:rsidRPr="00DA352E" w14:paraId="4323A7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5C75E5" w14:textId="562C0FB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E262D2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B231C8">
                  <w:t xml:space="preserve">8-hour </w:t>
                </w:r>
                <w:r w:rsidR="00E262D2" w:rsidRPr="00E262D2">
                  <w:t>TWA</w:t>
                </w:r>
                <w:r w:rsidR="00E262D2">
                  <w:t>: 100 ppm (300 mg/</w:t>
                </w:r>
                <w:proofErr w:type="spellStart"/>
                <w:r w:rsidR="00E262D2">
                  <w:t>m</w:t>
                </w:r>
                <w:r w:rsidR="00E262D2" w:rsidRPr="00E262D2">
                  <w:rPr>
                    <w:vertAlign w:val="superscript"/>
                  </w:rPr>
                  <w:t>3</w:t>
                </w:r>
                <w:proofErr w:type="spellEnd"/>
                <w:r w:rsidR="00E262D2">
                  <w:t>)</w:t>
                </w:r>
              </w:sdtContent>
            </w:sdt>
          </w:p>
        </w:tc>
      </w:tr>
      <w:tr w:rsidR="00DA352E" w:rsidRPr="00DA352E" w14:paraId="21F631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845325" w14:textId="4EDD05C3" w:rsidR="00B231C8" w:rsidRDefault="00B231C8" w:rsidP="003365A5">
            <w:pPr>
              <w:pStyle w:val="Tabletextprimarysource"/>
            </w:pPr>
            <w:r>
              <w:t>Summary of additional data:</w:t>
            </w:r>
          </w:p>
          <w:p w14:paraId="1BDD150C" w14:textId="2E94DD79" w:rsidR="00B231C8" w:rsidRDefault="00B231C8" w:rsidP="003365A5">
            <w:pPr>
              <w:pStyle w:val="Tabletextprimarysource"/>
            </w:pPr>
            <w:r>
              <w:t xml:space="preserve">Available toxicological database considered insufficient to make health-based recommendation on current administrative </w:t>
            </w:r>
            <w:r w:rsidR="00C3163A">
              <w:t>OEL</w:t>
            </w:r>
            <w:r>
              <w:t xml:space="preserve">. However, no accumulation of the substance or its metabolites is expected </w:t>
            </w:r>
            <w:r w:rsidR="00EA5852">
              <w:t>if the current OEL is observed</w:t>
            </w:r>
            <w:r w:rsidR="00C3163A">
              <w:t xml:space="preserve"> and </w:t>
            </w:r>
            <w:r w:rsidR="00EA5852">
              <w:t>protect</w:t>
            </w:r>
            <w:r w:rsidR="00C3163A">
              <w:t>ive</w:t>
            </w:r>
            <w:r w:rsidR="00EA5852">
              <w:t xml:space="preserve"> for systemic </w:t>
            </w:r>
            <w:r w:rsidR="00890833">
              <w:t>adverse effects</w:t>
            </w:r>
            <w:r w:rsidR="00EA5852">
              <w:t>.</w:t>
            </w:r>
          </w:p>
          <w:p w14:paraId="1496EE71" w14:textId="60E71352" w:rsidR="00D3794F" w:rsidRDefault="00D3794F" w:rsidP="003365A5">
            <w:pPr>
              <w:pStyle w:val="Tabletextprimarysource"/>
            </w:pPr>
            <w:r>
              <w:t>Animal data:</w:t>
            </w:r>
          </w:p>
          <w:p w14:paraId="73321719" w14:textId="02FDB7F0" w:rsidR="00685511" w:rsidRDefault="00685511" w:rsidP="00D3794F">
            <w:pPr>
              <w:pStyle w:val="Tabletextprimarysource"/>
              <w:numPr>
                <w:ilvl w:val="0"/>
                <w:numId w:val="1"/>
              </w:numPr>
            </w:pPr>
            <w:r>
              <w:t>Inhalation of saturated vapour caused mortality after 5 min (rats, guinea pigs); tremors and death occurred from circulatory and respiratory failure (guinea pigs)</w:t>
            </w:r>
          </w:p>
          <w:p w14:paraId="7AA058C1" w14:textId="30357A7C" w:rsidR="00685511" w:rsidRDefault="00C3163A" w:rsidP="00D3794F">
            <w:pPr>
              <w:pStyle w:val="Tabletextprimarysource"/>
              <w:numPr>
                <w:ilvl w:val="0"/>
                <w:numId w:val="1"/>
              </w:numPr>
            </w:pPr>
            <w:r>
              <w:t>CNS</w:t>
            </w:r>
            <w:r w:rsidR="00685511">
              <w:t xml:space="preserve"> depression and pneumonia at 12,800</w:t>
            </w:r>
            <w:r w:rsidR="00354C46">
              <w:t>–</w:t>
            </w:r>
            <w:r w:rsidR="00685511">
              <w:t>41,600 ppm (rabbits, guinea pigs, &gt;1 min</w:t>
            </w:r>
            <w:proofErr w:type="gramStart"/>
            <w:r w:rsidR="00685511">
              <w:t>);</w:t>
            </w:r>
            <w:proofErr w:type="gramEnd"/>
            <w:r w:rsidR="00685511">
              <w:t xml:space="preserve"> </w:t>
            </w:r>
          </w:p>
          <w:p w14:paraId="63611CC3" w14:textId="51F65BF1" w:rsidR="00D3794F" w:rsidRDefault="00D3794F" w:rsidP="00D3794F">
            <w:pPr>
              <w:pStyle w:val="Tabletextprimarysource"/>
              <w:numPr>
                <w:ilvl w:val="0"/>
                <w:numId w:val="1"/>
              </w:numPr>
            </w:pPr>
            <w:r>
              <w:t>Pulmonary oedema at 10,000 ppm (dogs, 4 h)</w:t>
            </w:r>
          </w:p>
          <w:p w14:paraId="35A102B5" w14:textId="706A7FEA" w:rsidR="00D3794F" w:rsidRDefault="00D3794F" w:rsidP="0068551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Severe burns when 0.02 mL of </w:t>
            </w:r>
            <w:r w:rsidR="00890833">
              <w:t xml:space="preserve">undiluted </w:t>
            </w:r>
            <w:r w:rsidR="00890833">
              <w:rPr>
                <w:rFonts w:cs="Arial"/>
              </w:rPr>
              <w:t xml:space="preserve">ethyl </w:t>
            </w:r>
            <w:proofErr w:type="spellStart"/>
            <w:r w:rsidR="00890833">
              <w:rPr>
                <w:rFonts w:cs="Arial"/>
              </w:rPr>
              <w:t>formate</w:t>
            </w:r>
            <w:proofErr w:type="spellEnd"/>
            <w:r w:rsidR="00890833">
              <w:rPr>
                <w:rFonts w:cs="Arial"/>
              </w:rPr>
              <w:t xml:space="preserve"> </w:t>
            </w:r>
            <w:r>
              <w:t>applied to rabbit eyes</w:t>
            </w:r>
          </w:p>
          <w:p w14:paraId="0024E573" w14:textId="5833A6D2" w:rsidR="00B231C8" w:rsidRPr="00B231C8" w:rsidRDefault="00B231C8" w:rsidP="00B231C8">
            <w:pPr>
              <w:pStyle w:val="ListParagraph"/>
              <w:numPr>
                <w:ilvl w:val="0"/>
                <w:numId w:val="1"/>
              </w:numPr>
            </w:pPr>
            <w:r>
              <w:t xml:space="preserve">Repeat intraperitoneal injection study (also </w:t>
            </w:r>
            <w:r w:rsidR="00CF2FFE">
              <w:t xml:space="preserve">reported </w:t>
            </w:r>
            <w:r w:rsidR="00A15BD6">
              <w:t xml:space="preserve">by </w:t>
            </w:r>
            <w:proofErr w:type="spellStart"/>
            <w:r>
              <w:t>ACGIH</w:t>
            </w:r>
            <w:proofErr w:type="spellEnd"/>
            <w:r>
              <w:t>) showed n</w:t>
            </w:r>
            <w:r w:rsidRPr="00B231C8">
              <w:t>o higher</w:t>
            </w:r>
            <w:r>
              <w:t xml:space="preserve"> incidence of lung tumours at total doses of 2,400</w:t>
            </w:r>
            <w:r w:rsidR="00354C46">
              <w:t>–</w:t>
            </w:r>
            <w:r>
              <w:t>12,000 mg/kg</w:t>
            </w:r>
            <w:r w:rsidRPr="00B231C8">
              <w:t xml:space="preserve"> (mice, 24 injections, 8 </w:t>
            </w:r>
            <w:proofErr w:type="spellStart"/>
            <w:r w:rsidRPr="00B231C8">
              <w:t>wk</w:t>
            </w:r>
            <w:proofErr w:type="spellEnd"/>
            <w:r w:rsidRPr="00B231C8">
              <w:t>)</w:t>
            </w:r>
            <w:r>
              <w:t>, but considered insufficiently documented to draw conclusion on carcinogenicity</w:t>
            </w:r>
          </w:p>
          <w:p w14:paraId="49F04790" w14:textId="0C9320F5" w:rsidR="00B231C8" w:rsidRPr="00DA352E" w:rsidRDefault="00F76E6D" w:rsidP="0068551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genotoxicity data available for </w:t>
            </w:r>
            <w:r>
              <w:rPr>
                <w:i/>
              </w:rPr>
              <w:t xml:space="preserve">in vivo </w:t>
            </w:r>
            <w:r>
              <w:t xml:space="preserve">or </w:t>
            </w:r>
            <w:r>
              <w:rPr>
                <w:i/>
              </w:rPr>
              <w:t>in vitro</w:t>
            </w:r>
            <w:r>
              <w:t xml:space="preserve"> mammalian test systems</w:t>
            </w:r>
            <w:r w:rsidR="00354C46">
              <w:t>.</w:t>
            </w:r>
          </w:p>
        </w:tc>
      </w:tr>
    </w:tbl>
    <w:p w14:paraId="7CC4ECCE" w14:textId="77777777" w:rsidR="00A20751" w:rsidRPr="004C23F4" w:rsidRDefault="00A20751" w:rsidP="00354C46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671C8CA6" w14:textId="77777777" w:rsidTr="00C3163A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9BD8B4E" w14:textId="77777777" w:rsidR="004966BF" w:rsidRPr="00263255" w:rsidRDefault="004966BF" w:rsidP="00C3163A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795FB89" w14:textId="77777777" w:rsidR="004966BF" w:rsidRPr="00263255" w:rsidRDefault="004966BF" w:rsidP="00C3163A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DFAC8E" w14:textId="77777777" w:rsidR="004966BF" w:rsidRPr="00263255" w:rsidRDefault="004966BF" w:rsidP="00C3163A">
            <w:pPr>
              <w:pStyle w:val="Tableheader"/>
              <w:keepNext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42EBB21B" w14:textId="77777777" w:rsidR="004966BF" w:rsidRPr="00263255" w:rsidRDefault="004966BF" w:rsidP="00C3163A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4524656D" w14:textId="77777777" w:rsidTr="00C3163A">
        <w:trPr>
          <w:cantSplit/>
        </w:trPr>
        <w:tc>
          <w:tcPr>
            <w:tcW w:w="1497" w:type="dxa"/>
          </w:tcPr>
          <w:p w14:paraId="4D4CAA26" w14:textId="77777777" w:rsidR="004966BF" w:rsidRPr="004C23F4" w:rsidRDefault="004966BF" w:rsidP="00C3163A">
            <w:pPr>
              <w:pStyle w:val="Tablefont"/>
              <w:keepNext/>
            </w:pPr>
            <w:r>
              <w:t>HSE</w:t>
            </w:r>
          </w:p>
        </w:tc>
        <w:tc>
          <w:tcPr>
            <w:tcW w:w="422" w:type="dxa"/>
          </w:tcPr>
          <w:p w14:paraId="11285896" w14:textId="21218083" w:rsidR="004966BF" w:rsidRPr="00CE617F" w:rsidRDefault="00000000" w:rsidP="00C3163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7792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DB31BB" w14:textId="42EC122F" w:rsidR="004966BF" w:rsidRPr="004C23F4" w:rsidRDefault="0077792B" w:rsidP="00C3163A">
            <w:pPr>
              <w:pStyle w:val="Tablefont"/>
              <w:keepNext/>
            </w:pPr>
            <w:r>
              <w:t>2002</w:t>
            </w:r>
          </w:p>
        </w:tc>
        <w:tc>
          <w:tcPr>
            <w:tcW w:w="6446" w:type="dxa"/>
          </w:tcPr>
          <w:p w14:paraId="3F6A7EE9" w14:textId="77777777" w:rsidR="00986B6A" w:rsidRDefault="0077792B" w:rsidP="007333F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TWA: </w:t>
            </w:r>
            <w:r w:rsidRPr="0077792B">
              <w:t>100</w:t>
            </w:r>
            <w:r>
              <w:t xml:space="preserve"> ppm</w:t>
            </w:r>
            <w:r w:rsidRPr="0077792B">
              <w:t xml:space="preserve"> </w:t>
            </w:r>
            <w:r>
              <w:t>(</w:t>
            </w:r>
            <w:r w:rsidRPr="0077792B">
              <w:t>308</w:t>
            </w:r>
            <w:r>
              <w:t xml:space="preserve">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C3163A">
              <w:t>)</w:t>
            </w:r>
          </w:p>
          <w:p w14:paraId="1B0FB877" w14:textId="66806252" w:rsidR="004966BF" w:rsidRPr="0077792B" w:rsidRDefault="0077792B" w:rsidP="007333F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STEL:</w:t>
            </w:r>
            <w:r w:rsidRPr="0077792B">
              <w:t xml:space="preserve"> 150 </w:t>
            </w:r>
            <w:r>
              <w:t>ppm (</w:t>
            </w:r>
            <w:r w:rsidRPr="0077792B">
              <w:t>462</w:t>
            </w:r>
            <w:r>
              <w:t xml:space="preserve">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986B6A">
              <w:t>.</w:t>
            </w:r>
          </w:p>
        </w:tc>
      </w:tr>
      <w:tr w:rsidR="004966BF" w:rsidRPr="004C23F4" w14:paraId="17AAFCBA" w14:textId="77777777" w:rsidTr="00C3163A">
        <w:trPr>
          <w:cantSplit/>
        </w:trPr>
        <w:tc>
          <w:tcPr>
            <w:tcW w:w="1497" w:type="dxa"/>
          </w:tcPr>
          <w:p w14:paraId="50FD47DC" w14:textId="77777777" w:rsidR="004966BF" w:rsidRPr="004C23F4" w:rsidRDefault="004966BF" w:rsidP="00C3163A">
            <w:pPr>
              <w:pStyle w:val="Tablefont"/>
              <w:keepNext/>
            </w:pPr>
            <w:proofErr w:type="spellStart"/>
            <w:r>
              <w:t>NTP</w:t>
            </w:r>
            <w:proofErr w:type="spellEnd"/>
          </w:p>
        </w:tc>
        <w:tc>
          <w:tcPr>
            <w:tcW w:w="422" w:type="dxa"/>
          </w:tcPr>
          <w:p w14:paraId="1FBAB6BA" w14:textId="58A90AA6" w:rsidR="004966BF" w:rsidRPr="00CE617F" w:rsidRDefault="00000000" w:rsidP="00C3163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7792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900B9A9" w14:textId="1A725160" w:rsidR="004966BF" w:rsidRPr="004C23F4" w:rsidRDefault="0077792B" w:rsidP="00C3163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6" w:type="dxa"/>
          </w:tcPr>
          <w:p w14:paraId="0BDF7C2A" w14:textId="5F22E116" w:rsidR="004966BF" w:rsidRPr="004C23F4" w:rsidRDefault="0077792B" w:rsidP="007333F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77792B">
              <w:rPr>
                <w:rStyle w:val="checkbox"/>
                <w:rFonts w:ascii="Arial" w:hAnsi="Arial" w:cs="Arial"/>
              </w:rPr>
              <w:t xml:space="preserve">Negative </w:t>
            </w:r>
            <w:r>
              <w:rPr>
                <w:rStyle w:val="checkbox"/>
                <w:rFonts w:ascii="Arial" w:hAnsi="Arial" w:cs="Arial"/>
              </w:rPr>
              <w:t>Ames test</w:t>
            </w:r>
            <w:r w:rsidR="00986B6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90CF312" w14:textId="77777777" w:rsidTr="00C3163A">
        <w:trPr>
          <w:cantSplit/>
        </w:trPr>
        <w:tc>
          <w:tcPr>
            <w:tcW w:w="1497" w:type="dxa"/>
          </w:tcPr>
          <w:p w14:paraId="5ECA9881" w14:textId="77777777" w:rsidR="004966BF" w:rsidRDefault="004966BF" w:rsidP="00C3163A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1D49808E" w14:textId="0FB0735B" w:rsidR="004966BF" w:rsidRDefault="00000000" w:rsidP="00C3163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7792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7D58C72" w14:textId="4405E2B8" w:rsidR="004966BF" w:rsidRPr="004C23F4" w:rsidRDefault="0077792B" w:rsidP="00C3163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4679C87B" w14:textId="4AF6AE92" w:rsidR="004966BF" w:rsidRPr="004C23F4" w:rsidRDefault="0077792B" w:rsidP="007333F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 w:rsidRPr="0077792B">
              <w:rPr>
                <w:rStyle w:val="checkbox"/>
                <w:rFonts w:ascii="Arial" w:hAnsi="Arial" w:cs="Arial"/>
              </w:rPr>
              <w:t>IDLH</w:t>
            </w:r>
            <w:proofErr w:type="spellEnd"/>
            <w:r w:rsidRPr="0077792B">
              <w:rPr>
                <w:rStyle w:val="checkbox"/>
                <w:rFonts w:ascii="Arial" w:hAnsi="Arial" w:cs="Arial"/>
              </w:rPr>
              <w:t xml:space="preserve"> based on acute inha</w:t>
            </w:r>
            <w:r>
              <w:rPr>
                <w:rStyle w:val="checkbox"/>
                <w:rFonts w:ascii="Arial" w:hAnsi="Arial" w:cs="Arial"/>
              </w:rPr>
              <w:t xml:space="preserve">lation toxicity data in animals; </w:t>
            </w:r>
            <w:r w:rsidRPr="0077792B">
              <w:rPr>
                <w:rStyle w:val="checkbox"/>
                <w:rFonts w:ascii="Arial" w:hAnsi="Arial" w:cs="Arial"/>
              </w:rPr>
              <w:t xml:space="preserve">conservative value due to lack of relevant acute toxicity data for workers </w:t>
            </w:r>
            <w:r>
              <w:rPr>
                <w:rStyle w:val="checkbox"/>
                <w:rFonts w:ascii="Arial" w:hAnsi="Arial" w:cs="Arial"/>
              </w:rPr>
              <w:t>at concentrations &gt;330 ppm.</w:t>
            </w:r>
          </w:p>
        </w:tc>
      </w:tr>
    </w:tbl>
    <w:bookmarkEnd w:id="0"/>
    <w:p w14:paraId="75E4645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DA7AB9F" w14:textId="77777777" w:rsidTr="00685511">
        <w:trPr>
          <w:trHeight w:val="454"/>
          <w:tblHeader/>
        </w:trPr>
        <w:tc>
          <w:tcPr>
            <w:tcW w:w="6603" w:type="dxa"/>
            <w:vAlign w:val="center"/>
          </w:tcPr>
          <w:p w14:paraId="55EB451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3DC730CB" w14:textId="20CD1022" w:rsidR="002E0D61" w:rsidRDefault="00B72EA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C4D4C8F" w14:textId="77777777" w:rsidTr="00685511">
        <w:trPr>
          <w:trHeight w:val="454"/>
        </w:trPr>
        <w:tc>
          <w:tcPr>
            <w:tcW w:w="6603" w:type="dxa"/>
            <w:vAlign w:val="center"/>
          </w:tcPr>
          <w:p w14:paraId="446FBE5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3" w:type="dxa"/>
                <w:vAlign w:val="center"/>
              </w:tcPr>
              <w:p w14:paraId="0DE6DA31" w14:textId="3EF01DF3" w:rsidR="008A36CF" w:rsidRDefault="00B72EA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1E98F2B" w14:textId="77777777" w:rsidTr="0068551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6C7F0414" w14:textId="0860BEEC" w:rsidR="008A36CF" w:rsidRPr="006901A2" w:rsidRDefault="00B72EA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FCC767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A755BC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9A5D7E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34EE1F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43ED60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EF9F6E8" w14:textId="77777777" w:rsidTr="00812887">
        <w:trPr>
          <w:cantSplit/>
        </w:trPr>
        <w:tc>
          <w:tcPr>
            <w:tcW w:w="3227" w:type="dxa"/>
          </w:tcPr>
          <w:p w14:paraId="5A59BC5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F9C6C77" w14:textId="4A39391B" w:rsidR="00687890" w:rsidRPr="00DD2F9B" w:rsidRDefault="00E262D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1A462FD" w14:textId="77777777" w:rsidTr="00812887">
        <w:trPr>
          <w:cantSplit/>
        </w:trPr>
        <w:tc>
          <w:tcPr>
            <w:tcW w:w="3227" w:type="dxa"/>
          </w:tcPr>
          <w:p w14:paraId="06820EC8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67DC2BB" w14:textId="0CA887DB" w:rsidR="007925F0" w:rsidRPr="00DD2F9B" w:rsidRDefault="0007659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00623569" w14:textId="77777777" w:rsidTr="00812887">
        <w:trPr>
          <w:cantSplit/>
        </w:trPr>
        <w:tc>
          <w:tcPr>
            <w:tcW w:w="3227" w:type="dxa"/>
          </w:tcPr>
          <w:p w14:paraId="7A7662B1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AB517E3" w14:textId="682B2A4E" w:rsidR="00AF483F" w:rsidRPr="00DD2F9B" w:rsidRDefault="0007659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CA70DF7" w14:textId="77777777" w:rsidTr="00812887">
        <w:trPr>
          <w:cantSplit/>
        </w:trPr>
        <w:tc>
          <w:tcPr>
            <w:tcW w:w="3227" w:type="dxa"/>
          </w:tcPr>
          <w:p w14:paraId="52A7BDB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8269ECF" w14:textId="0ACC348F" w:rsidR="00687890" w:rsidRPr="00DD2F9B" w:rsidRDefault="0007659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A851FC3" w14:textId="77777777" w:rsidTr="00812887">
        <w:trPr>
          <w:cantSplit/>
        </w:trPr>
        <w:tc>
          <w:tcPr>
            <w:tcW w:w="3227" w:type="dxa"/>
          </w:tcPr>
          <w:p w14:paraId="3FCFA15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B6E1E17" w14:textId="43B8A79E" w:rsidR="00E41A26" w:rsidRPr="00DD2F9B" w:rsidRDefault="0007659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5DF34B3" w14:textId="77777777" w:rsidTr="00812887">
        <w:trPr>
          <w:cantSplit/>
        </w:trPr>
        <w:tc>
          <w:tcPr>
            <w:tcW w:w="3227" w:type="dxa"/>
          </w:tcPr>
          <w:p w14:paraId="102059A7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41C1F07" w14:textId="296ACB7A" w:rsidR="002E0D61" w:rsidRPr="00DD2F9B" w:rsidRDefault="0007659D" w:rsidP="00DD2F9B">
            <w:pPr>
              <w:pStyle w:val="Tablefont"/>
            </w:pPr>
            <w:r w:rsidRPr="0007659D">
              <w:t xml:space="preserve">Carcinogenicity – </w:t>
            </w:r>
            <w:proofErr w:type="spellStart"/>
            <w:r w:rsidRPr="0007659D">
              <w:t>A4</w:t>
            </w:r>
            <w:proofErr w:type="spellEnd"/>
          </w:p>
        </w:tc>
      </w:tr>
      <w:tr w:rsidR="002E0D61" w:rsidRPr="004C23F4" w14:paraId="71A6E921" w14:textId="77777777" w:rsidTr="00812887">
        <w:trPr>
          <w:cantSplit/>
        </w:trPr>
        <w:tc>
          <w:tcPr>
            <w:tcW w:w="3227" w:type="dxa"/>
          </w:tcPr>
          <w:p w14:paraId="5EF572B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93FDA50" w14:textId="257E6043" w:rsidR="002E0D61" w:rsidRPr="00DD2F9B" w:rsidRDefault="0007659D" w:rsidP="00DD2F9B">
            <w:pPr>
              <w:pStyle w:val="Tablefont"/>
            </w:pPr>
            <w:r w:rsidRPr="0007659D">
              <w:t>H (skin)</w:t>
            </w:r>
          </w:p>
        </w:tc>
      </w:tr>
      <w:tr w:rsidR="002E0D61" w:rsidRPr="004C23F4" w14:paraId="416AC9E1" w14:textId="77777777" w:rsidTr="00812887">
        <w:trPr>
          <w:cantSplit/>
        </w:trPr>
        <w:tc>
          <w:tcPr>
            <w:tcW w:w="3227" w:type="dxa"/>
          </w:tcPr>
          <w:p w14:paraId="2B4A8E6D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646B3C0" w14:textId="192D05B9" w:rsidR="002E0D61" w:rsidRPr="00DD2F9B" w:rsidRDefault="000765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45040D" w14:textId="77777777" w:rsidTr="00812887">
        <w:trPr>
          <w:cantSplit/>
        </w:trPr>
        <w:tc>
          <w:tcPr>
            <w:tcW w:w="3227" w:type="dxa"/>
          </w:tcPr>
          <w:p w14:paraId="38CFA39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0C4A6F0" w14:textId="08C431CE" w:rsidR="002E0D61" w:rsidRPr="00DD2F9B" w:rsidRDefault="0007659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A3885BF" w14:textId="77777777" w:rsidTr="00812887">
        <w:trPr>
          <w:cantSplit/>
        </w:trPr>
        <w:tc>
          <w:tcPr>
            <w:tcW w:w="3227" w:type="dxa"/>
          </w:tcPr>
          <w:p w14:paraId="69B94FC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5362BBC" w14:textId="06AB1752" w:rsidR="00386093" w:rsidRPr="00DD2F9B" w:rsidRDefault="000765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3D8854" w14:textId="77777777" w:rsidTr="00812887">
        <w:trPr>
          <w:cantSplit/>
        </w:trPr>
        <w:tc>
          <w:tcPr>
            <w:tcW w:w="3227" w:type="dxa"/>
          </w:tcPr>
          <w:p w14:paraId="356F979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516BC2B" w14:textId="587F5A23" w:rsidR="00386093" w:rsidRPr="00DD2F9B" w:rsidRDefault="0007659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7A3B5A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7D089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637F7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C017F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D7F38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998"/>
              <w:gridCol w:w="776"/>
              <w:gridCol w:w="642"/>
              <w:gridCol w:w="3394"/>
            </w:tblGrid>
            <w:tr w:rsidR="006F61FE" w:rsidRPr="006F61FE" w14:paraId="16A40662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4929B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0919BA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2CD11C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5EDF2A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3703D454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592F4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335AB4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B90D7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60860F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0603463D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55D0E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FA0F3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E7353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2B2A52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6231C541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AA3959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6E51A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6FBACA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D8E88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530D1F4C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94441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C2BD6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DA6964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9E117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330149B2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768EAF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4CB4E1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C3E564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441C5F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61FE" w:rsidRPr="006F61FE" w14:paraId="2C92173C" w14:textId="77777777" w:rsidTr="006F61FE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74FBB1" w14:textId="77777777" w:rsidR="006F61FE" w:rsidRPr="006F61FE" w:rsidRDefault="006F61FE" w:rsidP="006F61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8A0D3" w14:textId="77777777" w:rsidR="006F61FE" w:rsidRPr="006F61FE" w:rsidRDefault="006F61FE" w:rsidP="006F61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E8B3A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E02256" w14:textId="77777777" w:rsidR="006F61FE" w:rsidRPr="006F61FE" w:rsidRDefault="006F61FE" w:rsidP="006F61F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61F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6D1F0A3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9A5DB75" w14:textId="77777777" w:rsidR="00EB3D1B" w:rsidRDefault="00EB3D1B" w:rsidP="00EB3D1B">
      <w:pPr>
        <w:pStyle w:val="Heading3"/>
      </w:pPr>
      <w:proofErr w:type="spellStart"/>
      <w:r>
        <w:lastRenderedPageBreak/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C8A9B7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AE0DC7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F7592B8" w14:textId="048D066B" w:rsidR="00EB3D1B" w:rsidRDefault="0007659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C7B49E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5954F2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CEC75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7C1EC5D" w14:textId="3CC81423" w:rsidR="001B79E5" w:rsidRDefault="0007659D" w:rsidP="001B79E5">
                <w:pPr>
                  <w:pStyle w:val="Tablefont"/>
                </w:pPr>
                <w:r w:rsidRPr="0007659D">
                  <w:t>74.08</w:t>
                </w:r>
              </w:p>
            </w:tc>
          </w:sdtContent>
        </w:sdt>
      </w:tr>
      <w:tr w:rsidR="00A31D99" w:rsidRPr="004C23F4" w14:paraId="77A614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0A5AD1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44AE0FC" w14:textId="7989332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07659D">
                  <w:t>3.03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07659D">
                  <w:t>0.330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67AAE5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66292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F450918" w14:textId="35E1EF06" w:rsidR="00687890" w:rsidRPr="004C23F4" w:rsidRDefault="00C8082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F2D0074" w14:textId="77777777" w:rsidTr="00EA6243">
        <w:trPr>
          <w:cantSplit/>
        </w:trPr>
        <w:tc>
          <w:tcPr>
            <w:tcW w:w="4077" w:type="dxa"/>
            <w:vAlign w:val="center"/>
          </w:tcPr>
          <w:p w14:paraId="1B7F2A8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88F5E9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8C3C1A" w14:textId="77777777" w:rsidTr="00EA6243">
        <w:trPr>
          <w:cantSplit/>
        </w:trPr>
        <w:tc>
          <w:tcPr>
            <w:tcW w:w="4077" w:type="dxa"/>
            <w:vAlign w:val="center"/>
          </w:tcPr>
          <w:p w14:paraId="6C77392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4D7A2C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836E1EF" w14:textId="77777777" w:rsidTr="00EA6243">
        <w:trPr>
          <w:cantSplit/>
        </w:trPr>
        <w:tc>
          <w:tcPr>
            <w:tcW w:w="4077" w:type="dxa"/>
            <w:vAlign w:val="center"/>
          </w:tcPr>
          <w:p w14:paraId="51EA97C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FCE4B98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C864DE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5C4C2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66E2E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1C28F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9D12B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FE2EF8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00CDD9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CE3C6C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4EA98B" w14:textId="347CB51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F3B133C" w14:textId="0B2796D8" w:rsidR="0007659D" w:rsidRDefault="0007659D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DD6F0A">
        <w:t>2003</w:t>
      </w:r>
      <w:r>
        <w:t xml:space="preserve">) </w:t>
      </w:r>
      <w:r w:rsidR="00DD6F0A" w:rsidRPr="00DD6F0A">
        <w:t>Formic acid ethyl ester</w:t>
      </w:r>
      <w:r>
        <w:t xml:space="preserve"> – MAK value documentation.</w:t>
      </w:r>
    </w:p>
    <w:p w14:paraId="276A57B9" w14:textId="77777777" w:rsidR="00B9245C" w:rsidRDefault="00B9245C" w:rsidP="00B9245C">
      <w:r>
        <w:t xml:space="preserve">European Chemicals Agency (ECHA) (2019) </w:t>
      </w:r>
      <w:r w:rsidRPr="00DD6F0A">
        <w:t xml:space="preserve">Ethyl </w:t>
      </w:r>
      <w:proofErr w:type="spellStart"/>
      <w:r w:rsidRPr="00DD6F0A">
        <w:t>formate</w:t>
      </w:r>
      <w:proofErr w:type="spellEnd"/>
      <w:r>
        <w:t xml:space="preserve"> – REACH assessment.</w:t>
      </w:r>
    </w:p>
    <w:p w14:paraId="6BBE991E" w14:textId="77777777" w:rsidR="00354C46" w:rsidRDefault="00354C46" w:rsidP="00354C46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(2002) </w:t>
      </w:r>
      <w:r w:rsidRPr="00DD6F0A">
        <w:t xml:space="preserve">Ethyl </w:t>
      </w:r>
      <w:proofErr w:type="spellStart"/>
      <w:r w:rsidRPr="00DD6F0A">
        <w:t>formate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Pr="00DD6F0A">
        <w:t>2000/</w:t>
      </w:r>
      <w:proofErr w:type="spellStart"/>
      <w:r w:rsidRPr="00DD6F0A">
        <w:t>15OSH</w:t>
      </w:r>
      <w:proofErr w:type="spellEnd"/>
      <w:r w:rsidRPr="00DD6F0A">
        <w:t>/033</w:t>
      </w:r>
      <w:r>
        <w:t>.</w:t>
      </w:r>
    </w:p>
    <w:p w14:paraId="47200309" w14:textId="77777777" w:rsidR="00354C46" w:rsidRPr="00351FE0" w:rsidRDefault="00354C46" w:rsidP="00354C46">
      <w:r w:rsidRPr="002022B6">
        <w:t>National Toxicology Program (</w:t>
      </w:r>
      <w:proofErr w:type="spellStart"/>
      <w:r w:rsidRPr="002022B6">
        <w:t>NTP</w:t>
      </w:r>
      <w:proofErr w:type="spellEnd"/>
      <w:r w:rsidRPr="002022B6">
        <w:t>)</w:t>
      </w:r>
      <w:r>
        <w:t xml:space="preserve"> (2018) </w:t>
      </w:r>
      <w:r w:rsidRPr="0077792B">
        <w:t xml:space="preserve">Toxicity Evaluation of Ethyl </w:t>
      </w:r>
      <w:proofErr w:type="spellStart"/>
      <w:r w:rsidRPr="0077792B">
        <w:t>Formate</w:t>
      </w:r>
      <w:proofErr w:type="spellEnd"/>
      <w:r w:rsidRPr="0077792B">
        <w:t xml:space="preserve"> in Salmonella/E.coli Mutagenicity Test or Ames Test</w:t>
      </w:r>
      <w:r>
        <w:t xml:space="preserve">: </w:t>
      </w:r>
      <w:r w:rsidRPr="0077792B">
        <w:t xml:space="preserve">Study </w:t>
      </w:r>
      <w:proofErr w:type="spellStart"/>
      <w:r w:rsidRPr="0077792B">
        <w:t>A02552</w:t>
      </w:r>
      <w:proofErr w:type="spellEnd"/>
      <w:r>
        <w:t>.</w:t>
      </w:r>
    </w:p>
    <w:p w14:paraId="608315B2" w14:textId="77777777" w:rsidR="00B9245C" w:rsidRDefault="00B9245C" w:rsidP="00B9245C">
      <w:r w:rsidRPr="00B9245C">
        <w:t xml:space="preserve">UK Health and Safety Executive (HSE) (2002) </w:t>
      </w:r>
      <w:proofErr w:type="spellStart"/>
      <w:r w:rsidRPr="00B9245C">
        <w:t>EH40</w:t>
      </w:r>
      <w:proofErr w:type="spellEnd"/>
      <w:r w:rsidRPr="00B9245C">
        <w:t>/2005 Workplace exposure limits.</w:t>
      </w:r>
    </w:p>
    <w:p w14:paraId="6EDCD240" w14:textId="2F7AF1EA" w:rsidR="0007659D" w:rsidRDefault="0007659D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r w:rsidR="00DD6F0A" w:rsidRPr="00DD6F0A">
        <w:t>1994</w:t>
      </w:r>
      <w:r>
        <w:t xml:space="preserve">) Immediately dangerous to life or health concentrations – </w:t>
      </w:r>
      <w:r w:rsidR="00DD6F0A" w:rsidRPr="00DD6F0A">
        <w:t xml:space="preserve">Ethyl </w:t>
      </w:r>
      <w:proofErr w:type="spellStart"/>
      <w:r w:rsidR="00DD6F0A" w:rsidRPr="00DD6F0A">
        <w:t>formate</w:t>
      </w:r>
      <w:proofErr w:type="spellEnd"/>
      <w:r>
        <w:t>.</w:t>
      </w:r>
    </w:p>
    <w:p w14:paraId="33973166" w14:textId="099319DF" w:rsidR="0007659D" w:rsidRPr="00351FE0" w:rsidRDefault="0007659D" w:rsidP="00084859"/>
    <w:sectPr w:rsidR="0007659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415F" w14:textId="77777777" w:rsidR="000B18C4" w:rsidRDefault="000B18C4" w:rsidP="00F43AD5">
      <w:pPr>
        <w:spacing w:after="0" w:line="240" w:lineRule="auto"/>
      </w:pPr>
      <w:r>
        <w:separator/>
      </w:r>
    </w:p>
  </w:endnote>
  <w:endnote w:type="continuationSeparator" w:id="0">
    <w:p w14:paraId="5004A219" w14:textId="77777777" w:rsidR="000B18C4" w:rsidRDefault="000B18C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5883" w14:textId="77777777" w:rsidR="002C2D7E" w:rsidRDefault="002C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5B38725" w14:textId="1BC283E1" w:rsidR="008A36CF" w:rsidRDefault="006A23C8" w:rsidP="0034744C">
        <w:pPr>
          <w:pStyle w:val="Footer"/>
          <w:rPr>
            <w:sz w:val="18"/>
            <w:szCs w:val="18"/>
          </w:rPr>
        </w:pPr>
        <w:r w:rsidRPr="006A23C8">
          <w:rPr>
            <w:b/>
            <w:sz w:val="18"/>
            <w:szCs w:val="18"/>
          </w:rPr>
          <w:t xml:space="preserve">Ethyl </w:t>
        </w:r>
        <w:proofErr w:type="spellStart"/>
        <w:r w:rsidRPr="006A23C8">
          <w:rPr>
            <w:b/>
            <w:sz w:val="18"/>
            <w:szCs w:val="18"/>
          </w:rPr>
          <w:t>formate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="00F13133" w:rsidRPr="00F13133">
          <w:rPr>
            <w:b/>
            <w:sz w:val="18"/>
            <w:szCs w:val="18"/>
          </w:rPr>
          <w:t>109-94-4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354620C" w14:textId="061AD86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85289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BE9D" w14:textId="77777777" w:rsidR="002C2D7E" w:rsidRDefault="002C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08E3" w14:textId="77777777" w:rsidR="000B18C4" w:rsidRDefault="000B18C4" w:rsidP="00F43AD5">
      <w:pPr>
        <w:spacing w:after="0" w:line="240" w:lineRule="auto"/>
      </w:pPr>
      <w:r>
        <w:separator/>
      </w:r>
    </w:p>
  </w:footnote>
  <w:footnote w:type="continuationSeparator" w:id="0">
    <w:p w14:paraId="63AE606E" w14:textId="77777777" w:rsidR="000B18C4" w:rsidRDefault="000B18C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790E4" w14:textId="0F37FE3D" w:rsidR="002C2D7E" w:rsidRDefault="002C2D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8F73" w14:textId="722115F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0A" w14:textId="7A75AB42" w:rsidR="002C2D7E" w:rsidRDefault="002C2D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3B86" w14:textId="4044F802" w:rsidR="00385289" w:rsidRDefault="0038528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B7605" w14:textId="30EB332D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5C7A" w14:textId="7A559513" w:rsidR="00385289" w:rsidRDefault="003852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EDC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F0DE9"/>
    <w:multiLevelType w:val="hybridMultilevel"/>
    <w:tmpl w:val="2ECA7946"/>
    <w:lvl w:ilvl="0" w:tplc="E57444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44A04"/>
    <w:multiLevelType w:val="hybridMultilevel"/>
    <w:tmpl w:val="48541232"/>
    <w:lvl w:ilvl="0" w:tplc="6C8A63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672637">
    <w:abstractNumId w:val="1"/>
  </w:num>
  <w:num w:numId="2" w16cid:durableId="560479806">
    <w:abstractNumId w:val="2"/>
  </w:num>
  <w:num w:numId="3" w16cid:durableId="140856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F97"/>
    <w:rsid w:val="00017C82"/>
    <w:rsid w:val="0002275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659D"/>
    <w:rsid w:val="000803E1"/>
    <w:rsid w:val="00084513"/>
    <w:rsid w:val="00084859"/>
    <w:rsid w:val="00092D94"/>
    <w:rsid w:val="000B0868"/>
    <w:rsid w:val="000B0AC3"/>
    <w:rsid w:val="000B18C4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42D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A63"/>
    <w:rsid w:val="00221547"/>
    <w:rsid w:val="002216FC"/>
    <w:rsid w:val="00222533"/>
    <w:rsid w:val="00222F30"/>
    <w:rsid w:val="00224EE2"/>
    <w:rsid w:val="00227EC7"/>
    <w:rsid w:val="002313F9"/>
    <w:rsid w:val="00244AD1"/>
    <w:rsid w:val="002463BC"/>
    <w:rsid w:val="002465CE"/>
    <w:rsid w:val="00254B2D"/>
    <w:rsid w:val="0025734A"/>
    <w:rsid w:val="00263255"/>
    <w:rsid w:val="00276494"/>
    <w:rsid w:val="00277B0C"/>
    <w:rsid w:val="00284D9A"/>
    <w:rsid w:val="002B1A2C"/>
    <w:rsid w:val="002C2D7E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438D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C46"/>
    <w:rsid w:val="003567A8"/>
    <w:rsid w:val="00362895"/>
    <w:rsid w:val="00370DBF"/>
    <w:rsid w:val="00385289"/>
    <w:rsid w:val="00386093"/>
    <w:rsid w:val="003904A4"/>
    <w:rsid w:val="00391841"/>
    <w:rsid w:val="00391B6D"/>
    <w:rsid w:val="00394922"/>
    <w:rsid w:val="003A0E32"/>
    <w:rsid w:val="003A2B94"/>
    <w:rsid w:val="003B1397"/>
    <w:rsid w:val="003B25E7"/>
    <w:rsid w:val="003B35B7"/>
    <w:rsid w:val="003B387D"/>
    <w:rsid w:val="003C0D58"/>
    <w:rsid w:val="003D4FA3"/>
    <w:rsid w:val="003D676B"/>
    <w:rsid w:val="003E0807"/>
    <w:rsid w:val="003E51FB"/>
    <w:rsid w:val="003E6B39"/>
    <w:rsid w:val="003F0153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E33"/>
    <w:rsid w:val="004679C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8A6"/>
    <w:rsid w:val="00497984"/>
    <w:rsid w:val="004A5088"/>
    <w:rsid w:val="004A7AE0"/>
    <w:rsid w:val="004C1E3F"/>
    <w:rsid w:val="004C23F4"/>
    <w:rsid w:val="004C3475"/>
    <w:rsid w:val="004C58B6"/>
    <w:rsid w:val="004D16A3"/>
    <w:rsid w:val="004D4AA1"/>
    <w:rsid w:val="004D6D68"/>
    <w:rsid w:val="004E5296"/>
    <w:rsid w:val="004E5EDD"/>
    <w:rsid w:val="004F448A"/>
    <w:rsid w:val="004F493D"/>
    <w:rsid w:val="004F65E8"/>
    <w:rsid w:val="0050005E"/>
    <w:rsid w:val="00502B88"/>
    <w:rsid w:val="005121F2"/>
    <w:rsid w:val="005142C4"/>
    <w:rsid w:val="0051509C"/>
    <w:rsid w:val="00516EB5"/>
    <w:rsid w:val="00522267"/>
    <w:rsid w:val="005272E2"/>
    <w:rsid w:val="0053108F"/>
    <w:rsid w:val="00532B56"/>
    <w:rsid w:val="00534B10"/>
    <w:rsid w:val="005446A2"/>
    <w:rsid w:val="00544D2F"/>
    <w:rsid w:val="00551BD8"/>
    <w:rsid w:val="005548F9"/>
    <w:rsid w:val="00581055"/>
    <w:rsid w:val="00591E38"/>
    <w:rsid w:val="005A19C5"/>
    <w:rsid w:val="005A3034"/>
    <w:rsid w:val="005A462D"/>
    <w:rsid w:val="005B253B"/>
    <w:rsid w:val="005B6348"/>
    <w:rsid w:val="005B771D"/>
    <w:rsid w:val="005C12F0"/>
    <w:rsid w:val="005C5D16"/>
    <w:rsid w:val="005D3193"/>
    <w:rsid w:val="005D4A6E"/>
    <w:rsid w:val="005E6979"/>
    <w:rsid w:val="005E75CB"/>
    <w:rsid w:val="006013C1"/>
    <w:rsid w:val="00602776"/>
    <w:rsid w:val="0060669E"/>
    <w:rsid w:val="00610F2E"/>
    <w:rsid w:val="00611399"/>
    <w:rsid w:val="00624C4E"/>
    <w:rsid w:val="00625200"/>
    <w:rsid w:val="0063207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511"/>
    <w:rsid w:val="006867F3"/>
    <w:rsid w:val="00687890"/>
    <w:rsid w:val="006901A2"/>
    <w:rsid w:val="00690368"/>
    <w:rsid w:val="0069079C"/>
    <w:rsid w:val="00690B53"/>
    <w:rsid w:val="00692198"/>
    <w:rsid w:val="00695B72"/>
    <w:rsid w:val="006A23C8"/>
    <w:rsid w:val="006A57C0"/>
    <w:rsid w:val="006A60EE"/>
    <w:rsid w:val="006B160A"/>
    <w:rsid w:val="006B4E6C"/>
    <w:rsid w:val="006B50B6"/>
    <w:rsid w:val="006D79EA"/>
    <w:rsid w:val="006E5D05"/>
    <w:rsid w:val="006F61FE"/>
    <w:rsid w:val="00701053"/>
    <w:rsid w:val="00701507"/>
    <w:rsid w:val="00714021"/>
    <w:rsid w:val="00716A0F"/>
    <w:rsid w:val="00717D45"/>
    <w:rsid w:val="007208F7"/>
    <w:rsid w:val="00720D82"/>
    <w:rsid w:val="007218AF"/>
    <w:rsid w:val="007333F1"/>
    <w:rsid w:val="007365D1"/>
    <w:rsid w:val="00740E0E"/>
    <w:rsid w:val="00750212"/>
    <w:rsid w:val="00754779"/>
    <w:rsid w:val="0075716D"/>
    <w:rsid w:val="00765F14"/>
    <w:rsid w:val="00770E31"/>
    <w:rsid w:val="007770F1"/>
    <w:rsid w:val="0077792B"/>
    <w:rsid w:val="00783FB1"/>
    <w:rsid w:val="00785CDD"/>
    <w:rsid w:val="00791847"/>
    <w:rsid w:val="007925F0"/>
    <w:rsid w:val="007939B3"/>
    <w:rsid w:val="0079509C"/>
    <w:rsid w:val="00796708"/>
    <w:rsid w:val="007A6F81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DCF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5A04"/>
    <w:rsid w:val="00857A8A"/>
    <w:rsid w:val="008630EE"/>
    <w:rsid w:val="00864D13"/>
    <w:rsid w:val="00871CD5"/>
    <w:rsid w:val="008745A2"/>
    <w:rsid w:val="008768A8"/>
    <w:rsid w:val="0088798F"/>
    <w:rsid w:val="00887E4B"/>
    <w:rsid w:val="00890833"/>
    <w:rsid w:val="008915C8"/>
    <w:rsid w:val="008A0CCF"/>
    <w:rsid w:val="008A2BF1"/>
    <w:rsid w:val="008A36CF"/>
    <w:rsid w:val="008A3BC4"/>
    <w:rsid w:val="008B0DAF"/>
    <w:rsid w:val="008B403C"/>
    <w:rsid w:val="008B7983"/>
    <w:rsid w:val="008C2511"/>
    <w:rsid w:val="008D026D"/>
    <w:rsid w:val="008D23AB"/>
    <w:rsid w:val="008D4B8B"/>
    <w:rsid w:val="008D5A78"/>
    <w:rsid w:val="008E7B64"/>
    <w:rsid w:val="008F00DA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CDF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6B6A"/>
    <w:rsid w:val="0099303A"/>
    <w:rsid w:val="009971C2"/>
    <w:rsid w:val="009A1254"/>
    <w:rsid w:val="009A70C9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5BD6"/>
    <w:rsid w:val="00A16D91"/>
    <w:rsid w:val="00A174CC"/>
    <w:rsid w:val="00A2073D"/>
    <w:rsid w:val="00A20751"/>
    <w:rsid w:val="00A27E2D"/>
    <w:rsid w:val="00A309D8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367"/>
    <w:rsid w:val="00A968B0"/>
    <w:rsid w:val="00AB2672"/>
    <w:rsid w:val="00AB2817"/>
    <w:rsid w:val="00AB3AB1"/>
    <w:rsid w:val="00AB43C4"/>
    <w:rsid w:val="00AC32E7"/>
    <w:rsid w:val="00AC3A9F"/>
    <w:rsid w:val="00AC49DD"/>
    <w:rsid w:val="00AC6D2F"/>
    <w:rsid w:val="00AE21EE"/>
    <w:rsid w:val="00AE2745"/>
    <w:rsid w:val="00AE2F64"/>
    <w:rsid w:val="00AE7EF6"/>
    <w:rsid w:val="00AF42CB"/>
    <w:rsid w:val="00AF483F"/>
    <w:rsid w:val="00AF5E07"/>
    <w:rsid w:val="00AF5F06"/>
    <w:rsid w:val="00B00A25"/>
    <w:rsid w:val="00B12E78"/>
    <w:rsid w:val="00B1422A"/>
    <w:rsid w:val="00B1765C"/>
    <w:rsid w:val="00B213C4"/>
    <w:rsid w:val="00B231C8"/>
    <w:rsid w:val="00B40C60"/>
    <w:rsid w:val="00B479A9"/>
    <w:rsid w:val="00B52EDF"/>
    <w:rsid w:val="00B71188"/>
    <w:rsid w:val="00B72EAA"/>
    <w:rsid w:val="00B76A41"/>
    <w:rsid w:val="00B87D4C"/>
    <w:rsid w:val="00B9245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486B"/>
    <w:rsid w:val="00C05FC2"/>
    <w:rsid w:val="00C06E43"/>
    <w:rsid w:val="00C16315"/>
    <w:rsid w:val="00C3091E"/>
    <w:rsid w:val="00C3163A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82A"/>
    <w:rsid w:val="00C81A8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2E3"/>
    <w:rsid w:val="00CD2BFD"/>
    <w:rsid w:val="00CE5AD6"/>
    <w:rsid w:val="00CE617F"/>
    <w:rsid w:val="00CE78EF"/>
    <w:rsid w:val="00CF2FFE"/>
    <w:rsid w:val="00D048F7"/>
    <w:rsid w:val="00D0517E"/>
    <w:rsid w:val="00D140FC"/>
    <w:rsid w:val="00D20BF4"/>
    <w:rsid w:val="00D21D8C"/>
    <w:rsid w:val="00D31357"/>
    <w:rsid w:val="00D33220"/>
    <w:rsid w:val="00D334D1"/>
    <w:rsid w:val="00D3794F"/>
    <w:rsid w:val="00D44C89"/>
    <w:rsid w:val="00D516CD"/>
    <w:rsid w:val="00D668E6"/>
    <w:rsid w:val="00D70670"/>
    <w:rsid w:val="00D74D80"/>
    <w:rsid w:val="00D76624"/>
    <w:rsid w:val="00D87570"/>
    <w:rsid w:val="00D91CB9"/>
    <w:rsid w:val="00D96EDA"/>
    <w:rsid w:val="00D97989"/>
    <w:rsid w:val="00D97D8D"/>
    <w:rsid w:val="00DA352E"/>
    <w:rsid w:val="00DC7694"/>
    <w:rsid w:val="00DD1BF6"/>
    <w:rsid w:val="00DD2F9B"/>
    <w:rsid w:val="00DD6F0A"/>
    <w:rsid w:val="00DE035A"/>
    <w:rsid w:val="00DE2513"/>
    <w:rsid w:val="00DE26E8"/>
    <w:rsid w:val="00DF6F36"/>
    <w:rsid w:val="00E0084C"/>
    <w:rsid w:val="00E025AB"/>
    <w:rsid w:val="00E02B23"/>
    <w:rsid w:val="00E06F40"/>
    <w:rsid w:val="00E07CE8"/>
    <w:rsid w:val="00E262D2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1525"/>
    <w:rsid w:val="00E804EA"/>
    <w:rsid w:val="00E80A71"/>
    <w:rsid w:val="00E82337"/>
    <w:rsid w:val="00E92499"/>
    <w:rsid w:val="00E949AF"/>
    <w:rsid w:val="00E96077"/>
    <w:rsid w:val="00E97016"/>
    <w:rsid w:val="00EA0A06"/>
    <w:rsid w:val="00EA5852"/>
    <w:rsid w:val="00EA6243"/>
    <w:rsid w:val="00EA74AB"/>
    <w:rsid w:val="00EB3D1B"/>
    <w:rsid w:val="00EC69AE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D99"/>
    <w:rsid w:val="00F10C97"/>
    <w:rsid w:val="00F11C71"/>
    <w:rsid w:val="00F13133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6E6D"/>
    <w:rsid w:val="00F87D92"/>
    <w:rsid w:val="00F90AA7"/>
    <w:rsid w:val="00F92498"/>
    <w:rsid w:val="00F9496B"/>
    <w:rsid w:val="00F970C9"/>
    <w:rsid w:val="00FA06A8"/>
    <w:rsid w:val="00FA3DF5"/>
    <w:rsid w:val="00FA741F"/>
    <w:rsid w:val="00FB18BF"/>
    <w:rsid w:val="00FB4E07"/>
    <w:rsid w:val="00FB755A"/>
    <w:rsid w:val="00FC4B51"/>
    <w:rsid w:val="00FC60A2"/>
    <w:rsid w:val="00FD16AE"/>
    <w:rsid w:val="00FD1871"/>
    <w:rsid w:val="00FD3110"/>
    <w:rsid w:val="00FE238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Paragraph">
    <w:name w:val="List Paragraph"/>
    <w:basedOn w:val="Normal"/>
    <w:uiPriority w:val="34"/>
    <w:qFormat/>
    <w:rsid w:val="00B231C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7A6F81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2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77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77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77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F5A2D29FC264F07AC0B284C30C36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1255B-6B40-4F94-BBED-B272784818A2}"/>
      </w:docPartPr>
      <w:docPartBody>
        <w:p w:rsidR="002D410E" w:rsidRDefault="004B6BDA" w:rsidP="004B6BDA">
          <w:pPr>
            <w:pStyle w:val="CF5A2D29FC264F07AC0B284C30C362E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2762"/>
    <w:rsid w:val="002D410E"/>
    <w:rsid w:val="004A7AE0"/>
    <w:rsid w:val="004B6BDA"/>
    <w:rsid w:val="006B2379"/>
    <w:rsid w:val="006B40B3"/>
    <w:rsid w:val="00C37581"/>
    <w:rsid w:val="00D21A9F"/>
    <w:rsid w:val="00DA3D4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6BD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F5A2D29FC264F07AC0B284C30C362E7">
    <w:name w:val="CF5A2D29FC264F07AC0B284C30C362E7"/>
    <w:rsid w:val="004B6B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BE97-96E6-4CC1-AB84-DD784113CC30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910EE606-9669-47B5-B683-C581E0908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6A674-58DF-4790-AE6C-24C5534A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90174-4DB2-49EF-BA62-AAEE0026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1394</Words>
  <Characters>7838</Characters>
  <Application>Microsoft Office Word</Application>
  <DocSecurity>0</DocSecurity>
  <Lines>247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2019-11-15T05:16:00Z</dcterms:created>
  <dcterms:modified xsi:type="dcterms:W3CDTF">2026-01-09T00:13:00Z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2025-12-23T00:34:27Z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982199eb-81da-44da-938d-4f11fd77c8bc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