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0FC24FA" w14:textId="03623BD3" w:rsidR="00BD499F" w:rsidRPr="004C23F4" w:rsidRDefault="00333AF0" w:rsidP="00B40C60">
          <w:pPr>
            <w:pStyle w:val="Heading1"/>
            <w:jc w:val="center"/>
            <w:rPr>
              <w:rFonts w:ascii="Arial" w:hAnsi="Arial" w:cs="Arial"/>
            </w:rPr>
          </w:pPr>
          <w:r w:rsidRPr="00333AF0">
            <w:rPr>
              <w:rFonts w:ascii="Arial" w:hAnsi="Arial" w:cs="Arial"/>
            </w:rPr>
            <w:t xml:space="preserve">Ethyl </w:t>
          </w:r>
          <w:r w:rsidR="003171C5">
            <w:rPr>
              <w:rFonts w:ascii="Arial" w:hAnsi="Arial" w:cs="Arial"/>
            </w:rPr>
            <w:t>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4C23F4" w14:paraId="6C5DB0B6" w14:textId="77777777" w:rsidTr="00922FD7">
        <w:trPr>
          <w:cantSplit/>
          <w:tblHeader/>
        </w:trPr>
        <w:tc>
          <w:tcPr>
            <w:tcW w:w="3977" w:type="dxa"/>
          </w:tcPr>
          <w:p w14:paraId="5423583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9" w:type="dxa"/>
          </w:tcPr>
          <w:p w14:paraId="6AFC4E88" w14:textId="78D84E88" w:rsidR="00F43AD5" w:rsidRPr="00717D45" w:rsidRDefault="008F227B" w:rsidP="00B76A41">
            <w:pPr>
              <w:pStyle w:val="Tablefont"/>
            </w:pPr>
            <w:r w:rsidRPr="008F227B">
              <w:t>75-00-3</w:t>
            </w:r>
          </w:p>
        </w:tc>
      </w:tr>
      <w:tr w:rsidR="00F43AD5" w:rsidRPr="004C23F4" w14:paraId="0FE428C2" w14:textId="77777777" w:rsidTr="00922FD7">
        <w:trPr>
          <w:cantSplit/>
        </w:trPr>
        <w:tc>
          <w:tcPr>
            <w:tcW w:w="3977" w:type="dxa"/>
          </w:tcPr>
          <w:p w14:paraId="6151395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9" w:type="dxa"/>
          </w:tcPr>
          <w:p w14:paraId="0410B45E" w14:textId="23DE76E2" w:rsidR="00F43AD5" w:rsidRPr="00717D45" w:rsidRDefault="008F227B" w:rsidP="00B76A41">
            <w:pPr>
              <w:pStyle w:val="Tablefont"/>
            </w:pPr>
            <w:r w:rsidRPr="008F227B">
              <w:t>Chloroethane</w:t>
            </w:r>
            <w:r>
              <w:t xml:space="preserve">, </w:t>
            </w:r>
            <w:proofErr w:type="spellStart"/>
            <w:r w:rsidR="00CB1794">
              <w:t>anodynon</w:t>
            </w:r>
            <w:proofErr w:type="spellEnd"/>
            <w:r>
              <w:t xml:space="preserve">, </w:t>
            </w:r>
            <w:proofErr w:type="spellStart"/>
            <w:r w:rsidR="00CB1794">
              <w:t>chelen</w:t>
            </w:r>
            <w:proofErr w:type="spellEnd"/>
            <w:r>
              <w:t xml:space="preserve">, </w:t>
            </w:r>
            <w:proofErr w:type="spellStart"/>
            <w:r w:rsidR="00CB1794">
              <w:t>chlorene</w:t>
            </w:r>
            <w:proofErr w:type="spellEnd"/>
            <w:r>
              <w:t xml:space="preserve">, </w:t>
            </w:r>
            <w:r w:rsidR="00CB1794">
              <w:t>chloroethane</w:t>
            </w:r>
            <w:r>
              <w:t xml:space="preserve">, </w:t>
            </w:r>
            <w:r w:rsidR="00CB1794">
              <w:t>chloroethyl</w:t>
            </w:r>
            <w:r>
              <w:t xml:space="preserve">, </w:t>
            </w:r>
            <w:proofErr w:type="spellStart"/>
            <w:r w:rsidR="00CB1794">
              <w:t>chloryl</w:t>
            </w:r>
            <w:proofErr w:type="spellEnd"/>
            <w:r>
              <w:t xml:space="preserve">, </w:t>
            </w:r>
            <w:proofErr w:type="spellStart"/>
            <w:r w:rsidR="00CB1794">
              <w:t>dublofix</w:t>
            </w:r>
            <w:proofErr w:type="spellEnd"/>
            <w:r>
              <w:t xml:space="preserve">, </w:t>
            </w:r>
            <w:r w:rsidR="00CB1794">
              <w:t xml:space="preserve">hydrochloric </w:t>
            </w:r>
            <w:r>
              <w:t xml:space="preserve">ether, </w:t>
            </w:r>
            <w:proofErr w:type="spellStart"/>
            <w:r w:rsidR="00CB1794">
              <w:t>kelene</w:t>
            </w:r>
            <w:proofErr w:type="spellEnd"/>
            <w:r>
              <w:t xml:space="preserve">, </w:t>
            </w:r>
            <w:proofErr w:type="spellStart"/>
            <w:r w:rsidR="00CB1794">
              <w:t>monochloroethane</w:t>
            </w:r>
            <w:proofErr w:type="spellEnd"/>
            <w:r>
              <w:t xml:space="preserve">, </w:t>
            </w:r>
            <w:proofErr w:type="spellStart"/>
            <w:r w:rsidR="00CB1794">
              <w:t>narcotile</w:t>
            </w:r>
            <w:proofErr w:type="spellEnd"/>
          </w:p>
        </w:tc>
      </w:tr>
      <w:tr w:rsidR="00F43AD5" w:rsidRPr="004C23F4" w14:paraId="2DC6C28C" w14:textId="77777777" w:rsidTr="00922FD7">
        <w:trPr>
          <w:cantSplit/>
        </w:trPr>
        <w:tc>
          <w:tcPr>
            <w:tcW w:w="3977" w:type="dxa"/>
          </w:tcPr>
          <w:p w14:paraId="3EFC4D3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9" w:type="dxa"/>
          </w:tcPr>
          <w:p w14:paraId="702A9C9A" w14:textId="3712A853" w:rsidR="00F43AD5" w:rsidRPr="00717D45" w:rsidRDefault="008F227B" w:rsidP="00B76A41">
            <w:pPr>
              <w:pStyle w:val="Tablefont"/>
            </w:pPr>
            <w:proofErr w:type="spellStart"/>
            <w:r>
              <w:t>C</w:t>
            </w:r>
            <w:r w:rsidRPr="008F227B">
              <w:rPr>
                <w:vertAlign w:val="subscript"/>
              </w:rPr>
              <w:t>2</w:t>
            </w:r>
            <w:r>
              <w:t>H</w:t>
            </w:r>
            <w:r w:rsidRPr="008F227B">
              <w:rPr>
                <w:vertAlign w:val="subscript"/>
              </w:rPr>
              <w:t>5</w:t>
            </w:r>
            <w:r>
              <w:t>Cl</w:t>
            </w:r>
            <w:proofErr w:type="spellEnd"/>
          </w:p>
        </w:tc>
      </w:tr>
    </w:tbl>
    <w:p w14:paraId="760DB3BB" w14:textId="65B2DB0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770FA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6"/>
        <w:gridCol w:w="5030"/>
      </w:tblGrid>
      <w:tr w:rsidR="002C7AFE" w:rsidRPr="004C23F4" w14:paraId="78BECF41" w14:textId="77777777" w:rsidTr="00B24185">
        <w:trPr>
          <w:cantSplit/>
          <w:tblHeader/>
        </w:trPr>
        <w:tc>
          <w:tcPr>
            <w:tcW w:w="3996" w:type="dxa"/>
            <w:vAlign w:val="center"/>
          </w:tcPr>
          <w:p w14:paraId="06B4F49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30" w:type="dxa"/>
          </w:tcPr>
          <w:p w14:paraId="67170244" w14:textId="36B32ABC" w:rsidR="002C7AFE" w:rsidRPr="00EB3D1B" w:rsidRDefault="006770F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  <w:r w:rsidR="00C73D53">
              <w:rPr>
                <w:b/>
              </w:rPr>
              <w:t xml:space="preserve"> </w:t>
            </w:r>
            <w:r w:rsidR="00C73D53" w:rsidRPr="00C73D53">
              <w:rPr>
                <w:b/>
              </w:rPr>
              <w:t>(264 mg/</w:t>
            </w:r>
            <w:proofErr w:type="spellStart"/>
            <w:r w:rsidR="00C73D53" w:rsidRPr="00C73D53">
              <w:rPr>
                <w:b/>
              </w:rPr>
              <w:t>m</w:t>
            </w:r>
            <w:r w:rsidR="00C73D53" w:rsidRPr="00C73D53">
              <w:rPr>
                <w:b/>
                <w:vertAlign w:val="superscript"/>
              </w:rPr>
              <w:t>3</w:t>
            </w:r>
            <w:proofErr w:type="spellEnd"/>
            <w:r w:rsidR="00C73D53" w:rsidRPr="00C73D53">
              <w:rPr>
                <w:b/>
              </w:rPr>
              <w:t>)</w:t>
            </w:r>
          </w:p>
        </w:tc>
      </w:tr>
      <w:tr w:rsidR="002C7AFE" w:rsidRPr="004C23F4" w14:paraId="15A8572F" w14:textId="77777777" w:rsidTr="00B24185">
        <w:trPr>
          <w:cantSplit/>
        </w:trPr>
        <w:tc>
          <w:tcPr>
            <w:tcW w:w="3996" w:type="dxa"/>
            <w:vAlign w:val="center"/>
          </w:tcPr>
          <w:p w14:paraId="4B21E7A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30" w:type="dxa"/>
          </w:tcPr>
          <w:p w14:paraId="6EC1A373" w14:textId="2BF2D620" w:rsidR="002C7AFE" w:rsidRPr="00EB3D1B" w:rsidRDefault="00CB179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D94576E" w14:textId="77777777" w:rsidTr="00B24185">
        <w:trPr>
          <w:cantSplit/>
        </w:trPr>
        <w:tc>
          <w:tcPr>
            <w:tcW w:w="3996" w:type="dxa"/>
            <w:vAlign w:val="center"/>
          </w:tcPr>
          <w:p w14:paraId="762568D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30" w:type="dxa"/>
          </w:tcPr>
          <w:p w14:paraId="1433AD84" w14:textId="582510AC" w:rsidR="002C7AFE" w:rsidRPr="00EB3D1B" w:rsidRDefault="00CB179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E9F59DD" w14:textId="77777777" w:rsidTr="00B24185">
        <w:trPr>
          <w:cantSplit/>
        </w:trPr>
        <w:tc>
          <w:tcPr>
            <w:tcW w:w="3996" w:type="dxa"/>
          </w:tcPr>
          <w:p w14:paraId="5EEACC7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30" w:type="dxa"/>
          </w:tcPr>
          <w:p w14:paraId="70B298DD" w14:textId="3A55128D" w:rsidR="002C7AFE" w:rsidRPr="00EB3D1B" w:rsidRDefault="00BF576E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 w:rsidR="006770FA">
              <w:rPr>
                <w:b/>
              </w:rPr>
              <w:t>. 2, Sk.</w:t>
            </w:r>
          </w:p>
        </w:tc>
      </w:tr>
      <w:tr w:rsidR="002C7AFE" w:rsidRPr="004C23F4" w14:paraId="544CAD2A" w14:textId="77777777" w:rsidTr="00B24185">
        <w:trPr>
          <w:cantSplit/>
        </w:trPr>
        <w:tc>
          <w:tcPr>
            <w:tcW w:w="3996" w:type="dxa"/>
            <w:vAlign w:val="center"/>
          </w:tcPr>
          <w:p w14:paraId="12472544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30" w:type="dxa"/>
          </w:tcPr>
          <w:p w14:paraId="4E6D5B19" w14:textId="20FD68FC" w:rsidR="002C7AFE" w:rsidRPr="00EB3D1B" w:rsidRDefault="008F227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</w:t>
            </w:r>
            <w:r w:rsidR="00CB1794">
              <w:rPr>
                <w:b/>
              </w:rPr>
              <w:t>,</w:t>
            </w:r>
            <w:r>
              <w:rPr>
                <w:b/>
              </w:rPr>
              <w:t>800 ppm</w:t>
            </w:r>
          </w:p>
        </w:tc>
      </w:tr>
      <w:tr w:rsidR="00B24185" w:rsidRPr="004C23F4" w14:paraId="3D3ED167" w14:textId="77777777" w:rsidTr="00165FC2">
        <w:trPr>
          <w:cantSplit/>
        </w:trPr>
        <w:tc>
          <w:tcPr>
            <w:tcW w:w="9026" w:type="dxa"/>
            <w:gridSpan w:val="2"/>
            <w:vAlign w:val="center"/>
          </w:tcPr>
          <w:p w14:paraId="2A529585" w14:textId="634BA77F" w:rsidR="00B24185" w:rsidRPr="00EB3D1B" w:rsidRDefault="00B24185" w:rsidP="00B24185">
            <w:pPr>
              <w:pStyle w:val="Tablerowright"/>
              <w:jc w:val="left"/>
              <w:rPr>
                <w:b w:val="0"/>
              </w:rPr>
            </w:pPr>
            <w: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220E07368B36482EB4CD4DC7AF287B3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DF43E3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E0305F1" w14:textId="0D8C9A1C" w:rsidR="006639B4" w:rsidRPr="006770FA" w:rsidRDefault="006770FA" w:rsidP="000C139A">
      <w:pPr>
        <w:rPr>
          <w:rFonts w:cs="Arial"/>
        </w:rPr>
      </w:pPr>
      <w:r>
        <w:rPr>
          <w:rFonts w:cs="Arial"/>
        </w:rPr>
        <w:t>A TWA of 100 ppm (264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to protect for adverse effects </w:t>
      </w:r>
      <w:r w:rsidR="00922FD7">
        <w:rPr>
          <w:rFonts w:cs="Arial"/>
        </w:rPr>
        <w:t>of</w:t>
      </w:r>
      <w:r>
        <w:rPr>
          <w:rFonts w:cs="Arial"/>
        </w:rPr>
        <w:t xml:space="preserve"> the liver, </w:t>
      </w:r>
      <w:r w:rsidR="00132B1B">
        <w:rPr>
          <w:rFonts w:cs="Arial"/>
        </w:rPr>
        <w:t>central nervous system (CNS)</w:t>
      </w:r>
      <w:r>
        <w:rPr>
          <w:rFonts w:cs="Arial"/>
        </w:rPr>
        <w:t xml:space="preserve"> a</w:t>
      </w:r>
      <w:r w:rsidR="00132B1B">
        <w:rPr>
          <w:rFonts w:cs="Arial"/>
        </w:rPr>
        <w:t xml:space="preserve">nd </w:t>
      </w:r>
      <w:r>
        <w:rPr>
          <w:rFonts w:cs="Arial"/>
        </w:rPr>
        <w:t>heart</w:t>
      </w:r>
      <w:r w:rsidR="00D44959">
        <w:rPr>
          <w:rFonts w:cs="Arial"/>
        </w:rPr>
        <w:t xml:space="preserve"> in exposed workers. </w:t>
      </w:r>
    </w:p>
    <w:p w14:paraId="2507B91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5098471" w14:textId="4AD4A441" w:rsidR="00057F10" w:rsidRDefault="004A7481" w:rsidP="004A7481">
      <w:r>
        <w:t xml:space="preserve">Ethyl chloride has been used in the manufacture of tetraethyl lead, </w:t>
      </w:r>
      <w:proofErr w:type="spellStart"/>
      <w:r>
        <w:t>ethylcellulose</w:t>
      </w:r>
      <w:proofErr w:type="spellEnd"/>
      <w:r>
        <w:t>, dyes, drug</w:t>
      </w:r>
      <w:r w:rsidR="00132B1B">
        <w:t>s</w:t>
      </w:r>
      <w:r>
        <w:t xml:space="preserve"> and perfumes. It has </w:t>
      </w:r>
      <w:r w:rsidR="00922FD7">
        <w:t xml:space="preserve">also </w:t>
      </w:r>
      <w:r>
        <w:t xml:space="preserve">been used in industry for chemical processes. </w:t>
      </w:r>
    </w:p>
    <w:p w14:paraId="02A624F5" w14:textId="67195F1B" w:rsidR="002E6285" w:rsidRDefault="00D91B48" w:rsidP="004A7481">
      <w:r>
        <w:t>Critical effects</w:t>
      </w:r>
      <w:r w:rsidR="00922FD7">
        <w:t xml:space="preserve"> of exposure</w:t>
      </w:r>
      <w:r>
        <w:t xml:space="preserve"> include potential hepatotoxicity, fetotoxicity</w:t>
      </w:r>
      <w:r w:rsidR="00C0206D">
        <w:t xml:space="preserve"> and</w:t>
      </w:r>
      <w:r>
        <w:t xml:space="preserve"> CNS effects. Limited data </w:t>
      </w:r>
      <w:r w:rsidR="00AE6216">
        <w:t xml:space="preserve">are available </w:t>
      </w:r>
      <w:r>
        <w:t>in humans.</w:t>
      </w:r>
      <w:r w:rsidR="00057F10">
        <w:t xml:space="preserve"> </w:t>
      </w:r>
      <w:r w:rsidR="002E6285">
        <w:t xml:space="preserve">Only two primary sources of information </w:t>
      </w:r>
      <w:r w:rsidR="00922FD7">
        <w:t xml:space="preserve">are </w:t>
      </w:r>
      <w:r w:rsidR="002E6285">
        <w:t>available</w:t>
      </w:r>
      <w:r w:rsidR="00CB2169">
        <w:t>,</w:t>
      </w:r>
      <w:r w:rsidR="002E6285">
        <w:t xml:space="preserve"> </w:t>
      </w:r>
      <w:r w:rsidR="00CB2169">
        <w:t xml:space="preserve">both </w:t>
      </w:r>
      <w:r w:rsidR="002E6285">
        <w:t>recommending a TWA o</w:t>
      </w:r>
      <w:r w:rsidR="00057F10">
        <w:t>f</w:t>
      </w:r>
      <w:r w:rsidR="002E6285">
        <w:t xml:space="preserve"> 100</w:t>
      </w:r>
      <w:r w:rsidR="00057F10">
        <w:t> ppm</w:t>
      </w:r>
      <w:r w:rsidR="002E6285">
        <w:t>.</w:t>
      </w:r>
    </w:p>
    <w:p w14:paraId="2EA0BBAE" w14:textId="51E197B4" w:rsidR="004A7481" w:rsidRDefault="004A7481" w:rsidP="004A7481">
      <w:r>
        <w:t>In</w:t>
      </w:r>
      <w:r w:rsidR="00A87C8E">
        <w:t xml:space="preserve"> </w:t>
      </w:r>
      <w:r>
        <w:t>a sub-chronic inhalation study in rats, no effects were identified at 1,600</w:t>
      </w:r>
      <w:r w:rsidR="001706F2">
        <w:t> </w:t>
      </w:r>
      <w:r>
        <w:t>ppm</w:t>
      </w:r>
      <w:r w:rsidR="00DC0065">
        <w:t xml:space="preserve"> with liver effects seen at 4,000</w:t>
      </w:r>
      <w:r w:rsidR="001706F2">
        <w:t> </w:t>
      </w:r>
      <w:r w:rsidR="00DC0065">
        <w:t>ppm</w:t>
      </w:r>
      <w:r>
        <w:t xml:space="preserve">. A </w:t>
      </w:r>
      <w:proofErr w:type="spellStart"/>
      <w:r w:rsidR="006B42A6">
        <w:t>NOAEC</w:t>
      </w:r>
      <w:proofErr w:type="spellEnd"/>
      <w:r w:rsidR="006B42A6">
        <w:t xml:space="preserve"> </w:t>
      </w:r>
      <w:r>
        <w:t>of 1,250</w:t>
      </w:r>
      <w:r w:rsidR="00C0206D">
        <w:t> </w:t>
      </w:r>
      <w:r>
        <w:t>ppm was identified in a mouse study with continuous exposure for 11 days</w:t>
      </w:r>
      <w:r w:rsidR="00C0206D">
        <w:t xml:space="preserve"> </w:t>
      </w:r>
      <w:r w:rsidR="00CB2169">
        <w:t>(</w:t>
      </w:r>
      <w:r w:rsidR="00DC0065">
        <w:t xml:space="preserve">effects in the heart, CNS and liver were </w:t>
      </w:r>
      <w:r w:rsidR="00CB2169">
        <w:t xml:space="preserve">observed at higher </w:t>
      </w:r>
      <w:r w:rsidR="001706F2">
        <w:t>doses) (</w:t>
      </w:r>
      <w:proofErr w:type="spellStart"/>
      <w:r>
        <w:t>ACG</w:t>
      </w:r>
      <w:r w:rsidR="00057F10">
        <w:t>I</w:t>
      </w:r>
      <w:r>
        <w:t>H</w:t>
      </w:r>
      <w:proofErr w:type="spellEnd"/>
      <w:r>
        <w:t xml:space="preserve">, 2018; </w:t>
      </w:r>
      <w:proofErr w:type="spellStart"/>
      <w:r>
        <w:t>SCOEL</w:t>
      </w:r>
      <w:proofErr w:type="spellEnd"/>
      <w:r>
        <w:t>,</w:t>
      </w:r>
      <w:r w:rsidR="00FE7842">
        <w:t> </w:t>
      </w:r>
      <w:r>
        <w:t>1999)</w:t>
      </w:r>
      <w:r w:rsidR="00DC0065">
        <w:t xml:space="preserve">. </w:t>
      </w:r>
      <w:r w:rsidR="00D66537">
        <w:t xml:space="preserve">The TWA derived by </w:t>
      </w:r>
      <w:proofErr w:type="spellStart"/>
      <w:r w:rsidR="00D66537">
        <w:t>SCOEL</w:t>
      </w:r>
      <w:proofErr w:type="spellEnd"/>
      <w:r w:rsidR="00D66537">
        <w:t xml:space="preserve"> (1999) is based on this</w:t>
      </w:r>
      <w:r w:rsidR="00DC0065">
        <w:t xml:space="preserve"> </w:t>
      </w:r>
      <w:proofErr w:type="spellStart"/>
      <w:r w:rsidR="00DC0065">
        <w:t>NOAEC</w:t>
      </w:r>
      <w:proofErr w:type="spellEnd"/>
      <w:r w:rsidR="00D66537">
        <w:t>.</w:t>
      </w:r>
      <w:r>
        <w:t xml:space="preserve"> </w:t>
      </w:r>
      <w:r w:rsidR="00A87C8E">
        <w:t>A</w:t>
      </w:r>
      <w:r w:rsidR="00A87C8E" w:rsidRPr="00A87C8E">
        <w:rPr>
          <w:rStyle w:val="checkbox"/>
          <w:rFonts w:ascii="Arial" w:hAnsi="Arial" w:cs="Arial"/>
        </w:rPr>
        <w:t xml:space="preserve"> </w:t>
      </w:r>
      <w:proofErr w:type="spellStart"/>
      <w:r w:rsidR="006B42A6">
        <w:rPr>
          <w:rStyle w:val="checkbox"/>
          <w:rFonts w:ascii="Arial" w:hAnsi="Arial" w:cs="Arial"/>
        </w:rPr>
        <w:t>NOAEC</w:t>
      </w:r>
      <w:proofErr w:type="spellEnd"/>
      <w:r w:rsidR="006B42A6">
        <w:rPr>
          <w:rStyle w:val="checkbox"/>
          <w:rFonts w:ascii="Arial" w:hAnsi="Arial" w:cs="Arial"/>
        </w:rPr>
        <w:t xml:space="preserve"> </w:t>
      </w:r>
      <w:r w:rsidR="00A87C8E">
        <w:rPr>
          <w:rStyle w:val="checkbox"/>
          <w:rFonts w:ascii="Arial" w:hAnsi="Arial" w:cs="Arial"/>
        </w:rPr>
        <w:t>of 1,504</w:t>
      </w:r>
      <w:r w:rsidR="001706F2">
        <w:rPr>
          <w:rStyle w:val="checkbox"/>
          <w:rFonts w:ascii="Arial" w:hAnsi="Arial" w:cs="Arial"/>
        </w:rPr>
        <w:t> </w:t>
      </w:r>
      <w:r w:rsidR="00A87C8E">
        <w:rPr>
          <w:rStyle w:val="checkbox"/>
          <w:rFonts w:ascii="Arial" w:hAnsi="Arial" w:cs="Arial"/>
        </w:rPr>
        <w:t xml:space="preserve">ppm for </w:t>
      </w:r>
      <w:r w:rsidR="00A87C8E">
        <w:t>delayed foetal ossification</w:t>
      </w:r>
      <w:r w:rsidR="00A87C8E">
        <w:rPr>
          <w:rStyle w:val="checkbox"/>
          <w:rFonts w:ascii="Arial" w:hAnsi="Arial" w:cs="Arial"/>
        </w:rPr>
        <w:t xml:space="preserve"> was </w:t>
      </w:r>
      <w:r w:rsidR="006B42A6">
        <w:rPr>
          <w:rStyle w:val="checkbox"/>
          <w:rFonts w:ascii="Arial" w:hAnsi="Arial" w:cs="Arial"/>
        </w:rPr>
        <w:t xml:space="preserve">reported </w:t>
      </w:r>
      <w:r w:rsidR="00A87C8E">
        <w:rPr>
          <w:rStyle w:val="checkbox"/>
          <w:rFonts w:ascii="Arial" w:hAnsi="Arial" w:cs="Arial"/>
        </w:rPr>
        <w:t>in a mouse developmental inhalation study (US</w:t>
      </w:r>
      <w:r w:rsidR="006B42A6">
        <w:rPr>
          <w:rStyle w:val="checkbox"/>
          <w:rFonts w:ascii="Arial" w:hAnsi="Arial" w:cs="Arial"/>
        </w:rPr>
        <w:t xml:space="preserve"> </w:t>
      </w:r>
      <w:r w:rsidR="00A87C8E">
        <w:rPr>
          <w:rStyle w:val="checkbox"/>
          <w:rFonts w:ascii="Arial" w:hAnsi="Arial" w:cs="Arial"/>
        </w:rPr>
        <w:t>EPA, 1991)</w:t>
      </w:r>
      <w:r w:rsidR="006770FA">
        <w:rPr>
          <w:rStyle w:val="checkbox"/>
          <w:rFonts w:ascii="Arial" w:hAnsi="Arial" w:cs="Arial"/>
        </w:rPr>
        <w:t xml:space="preserve">. Cancer has also been </w:t>
      </w:r>
      <w:r w:rsidR="006B42A6">
        <w:rPr>
          <w:rStyle w:val="checkbox"/>
          <w:rFonts w:ascii="Arial" w:hAnsi="Arial" w:cs="Arial"/>
        </w:rPr>
        <w:t xml:space="preserve">reported </w:t>
      </w:r>
      <w:r w:rsidR="006770FA">
        <w:rPr>
          <w:rStyle w:val="checkbox"/>
          <w:rFonts w:ascii="Arial" w:hAnsi="Arial" w:cs="Arial"/>
        </w:rPr>
        <w:t>as a potential effect</w:t>
      </w:r>
      <w:r w:rsidR="002E6285">
        <w:rPr>
          <w:rStyle w:val="checkbox"/>
          <w:rFonts w:ascii="Arial" w:hAnsi="Arial" w:cs="Arial"/>
        </w:rPr>
        <w:t xml:space="preserve"> in</w:t>
      </w:r>
      <w:r w:rsidR="006770FA">
        <w:rPr>
          <w:rStyle w:val="checkbox"/>
          <w:rFonts w:ascii="Arial" w:hAnsi="Arial" w:cs="Arial"/>
        </w:rPr>
        <w:t xml:space="preserve"> animals</w:t>
      </w:r>
      <w:r w:rsidR="00EC5557">
        <w:rPr>
          <w:rStyle w:val="checkbox"/>
          <w:rFonts w:ascii="Arial" w:hAnsi="Arial" w:cs="Arial"/>
        </w:rPr>
        <w:t xml:space="preserve"> at very high </w:t>
      </w:r>
      <w:r w:rsidR="00D66537">
        <w:rPr>
          <w:rStyle w:val="checkbox"/>
          <w:rFonts w:ascii="Arial" w:hAnsi="Arial" w:cs="Arial"/>
        </w:rPr>
        <w:t>exposure</w:t>
      </w:r>
      <w:r w:rsidR="006770FA">
        <w:rPr>
          <w:rStyle w:val="checkbox"/>
          <w:rFonts w:ascii="Arial" w:hAnsi="Arial" w:cs="Arial"/>
        </w:rPr>
        <w:t>.</w:t>
      </w:r>
    </w:p>
    <w:p w14:paraId="34551062" w14:textId="7E083E06" w:rsidR="006639B4" w:rsidRPr="004C23F4" w:rsidRDefault="00DC0065" w:rsidP="006639B4">
      <w:pPr>
        <w:rPr>
          <w:rFonts w:cs="Arial"/>
        </w:rPr>
      </w:pPr>
      <w:r w:rsidRPr="00DC0065">
        <w:t xml:space="preserve">A TWA of </w:t>
      </w:r>
      <w:r w:rsidR="00DA3CAD">
        <w:t xml:space="preserve">100 </w:t>
      </w:r>
      <w:r w:rsidRPr="00DC0065">
        <w:t xml:space="preserve">ppm is recommended as derived by </w:t>
      </w:r>
      <w:proofErr w:type="spellStart"/>
      <w:r w:rsidRPr="00DC0065">
        <w:t>ACGIH</w:t>
      </w:r>
      <w:proofErr w:type="spellEnd"/>
      <w:r w:rsidRPr="00DC0065">
        <w:t xml:space="preserve"> (2018) and </w:t>
      </w:r>
      <w:proofErr w:type="spellStart"/>
      <w:r>
        <w:t>SCOEL</w:t>
      </w:r>
      <w:proofErr w:type="spellEnd"/>
      <w:r>
        <w:t xml:space="preserve"> (1999</w:t>
      </w:r>
      <w:r w:rsidRPr="00DC0065">
        <w:t>)</w:t>
      </w:r>
      <w:r w:rsidR="00DA3CAD">
        <w:t xml:space="preserve"> based on </w:t>
      </w:r>
      <w:r w:rsidR="00922FD7">
        <w:t xml:space="preserve">the </w:t>
      </w:r>
      <w:proofErr w:type="spellStart"/>
      <w:r w:rsidR="00DA3CAD">
        <w:t>NOAEC</w:t>
      </w:r>
      <w:proofErr w:type="spellEnd"/>
      <w:r w:rsidR="00DA3CAD">
        <w:t xml:space="preserve"> </w:t>
      </w:r>
      <w:r w:rsidR="00922FD7">
        <w:t xml:space="preserve">seen in mice </w:t>
      </w:r>
      <w:r w:rsidR="00DA3CAD">
        <w:t>and an uncertainty factor of 10 to account for the short duration of the study</w:t>
      </w:r>
      <w:r w:rsidRPr="00DC0065">
        <w:t xml:space="preserve">. This TWA is cited to be protective of </w:t>
      </w:r>
      <w:r>
        <w:t xml:space="preserve">possible liver, heart and CNS effects and </w:t>
      </w:r>
      <w:r w:rsidRPr="00DC0065">
        <w:t>fetotoxicity.</w:t>
      </w:r>
      <w:r>
        <w:t xml:space="preserve"> </w:t>
      </w:r>
    </w:p>
    <w:p w14:paraId="3E6255B2" w14:textId="77777777" w:rsidR="004529F0" w:rsidRPr="004C23F4" w:rsidRDefault="004529F0" w:rsidP="00CB1794">
      <w:pPr>
        <w:pStyle w:val="Heading2"/>
      </w:pPr>
      <w:r>
        <w:lastRenderedPageBreak/>
        <w:t>Recommendation for notations</w:t>
      </w:r>
    </w:p>
    <w:p w14:paraId="7139CA5B" w14:textId="63DE7C7F" w:rsidR="008F227B" w:rsidRPr="00A70823" w:rsidRDefault="006770FA" w:rsidP="00BF576E">
      <w:pPr>
        <w:keepNext/>
        <w:rPr>
          <w:rFonts w:cs="Arial"/>
        </w:rPr>
      </w:pPr>
      <w:r>
        <w:rPr>
          <w:rFonts w:cs="Arial"/>
        </w:rPr>
        <w:t xml:space="preserve">Classified </w:t>
      </w:r>
      <w:r w:rsidR="003F6C34">
        <w:rPr>
          <w:rFonts w:cs="Arial"/>
        </w:rPr>
        <w:t xml:space="preserve">as a </w:t>
      </w:r>
      <w:r>
        <w:rPr>
          <w:rFonts w:cs="Arial"/>
        </w:rPr>
        <w:t>category 2</w:t>
      </w:r>
      <w:r w:rsidR="008F227B" w:rsidRPr="00A70823">
        <w:rPr>
          <w:rFonts w:cs="Arial"/>
        </w:rPr>
        <w:t xml:space="preserve"> carcinogen according to the Globally Harmonized System of</w:t>
      </w:r>
      <w:r w:rsidR="003F6C34">
        <w:rPr>
          <w:rFonts w:cs="Arial"/>
        </w:rPr>
        <w:t xml:space="preserve"> Classification and Labelling of</w:t>
      </w:r>
      <w:r w:rsidR="008F227B" w:rsidRPr="00A70823">
        <w:rPr>
          <w:rFonts w:cs="Arial"/>
        </w:rPr>
        <w:t xml:space="preserve"> Chemicals (GHS). </w:t>
      </w:r>
    </w:p>
    <w:p w14:paraId="51150975" w14:textId="68C4914B" w:rsidR="008F227B" w:rsidRPr="00A70823" w:rsidRDefault="008F227B" w:rsidP="00BF576E">
      <w:pPr>
        <w:keepNext/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3F6C34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2A807A9A" w14:textId="710F39EB" w:rsidR="005E6979" w:rsidRPr="004C23F4" w:rsidRDefault="006770FA" w:rsidP="00BF576E">
      <w:pPr>
        <w:keepNext/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t xml:space="preserve">A skin notation is recommended based dermal absorption evidence in analogous chemicals </w:t>
      </w:r>
      <w:r w:rsidR="00D017C4">
        <w:t>including</w:t>
      </w:r>
      <w:r>
        <w:t xml:space="preserve"> ethyl bromide, methyl bromide and methyl </w:t>
      </w:r>
      <w:r w:rsidR="00922FD7">
        <w:t>chloride</w:t>
      </w:r>
      <w:r>
        <w:rPr>
          <w:rFonts w:cs="Arial"/>
        </w:rPr>
        <w:t xml:space="preserve"> and </w:t>
      </w:r>
      <w:r w:rsidR="00D017C4">
        <w:rPr>
          <w:rFonts w:cs="Arial"/>
        </w:rPr>
        <w:t xml:space="preserve">the </w:t>
      </w:r>
      <w:r>
        <w:rPr>
          <w:rFonts w:cs="Arial"/>
        </w:rPr>
        <w:t>potential for contribution to systemic toxicity.</w:t>
      </w:r>
    </w:p>
    <w:p w14:paraId="1DEC292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7F3BAC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843E54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C501BB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AE5B05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FC02F5B" w14:textId="1DED98A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F227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F227B">
                  <w:t>TWA: 1</w:t>
                </w:r>
                <w:r w:rsidR="00DC0065">
                  <w:t>,</w:t>
                </w:r>
                <w:r w:rsidR="008F227B">
                  <w:t>000 ppm (2640 mg/</w:t>
                </w:r>
                <w:proofErr w:type="spellStart"/>
                <w:r w:rsidR="008F227B">
                  <w:t>m</w:t>
                </w:r>
                <w:r w:rsidR="008F227B" w:rsidRPr="008F227B">
                  <w:rPr>
                    <w:vertAlign w:val="superscript"/>
                  </w:rPr>
                  <w:t>3</w:t>
                </w:r>
                <w:proofErr w:type="spellEnd"/>
                <w:r w:rsidR="008F227B">
                  <w:t>)</w:t>
                </w:r>
              </w:sdtContent>
            </w:sdt>
          </w:p>
        </w:tc>
      </w:tr>
      <w:tr w:rsidR="00C978F0" w:rsidRPr="00DA352E" w14:paraId="3F02711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AAE43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8709A4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BA62E4" w14:textId="662BA7A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F227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F227B">
                  <w:t>TLV-TWA: 100 ppm (264 mg/</w:t>
                </w:r>
                <w:proofErr w:type="spellStart"/>
                <w:r w:rsidR="008F227B">
                  <w:t>m</w:t>
                </w:r>
                <w:r w:rsidR="008F227B" w:rsidRPr="008F227B">
                  <w:rPr>
                    <w:vertAlign w:val="superscript"/>
                  </w:rPr>
                  <w:t>3</w:t>
                </w:r>
                <w:proofErr w:type="spellEnd"/>
                <w:r w:rsidR="008F227B">
                  <w:t>)</w:t>
                </w:r>
              </w:sdtContent>
            </w:sdt>
          </w:p>
        </w:tc>
      </w:tr>
      <w:tr w:rsidR="00C978F0" w:rsidRPr="00DA352E" w14:paraId="79BFF89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F124A4" w14:textId="630E4794" w:rsidR="00C978F0" w:rsidRDefault="00502DA0" w:rsidP="003365A5">
            <w:pPr>
              <w:pStyle w:val="Tabletextprimarysource"/>
            </w:pPr>
            <w:r>
              <w:t>TLV-TWA recommended to minimise the potential for possible liver effects, fetotoxicity and cancer. Effects identified in animal data only.</w:t>
            </w:r>
          </w:p>
          <w:p w14:paraId="35DCE3FD" w14:textId="529380E6" w:rsidR="00DC0065" w:rsidRDefault="00DC0065" w:rsidP="003365A5">
            <w:pPr>
              <w:pStyle w:val="Tabletextprimarysource"/>
            </w:pPr>
            <w:r>
              <w:t>No derivation provided.</w:t>
            </w:r>
          </w:p>
          <w:p w14:paraId="5A2B6061" w14:textId="77777777" w:rsidR="00502DA0" w:rsidRDefault="00502DA0" w:rsidP="003365A5">
            <w:pPr>
              <w:pStyle w:val="Tabletextprimarysource"/>
            </w:pPr>
            <w:r>
              <w:t>Summary of data:</w:t>
            </w:r>
          </w:p>
          <w:p w14:paraId="28CF28B3" w14:textId="77777777" w:rsidR="00502DA0" w:rsidRDefault="00502DA0" w:rsidP="003365A5">
            <w:pPr>
              <w:pStyle w:val="Tabletextprimarysource"/>
            </w:pPr>
            <w:r>
              <w:t>Human data:</w:t>
            </w:r>
          </w:p>
          <w:p w14:paraId="040247D5" w14:textId="3BB88D4C" w:rsidR="00502DA0" w:rsidRDefault="00502DA0" w:rsidP="008919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May cause irritation of the eyes and respiratory tract</w:t>
            </w:r>
          </w:p>
          <w:p w14:paraId="5106D16E" w14:textId="77777777" w:rsidR="00502DA0" w:rsidRDefault="00502DA0" w:rsidP="008919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Slight effects in volunteers administered 13,000 </w:t>
            </w:r>
            <w:proofErr w:type="gramStart"/>
            <w:r>
              <w:t>ppm;</w:t>
            </w:r>
            <w:proofErr w:type="gramEnd"/>
            <w:r>
              <w:t xml:space="preserve"> no further exposure data</w:t>
            </w:r>
          </w:p>
          <w:p w14:paraId="13B31BF3" w14:textId="22C279A9" w:rsidR="00502DA0" w:rsidRDefault="00502DA0" w:rsidP="008919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Women </w:t>
            </w:r>
            <w:r w:rsidR="00A8583D">
              <w:t xml:space="preserve">occupationally </w:t>
            </w:r>
            <w:r>
              <w:t xml:space="preserve">exposed </w:t>
            </w:r>
            <w:r w:rsidR="00D017C4">
              <w:t>at</w:t>
            </w:r>
            <w:r>
              <w:t xml:space="preserve"> </w:t>
            </w:r>
            <w:r w:rsidR="00A8583D">
              <w:t>unknown concentrations of a mix of chemicals including ethyl chloride, ethylenediamine, ammonia, polyethylene polyamines and vinyl chloride suffered genital disorders including vaginitis and inflammatory diseases of the cervix and uterus</w:t>
            </w:r>
            <w:r w:rsidR="00D91B48">
              <w:t>.</w:t>
            </w:r>
          </w:p>
          <w:p w14:paraId="4990D014" w14:textId="77777777" w:rsidR="00A8583D" w:rsidRDefault="00A8583D" w:rsidP="00A8583D">
            <w:pPr>
              <w:pStyle w:val="Tabletextprimarysource"/>
            </w:pPr>
            <w:r>
              <w:t>Animal data:</w:t>
            </w:r>
          </w:p>
          <w:p w14:paraId="5B41B6D1" w14:textId="687C6DEF" w:rsidR="00A8583D" w:rsidRDefault="00A8583D" w:rsidP="008919CA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 w:rsidR="003F6C34">
              <w:t>: 60,632 ppm (</w:t>
            </w:r>
            <w:r>
              <w:t>rats and mice</w:t>
            </w:r>
            <w:r w:rsidR="003F6C34">
              <w:t>, 2 h)</w:t>
            </w:r>
          </w:p>
          <w:p w14:paraId="19592A8D" w14:textId="2DE65B77" w:rsidR="00A8583D" w:rsidRDefault="00A8583D" w:rsidP="008919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effects identified in dogs &lt;10,000 ppm</w:t>
            </w:r>
          </w:p>
          <w:p w14:paraId="0A929DB8" w14:textId="783B9C82" w:rsidR="00A8583D" w:rsidRDefault="00A8583D" w:rsidP="008919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rats, 6 h/d, 5 d/</w:t>
            </w:r>
            <w:proofErr w:type="spellStart"/>
            <w:r>
              <w:t>wk</w:t>
            </w:r>
            <w:proofErr w:type="spellEnd"/>
            <w:r>
              <w:t xml:space="preserve"> for 2 </w:t>
            </w:r>
            <w:proofErr w:type="spellStart"/>
            <w:r>
              <w:t>wk</w:t>
            </w:r>
            <w:proofErr w:type="spellEnd"/>
            <w:r>
              <w:t xml:space="preserve"> or for 1 x 6</w:t>
            </w:r>
            <w:r w:rsidR="00CB1794">
              <w:t xml:space="preserve"> </w:t>
            </w:r>
            <w:r>
              <w:t xml:space="preserve">h </w:t>
            </w:r>
            <w:r w:rsidR="00181F5F">
              <w:t xml:space="preserve">inhalation </w:t>
            </w:r>
            <w:r>
              <w:t>exposure at</w:t>
            </w:r>
            <w:r w:rsidR="00181F5F">
              <w:t xml:space="preserve"> 1,600, 4,000 or 10,000 ppm;</w:t>
            </w:r>
            <w:r>
              <w:t xml:space="preserve"> 4,000</w:t>
            </w:r>
            <w:r w:rsidR="00057F10">
              <w:t xml:space="preserve"> ppm</w:t>
            </w:r>
            <w:r>
              <w:t xml:space="preserve"> produced liver effects; no effects at 1,600 ppm</w:t>
            </w:r>
          </w:p>
          <w:p w14:paraId="762F41E0" w14:textId="77777777" w:rsidR="00A8583D" w:rsidRDefault="00A8583D" w:rsidP="008919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Fetotoxicity in mice at 5,000 ppm; no evidence of teratogenicity; no further information</w:t>
            </w:r>
          </w:p>
          <w:p w14:paraId="27E9E0AB" w14:textId="6A9BEDC0" w:rsidR="001E13FD" w:rsidRDefault="00A8583D" w:rsidP="008919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Mice exposed </w:t>
            </w:r>
            <w:r w:rsidR="00D017C4">
              <w:t>at</w:t>
            </w:r>
            <w:r>
              <w:t xml:space="preserve"> 15,0</w:t>
            </w:r>
            <w:r w:rsidR="001E13FD">
              <w:t>00 ppm 6 h/d, 5 d/</w:t>
            </w:r>
            <w:proofErr w:type="spellStart"/>
            <w:r w:rsidR="001E13FD">
              <w:t>wk</w:t>
            </w:r>
            <w:proofErr w:type="spellEnd"/>
            <w:r w:rsidR="001E13FD">
              <w:t xml:space="preserve"> for 100 </w:t>
            </w:r>
            <w:proofErr w:type="spellStart"/>
            <w:r w:rsidR="001E13FD">
              <w:t>wk</w:t>
            </w:r>
            <w:proofErr w:type="spellEnd"/>
            <w:r w:rsidR="001E13FD">
              <w:t xml:space="preserve"> produced significant increase in</w:t>
            </w:r>
            <w:r>
              <w:t xml:space="preserve"> </w:t>
            </w:r>
            <w:r w:rsidR="001E13FD">
              <w:t xml:space="preserve">uterine </w:t>
            </w:r>
            <w:proofErr w:type="gramStart"/>
            <w:r w:rsidR="001E13FD">
              <w:t>cancers;</w:t>
            </w:r>
            <w:proofErr w:type="gramEnd"/>
            <w:r w:rsidR="001E13FD">
              <w:t xml:space="preserve"> no further doses</w:t>
            </w:r>
          </w:p>
          <w:p w14:paraId="1FB2A142" w14:textId="708A94DA" w:rsidR="00A8583D" w:rsidRDefault="001E13FD" w:rsidP="008919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Malignant skin neoplasms in rats </w:t>
            </w:r>
            <w:r w:rsidR="00D66537">
              <w:t xml:space="preserve">exposed </w:t>
            </w:r>
            <w:r w:rsidR="00D017C4">
              <w:t>at</w:t>
            </w:r>
            <w:r>
              <w:t xml:space="preserve"> 15,000 ppm 6 h/d, 5 d/</w:t>
            </w:r>
            <w:proofErr w:type="spellStart"/>
            <w:r>
              <w:t>wk</w:t>
            </w:r>
            <w:proofErr w:type="spellEnd"/>
            <w:r>
              <w:t xml:space="preserve"> for 102 </w:t>
            </w:r>
            <w:proofErr w:type="spellStart"/>
            <w:r>
              <w:t>wk</w:t>
            </w:r>
            <w:proofErr w:type="spellEnd"/>
            <w:r>
              <w:t>; no further doses</w:t>
            </w:r>
            <w:r w:rsidR="00CB1794">
              <w:t>.</w:t>
            </w:r>
          </w:p>
          <w:p w14:paraId="5496129D" w14:textId="77777777" w:rsidR="00132B1B" w:rsidRDefault="00132B1B" w:rsidP="001E13FD">
            <w:pPr>
              <w:pStyle w:val="Tabletextprimarysource"/>
            </w:pPr>
          </w:p>
          <w:p w14:paraId="43BDBCCD" w14:textId="36CA5053" w:rsidR="001E13FD" w:rsidRDefault="001E13FD" w:rsidP="001E13FD">
            <w:pPr>
              <w:pStyle w:val="Tabletextprimarysource"/>
            </w:pPr>
            <w:r>
              <w:t xml:space="preserve">Positive mutagenicity in </w:t>
            </w:r>
            <w:r w:rsidR="00057F10" w:rsidRPr="001E13FD">
              <w:rPr>
                <w:i/>
              </w:rPr>
              <w:t>S</w:t>
            </w:r>
            <w:r w:rsidR="00057F10">
              <w:rPr>
                <w:i/>
              </w:rPr>
              <w:t>.</w:t>
            </w:r>
            <w:r w:rsidR="00057F10" w:rsidRPr="001E13FD">
              <w:rPr>
                <w:i/>
              </w:rPr>
              <w:t xml:space="preserve"> </w:t>
            </w:r>
            <w:r w:rsidRPr="001E13FD">
              <w:rPr>
                <w:i/>
              </w:rPr>
              <w:t>typhimurium</w:t>
            </w:r>
            <w:r w:rsidR="00132B1B">
              <w:t>, but n</w:t>
            </w:r>
            <w:r>
              <w:t>egative in DNA damage</w:t>
            </w:r>
            <w:r w:rsidR="00132B1B">
              <w:t xml:space="preserve"> and </w:t>
            </w:r>
            <w:r>
              <w:t>repair assays with rat or mouse hepatocytes</w:t>
            </w:r>
            <w:r w:rsidR="00CB1794">
              <w:t>.</w:t>
            </w:r>
          </w:p>
          <w:p w14:paraId="745B55D0" w14:textId="217B7D64" w:rsidR="001E13FD" w:rsidRDefault="001E13FD" w:rsidP="001E13FD">
            <w:pPr>
              <w:pStyle w:val="Tabletextprimarysource"/>
            </w:pPr>
            <w:r>
              <w:t>Skin notation based on analogous chemicals such as ethyl bromide, methyl bromide and methyl chloride</w:t>
            </w:r>
            <w:r w:rsidR="00CB1794">
              <w:t>.</w:t>
            </w:r>
          </w:p>
          <w:p w14:paraId="27005B06" w14:textId="77777777" w:rsidR="001E13FD" w:rsidRDefault="001E13FD" w:rsidP="001E13FD">
            <w:pPr>
              <w:pStyle w:val="Tabletextprimarysource"/>
            </w:pPr>
            <w:r>
              <w:t>Insufficient data to recommend a sensitiser notation or STEL.</w:t>
            </w:r>
          </w:p>
          <w:p w14:paraId="32DA3F6D" w14:textId="28FDADC6" w:rsidR="00132B1B" w:rsidRPr="001E13FD" w:rsidRDefault="00132B1B" w:rsidP="001E13FD">
            <w:pPr>
              <w:pStyle w:val="Tabletextprimarysource"/>
            </w:pPr>
          </w:p>
        </w:tc>
      </w:tr>
      <w:tr w:rsidR="00C978F0" w:rsidRPr="00DA352E" w14:paraId="0FEB029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B070FA" w14:textId="213AD88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F227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8F227B">
                  <w:t>NA</w:t>
                </w:r>
                <w:proofErr w:type="spellEnd"/>
              </w:sdtContent>
            </w:sdt>
          </w:p>
        </w:tc>
      </w:tr>
      <w:tr w:rsidR="00C978F0" w:rsidRPr="00DA352E" w14:paraId="531297B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CFE1B4" w14:textId="3DF4837B" w:rsidR="00C978F0" w:rsidRPr="00DA352E" w:rsidRDefault="008F227B" w:rsidP="003365A5">
            <w:pPr>
              <w:pStyle w:val="Tabletextprimarysource"/>
            </w:pPr>
            <w:r>
              <w:t>No report</w:t>
            </w:r>
            <w:r w:rsidR="003F6C34">
              <w:t>.</w:t>
            </w:r>
          </w:p>
        </w:tc>
      </w:tr>
      <w:tr w:rsidR="00C978F0" w:rsidRPr="00DA352E" w14:paraId="1A69B74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B536C2D" w14:textId="0B04EDB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F227B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0D058C" w:rsidRPr="000D058C">
                  <w:t>TWA</w:t>
                </w:r>
                <w:r w:rsidR="000D058C">
                  <w:t>: 100 ppm (268 mg/</w:t>
                </w:r>
                <w:proofErr w:type="spellStart"/>
                <w:r w:rsidR="000D058C">
                  <w:t>m</w:t>
                </w:r>
                <w:r w:rsidR="000D058C" w:rsidRPr="000D058C">
                  <w:rPr>
                    <w:vertAlign w:val="superscript"/>
                  </w:rPr>
                  <w:t>3</w:t>
                </w:r>
                <w:proofErr w:type="spellEnd"/>
                <w:r w:rsidR="000D058C">
                  <w:t>)</w:t>
                </w:r>
              </w:sdtContent>
            </w:sdt>
          </w:p>
        </w:tc>
      </w:tr>
      <w:tr w:rsidR="00C978F0" w:rsidRPr="00DA352E" w14:paraId="2E37ECC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48C58D" w14:textId="77777777" w:rsidR="00C978F0" w:rsidRDefault="001E13FD" w:rsidP="003365A5">
            <w:pPr>
              <w:pStyle w:val="Tabletextprimarysource"/>
            </w:pPr>
            <w:r>
              <w:t>Summary of additional data:</w:t>
            </w:r>
          </w:p>
          <w:p w14:paraId="53A51D01" w14:textId="20720C11" w:rsidR="001E13FD" w:rsidRDefault="001E13FD" w:rsidP="004B364B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 of 1,250 ppm (3,350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) </w:t>
            </w:r>
            <w:r w:rsidR="00A87C8E">
              <w:t>for effects in the heart, CNS and live</w:t>
            </w:r>
            <w:r w:rsidR="00057F10">
              <w:t>r</w:t>
            </w:r>
            <w:r w:rsidR="00A87C8E">
              <w:t xml:space="preserve"> </w:t>
            </w:r>
            <w:r>
              <w:t>in mice; continuous exposure for 11 d</w:t>
            </w:r>
          </w:p>
          <w:p w14:paraId="7D53DBF6" w14:textId="77777777" w:rsidR="001E13FD" w:rsidRDefault="001E13FD" w:rsidP="004B364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TWA derived from </w:t>
            </w:r>
            <w:proofErr w:type="spellStart"/>
            <w:r>
              <w:t>NOAEL</w:t>
            </w:r>
            <w:proofErr w:type="spellEnd"/>
            <w:r>
              <w:t xml:space="preserve"> with uncertainty factor</w:t>
            </w:r>
            <w:r w:rsidR="00A87C8E">
              <w:t xml:space="preserve"> of 10</w:t>
            </w:r>
            <w:r>
              <w:t xml:space="preserve"> for short term animal study.</w:t>
            </w:r>
          </w:p>
          <w:p w14:paraId="64A87907" w14:textId="68D2E2CE" w:rsidR="00132B1B" w:rsidRPr="001E13FD" w:rsidRDefault="00132B1B" w:rsidP="008919CA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64951D7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282F245" w14:textId="44A2799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D058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D058C">
                  <w:t>NA</w:t>
                </w:r>
                <w:proofErr w:type="spellEnd"/>
              </w:sdtContent>
            </w:sdt>
          </w:p>
        </w:tc>
      </w:tr>
      <w:tr w:rsidR="00DA352E" w:rsidRPr="00DA352E" w14:paraId="2436055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97C38E" w14:textId="6993A508" w:rsidR="00DA352E" w:rsidRPr="00DA352E" w:rsidRDefault="000D058C" w:rsidP="003365A5">
            <w:pPr>
              <w:pStyle w:val="Tabletextprimarysource"/>
            </w:pPr>
            <w:r>
              <w:t>No report</w:t>
            </w:r>
            <w:r w:rsidR="003F6C34">
              <w:t>.</w:t>
            </w:r>
          </w:p>
        </w:tc>
      </w:tr>
      <w:tr w:rsidR="00DA352E" w:rsidRPr="00DA352E" w14:paraId="2E3F38A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76A906" w14:textId="4283554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D058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0D058C">
                  <w:t>NA</w:t>
                </w:r>
                <w:proofErr w:type="spellEnd"/>
              </w:sdtContent>
            </w:sdt>
          </w:p>
        </w:tc>
      </w:tr>
      <w:tr w:rsidR="00DA352E" w:rsidRPr="00DA352E" w14:paraId="5788AE2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6D209B" w14:textId="3B581310" w:rsidR="00DA352E" w:rsidRPr="00DA352E" w:rsidRDefault="000D058C" w:rsidP="003365A5">
            <w:pPr>
              <w:pStyle w:val="Tabletextprimarysource"/>
            </w:pPr>
            <w:r>
              <w:t>No report</w:t>
            </w:r>
            <w:r w:rsidR="003F6C34">
              <w:t>.</w:t>
            </w:r>
          </w:p>
        </w:tc>
      </w:tr>
    </w:tbl>
    <w:p w14:paraId="318DF1D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33CD739A" w14:textId="77777777" w:rsidTr="004A7481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2D82F57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40F602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CE75E3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4315BBA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E13569A" w14:textId="77777777" w:rsidTr="004A7481">
        <w:trPr>
          <w:cantSplit/>
        </w:trPr>
        <w:tc>
          <w:tcPr>
            <w:tcW w:w="1494" w:type="dxa"/>
          </w:tcPr>
          <w:p w14:paraId="49CACE6B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045DCA3F" w14:textId="6922E202" w:rsidR="004966BF" w:rsidRPr="00CE617F" w:rsidRDefault="0024062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E13F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D249187" w14:textId="0399FC6C" w:rsidR="004966BF" w:rsidRPr="004C23F4" w:rsidRDefault="001E13F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8" w:type="dxa"/>
          </w:tcPr>
          <w:p w14:paraId="0744F98E" w14:textId="5E7A8DBF" w:rsidR="004966BF" w:rsidRPr="00131869" w:rsidRDefault="001E13FD" w:rsidP="008919CA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131869">
              <w:rPr>
                <w:rFonts w:cs="Arial"/>
              </w:rPr>
              <w:t>Positive for genotoxicity</w:t>
            </w:r>
            <w:r w:rsidR="00CB1794" w:rsidRPr="00131869">
              <w:rPr>
                <w:rFonts w:cs="Arial"/>
              </w:rPr>
              <w:t xml:space="preserve"> </w:t>
            </w:r>
            <w:r w:rsidRPr="00131869">
              <w:rPr>
                <w:rFonts w:cs="Arial"/>
                <w:i/>
                <w:iCs/>
              </w:rPr>
              <w:t>in vitro</w:t>
            </w:r>
            <w:r w:rsidR="00CB1794" w:rsidRPr="00131869">
              <w:rPr>
                <w:rFonts w:cs="Arial"/>
                <w:i/>
                <w:iCs/>
              </w:rPr>
              <w:t xml:space="preserve"> </w:t>
            </w:r>
            <w:r w:rsidRPr="00131869">
              <w:rPr>
                <w:rFonts w:cs="Arial"/>
              </w:rPr>
              <w:t>however genotoxicity has not been demonstrated</w:t>
            </w:r>
            <w:r w:rsidR="00CB1794" w:rsidRPr="00131869">
              <w:rPr>
                <w:rFonts w:cs="Arial"/>
              </w:rPr>
              <w:t xml:space="preserve"> </w:t>
            </w:r>
            <w:r w:rsidRPr="00131869">
              <w:rPr>
                <w:rFonts w:cs="Arial"/>
                <w:i/>
                <w:iCs/>
              </w:rPr>
              <w:t>in vivo</w:t>
            </w:r>
          </w:p>
          <w:p w14:paraId="1EEFBC31" w14:textId="4C0EF91E" w:rsidR="00187664" w:rsidRPr="00131869" w:rsidRDefault="00187664" w:rsidP="008919C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131869">
              <w:rPr>
                <w:rFonts w:cs="Arial"/>
              </w:rPr>
              <w:t>The data are not sufficient to be regarded as probably carcinogenic to humans</w:t>
            </w:r>
            <w:r w:rsidR="00CB1794" w:rsidRPr="00131869">
              <w:rPr>
                <w:rFonts w:cs="Arial"/>
              </w:rPr>
              <w:t>.</w:t>
            </w:r>
          </w:p>
        </w:tc>
      </w:tr>
      <w:tr w:rsidR="004966BF" w:rsidRPr="004C23F4" w14:paraId="6C365AD6" w14:textId="77777777" w:rsidTr="004A7481">
        <w:trPr>
          <w:cantSplit/>
        </w:trPr>
        <w:tc>
          <w:tcPr>
            <w:tcW w:w="1494" w:type="dxa"/>
          </w:tcPr>
          <w:p w14:paraId="5E60DC3E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44EE29FD" w14:textId="7D92920C" w:rsidR="004966BF" w:rsidRPr="00CE617F" w:rsidRDefault="0024062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E13F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FCDA539" w14:textId="5FCA0C74" w:rsidR="004966BF" w:rsidRPr="004C23F4" w:rsidRDefault="001E13F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48" w:type="dxa"/>
          </w:tcPr>
          <w:p w14:paraId="0F488581" w14:textId="08BCBF99" w:rsidR="004966BF" w:rsidRPr="00131869" w:rsidRDefault="001E13FD" w:rsidP="008919C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spellStart"/>
            <w:r w:rsidRPr="00131869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Pr="00131869">
              <w:rPr>
                <w:rStyle w:val="checkbox"/>
                <w:rFonts w:ascii="Arial" w:hAnsi="Arial" w:cs="Arial"/>
              </w:rPr>
              <w:t xml:space="preserve"> of 1,504 ppm identified in mouse developmental inhalation study; </w:t>
            </w:r>
            <w:r w:rsidRPr="00131869">
              <w:t xml:space="preserve">delayed </w:t>
            </w:r>
            <w:r w:rsidRPr="00131869">
              <w:rPr>
                <w:rFonts w:cs="Arial"/>
              </w:rPr>
              <w:t>foetal</w:t>
            </w:r>
            <w:r w:rsidRPr="00131869">
              <w:t xml:space="preserve"> ossification</w:t>
            </w:r>
            <w:r w:rsidR="00CB1794" w:rsidRPr="00131869">
              <w:t>.</w:t>
            </w:r>
          </w:p>
        </w:tc>
      </w:tr>
    </w:tbl>
    <w:bookmarkEnd w:id="0"/>
    <w:p w14:paraId="41298D4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DE4C0F0" w14:textId="77777777" w:rsidTr="00BF576E">
        <w:trPr>
          <w:trHeight w:val="454"/>
          <w:tblHeader/>
        </w:trPr>
        <w:tc>
          <w:tcPr>
            <w:tcW w:w="6597" w:type="dxa"/>
            <w:vAlign w:val="center"/>
          </w:tcPr>
          <w:p w14:paraId="721D33E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55C3832" w14:textId="229EB5F8" w:rsidR="002E0D61" w:rsidRDefault="001E13F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B574186" w14:textId="77777777" w:rsidTr="00BF576E">
        <w:trPr>
          <w:trHeight w:val="454"/>
        </w:trPr>
        <w:tc>
          <w:tcPr>
            <w:tcW w:w="6597" w:type="dxa"/>
            <w:vAlign w:val="center"/>
          </w:tcPr>
          <w:p w14:paraId="6BCA8AC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43BF5F3" w14:textId="6EC3D845" w:rsidR="008A36CF" w:rsidRDefault="001E13F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E4BFB87" w14:textId="77777777" w:rsidTr="00BF576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7D7967C6" w14:textId="40084A14" w:rsidR="008A36CF" w:rsidRPr="006901A2" w:rsidRDefault="001E13F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358F1CA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3B82EA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72A924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BE2B26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2E21AC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79DFC8D" w14:textId="77777777" w:rsidTr="00812887">
        <w:trPr>
          <w:cantSplit/>
        </w:trPr>
        <w:tc>
          <w:tcPr>
            <w:tcW w:w="3227" w:type="dxa"/>
          </w:tcPr>
          <w:p w14:paraId="173A479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D87219" w14:textId="3F586759" w:rsidR="00687890" w:rsidRPr="00DD2F9B" w:rsidRDefault="000D058C" w:rsidP="00DD2F9B">
            <w:pPr>
              <w:pStyle w:val="Tablefont"/>
            </w:pPr>
            <w:proofErr w:type="spellStart"/>
            <w:r w:rsidRPr="000D058C">
              <w:t>Carc</w:t>
            </w:r>
            <w:proofErr w:type="spellEnd"/>
            <w:r w:rsidRPr="000D058C">
              <w:t>. 2</w:t>
            </w:r>
          </w:p>
        </w:tc>
      </w:tr>
      <w:tr w:rsidR="007925F0" w:rsidRPr="004C23F4" w14:paraId="5EB908F9" w14:textId="77777777" w:rsidTr="00812887">
        <w:trPr>
          <w:cantSplit/>
        </w:trPr>
        <w:tc>
          <w:tcPr>
            <w:tcW w:w="3227" w:type="dxa"/>
          </w:tcPr>
          <w:p w14:paraId="62EE9466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75BFEB76" w14:textId="399C66F3" w:rsidR="007925F0" w:rsidRPr="00DD2F9B" w:rsidRDefault="000D058C" w:rsidP="00DD2F9B">
            <w:pPr>
              <w:pStyle w:val="Tablefont"/>
            </w:pPr>
            <w:r w:rsidRPr="000D058C">
              <w:t>Carcinogenicity – category 2</w:t>
            </w:r>
          </w:p>
        </w:tc>
      </w:tr>
      <w:tr w:rsidR="00AF483F" w:rsidRPr="004C23F4" w14:paraId="419FAE34" w14:textId="77777777" w:rsidTr="00812887">
        <w:trPr>
          <w:cantSplit/>
        </w:trPr>
        <w:tc>
          <w:tcPr>
            <w:tcW w:w="3227" w:type="dxa"/>
          </w:tcPr>
          <w:p w14:paraId="7B9A2314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6340A24F" w14:textId="0D531AF2" w:rsidR="00AF483F" w:rsidRPr="00DD2F9B" w:rsidRDefault="000D058C" w:rsidP="00DD2F9B">
            <w:pPr>
              <w:pStyle w:val="Tablefont"/>
            </w:pPr>
            <w:proofErr w:type="spellStart"/>
            <w:r w:rsidRPr="000D058C">
              <w:t>Carc</w:t>
            </w:r>
            <w:proofErr w:type="spellEnd"/>
            <w:r w:rsidRPr="000D058C">
              <w:t>. Cat 3</w:t>
            </w:r>
          </w:p>
        </w:tc>
      </w:tr>
      <w:tr w:rsidR="00687890" w:rsidRPr="004C23F4" w14:paraId="0C29E0D1" w14:textId="77777777" w:rsidTr="00812887">
        <w:trPr>
          <w:cantSplit/>
        </w:trPr>
        <w:tc>
          <w:tcPr>
            <w:tcW w:w="3227" w:type="dxa"/>
          </w:tcPr>
          <w:p w14:paraId="25EAE43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F43192E" w14:textId="2B455FB9" w:rsidR="00687890" w:rsidRPr="00DD2F9B" w:rsidRDefault="000D058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13EF93F" w14:textId="77777777" w:rsidTr="00812887">
        <w:trPr>
          <w:cantSplit/>
        </w:trPr>
        <w:tc>
          <w:tcPr>
            <w:tcW w:w="3227" w:type="dxa"/>
          </w:tcPr>
          <w:p w14:paraId="3DA2630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9BCF63B" w14:textId="6F5E4184" w:rsidR="00E41A26" w:rsidRPr="00DD2F9B" w:rsidRDefault="000D058C" w:rsidP="00DD2F9B">
            <w:pPr>
              <w:pStyle w:val="Tablefont"/>
            </w:pPr>
            <w:proofErr w:type="spellStart"/>
            <w:r w:rsidRPr="000D058C">
              <w:t>Carc</w:t>
            </w:r>
            <w:proofErr w:type="spellEnd"/>
            <w:r w:rsidRPr="000D058C">
              <w:t>. 2</w:t>
            </w:r>
          </w:p>
        </w:tc>
      </w:tr>
      <w:tr w:rsidR="002E0D61" w:rsidRPr="004C23F4" w14:paraId="356527D2" w14:textId="77777777" w:rsidTr="00812887">
        <w:trPr>
          <w:cantSplit/>
        </w:trPr>
        <w:tc>
          <w:tcPr>
            <w:tcW w:w="3227" w:type="dxa"/>
          </w:tcPr>
          <w:p w14:paraId="67ECA81F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CFA9CFA" w14:textId="4CA36D79" w:rsidR="002E0D61" w:rsidRPr="00DD2F9B" w:rsidRDefault="000D058C" w:rsidP="00DD2F9B">
            <w:pPr>
              <w:pStyle w:val="Tablefont"/>
            </w:pPr>
            <w:r w:rsidRPr="000D058C">
              <w:t xml:space="preserve">Carcinogenicity – </w:t>
            </w:r>
            <w:proofErr w:type="spellStart"/>
            <w:r w:rsidRPr="000D058C">
              <w:t>A3</w:t>
            </w:r>
            <w:proofErr w:type="spellEnd"/>
            <w:r w:rsidR="003F6C34">
              <w:t>,</w:t>
            </w:r>
            <w:r w:rsidR="003F6C34" w:rsidRPr="000D058C">
              <w:t xml:space="preserve"> Skin</w:t>
            </w:r>
          </w:p>
        </w:tc>
      </w:tr>
      <w:tr w:rsidR="002E0D61" w:rsidRPr="004C23F4" w14:paraId="4BD01196" w14:textId="77777777" w:rsidTr="00812887">
        <w:trPr>
          <w:cantSplit/>
        </w:trPr>
        <w:tc>
          <w:tcPr>
            <w:tcW w:w="3227" w:type="dxa"/>
          </w:tcPr>
          <w:p w14:paraId="04B566A7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E2FD375" w14:textId="46B36761" w:rsidR="002E0D61" w:rsidRPr="00DD2F9B" w:rsidRDefault="000D058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6DCA0A0" w14:textId="77777777" w:rsidTr="00812887">
        <w:trPr>
          <w:cantSplit/>
        </w:trPr>
        <w:tc>
          <w:tcPr>
            <w:tcW w:w="3227" w:type="dxa"/>
          </w:tcPr>
          <w:p w14:paraId="083F786B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5FB5AF2" w14:textId="35A8411D" w:rsidR="002E0D61" w:rsidRPr="00DD2F9B" w:rsidRDefault="000D058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85E02D4" w14:textId="77777777" w:rsidTr="00812887">
        <w:trPr>
          <w:cantSplit/>
        </w:trPr>
        <w:tc>
          <w:tcPr>
            <w:tcW w:w="3227" w:type="dxa"/>
          </w:tcPr>
          <w:p w14:paraId="290AE222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191FB2F" w14:textId="47F0FA0F" w:rsidR="002E0D61" w:rsidRPr="00DD2F9B" w:rsidRDefault="000D058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17EC0AF" w14:textId="77777777" w:rsidTr="00812887">
        <w:trPr>
          <w:cantSplit/>
        </w:trPr>
        <w:tc>
          <w:tcPr>
            <w:tcW w:w="3227" w:type="dxa"/>
          </w:tcPr>
          <w:p w14:paraId="499F672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345A2AF" w14:textId="4C56FD46" w:rsidR="00386093" w:rsidRPr="00DD2F9B" w:rsidRDefault="000D058C" w:rsidP="00DD2F9B">
            <w:pPr>
              <w:pStyle w:val="Tablefont"/>
            </w:pPr>
            <w:r w:rsidRPr="000D058C">
              <w:t>Carcinogenicity – Group 3</w:t>
            </w:r>
          </w:p>
        </w:tc>
      </w:tr>
      <w:tr w:rsidR="00386093" w:rsidRPr="004C23F4" w14:paraId="1FFC1DEB" w14:textId="77777777" w:rsidTr="00812887">
        <w:trPr>
          <w:cantSplit/>
        </w:trPr>
        <w:tc>
          <w:tcPr>
            <w:tcW w:w="3227" w:type="dxa"/>
          </w:tcPr>
          <w:p w14:paraId="16B2BA64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1A55D60" w14:textId="3B0D45FD" w:rsidR="00386093" w:rsidRPr="00DD2F9B" w:rsidRDefault="000D058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614856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C4DBF3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AB1565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DAE81A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59C22E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04AEE13" w14:textId="62FD7EA6" w:rsidR="00932DCE" w:rsidRPr="004C23F4" w:rsidRDefault="00D91B48" w:rsidP="00686530">
            <w:pPr>
              <w:pStyle w:val="Tablefont"/>
            </w:pPr>
            <w:r>
              <w:t>Insufficient data to assign a skin notation, however a</w:t>
            </w:r>
            <w:r w:rsidR="006770FA">
              <w:t xml:space="preserve">s per the </w:t>
            </w:r>
            <w:proofErr w:type="spellStart"/>
            <w:r w:rsidR="006770FA">
              <w:t>ACGIH</w:t>
            </w:r>
            <w:proofErr w:type="spellEnd"/>
            <w:r w:rsidR="006770FA">
              <w:t xml:space="preserve"> (2018) skin notation is recommended based dermal absorption evidence in analogous chemicals such as ethyl bromide, methyl bromide, and methyl chloride</w:t>
            </w:r>
            <w:r w:rsidR="00CB1794">
              <w:t>.</w:t>
            </w:r>
            <w:r w:rsidR="006770FA">
              <w:t xml:space="preserve"> </w:t>
            </w:r>
          </w:p>
        </w:tc>
      </w:tr>
    </w:tbl>
    <w:bookmarkEnd w:id="3"/>
    <w:p w14:paraId="21F39CC9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5AF4650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9D28C9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68077F" w14:textId="4DD6D10C" w:rsidR="00EB3D1B" w:rsidRDefault="00131869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6CD4D23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7638F8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90D6C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E8B7711" w14:textId="4D95A735" w:rsidR="001B79E5" w:rsidRDefault="000D058C" w:rsidP="001B79E5">
                <w:pPr>
                  <w:pStyle w:val="Tablefont"/>
                </w:pPr>
                <w:r w:rsidRPr="000D058C">
                  <w:t>64.51</w:t>
                </w:r>
              </w:p>
            </w:tc>
          </w:sdtContent>
        </w:sdt>
      </w:tr>
      <w:tr w:rsidR="00A31D99" w:rsidRPr="004C23F4" w14:paraId="36C1816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1872643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8D38C7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8921DA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8F59F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E7C108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07D38DB" w14:textId="77777777" w:rsidTr="00EA6243">
        <w:trPr>
          <w:cantSplit/>
        </w:trPr>
        <w:tc>
          <w:tcPr>
            <w:tcW w:w="4077" w:type="dxa"/>
            <w:vAlign w:val="center"/>
          </w:tcPr>
          <w:p w14:paraId="08883BA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D65410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34B9182" w14:textId="77777777" w:rsidTr="00EA6243">
        <w:trPr>
          <w:cantSplit/>
        </w:trPr>
        <w:tc>
          <w:tcPr>
            <w:tcW w:w="4077" w:type="dxa"/>
            <w:vAlign w:val="center"/>
          </w:tcPr>
          <w:p w14:paraId="3EFB1F1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2E5C1E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B5DCCCF" w14:textId="77777777" w:rsidTr="00EA6243">
        <w:trPr>
          <w:cantSplit/>
        </w:trPr>
        <w:tc>
          <w:tcPr>
            <w:tcW w:w="4077" w:type="dxa"/>
            <w:vAlign w:val="center"/>
          </w:tcPr>
          <w:p w14:paraId="0519E79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DD76580" w14:textId="77777777" w:rsidR="00E06F40" w:rsidRPr="00A006A0" w:rsidRDefault="0024062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88712A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514A2A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0E2F79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E40554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3B41CE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3B1491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34E08C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FC4A20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587D807" w14:textId="24A555E1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75DC6264" w14:textId="7095EC3E" w:rsidR="000D058C" w:rsidRDefault="000D058C" w:rsidP="00084859">
      <w:r w:rsidRPr="002022B6"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(1999) Recommendation from the Scientific Committee on Occupational Exposure Limits for </w:t>
      </w:r>
      <w:r w:rsidRPr="000D058C">
        <w:t>chloroethane</w:t>
      </w:r>
      <w:r>
        <w:t xml:space="preserve">. </w:t>
      </w:r>
      <w:proofErr w:type="spellStart"/>
      <w:r>
        <w:t>SCOEL</w:t>
      </w:r>
      <w:proofErr w:type="spellEnd"/>
      <w:r>
        <w:t>/</w:t>
      </w:r>
      <w:r w:rsidRPr="000D058C">
        <w:t>SUM/23</w:t>
      </w:r>
      <w:r>
        <w:t>.</w:t>
      </w:r>
    </w:p>
    <w:p w14:paraId="082CFCEB" w14:textId="77777777" w:rsidR="00CB1794" w:rsidRDefault="00CB1794" w:rsidP="00CB1794">
      <w:r>
        <w:t>European Chemicals Agency (ECHA) (2019) Ethyl chloride – REACH assessment.</w:t>
      </w:r>
    </w:p>
    <w:p w14:paraId="40EF8B61" w14:textId="77777777" w:rsidR="00CB1794" w:rsidRPr="00351FE0" w:rsidRDefault="00CB1794" w:rsidP="00CB1794">
      <w:r w:rsidRPr="002022B6">
        <w:t>International Agency for Research on Cancer</w:t>
      </w:r>
      <w:r>
        <w:t xml:space="preserve"> (IARC) (</w:t>
      </w:r>
      <w:r w:rsidRPr="00E857A0">
        <w:t>1999</w:t>
      </w:r>
      <w:r>
        <w:t xml:space="preserve">) </w:t>
      </w:r>
      <w:r w:rsidRPr="00E857A0">
        <w:t>Chloroethane</w:t>
      </w:r>
      <w:r>
        <w:t>. IARC Monographs on the evaluation of the carcinogenic risk to humans.</w:t>
      </w:r>
    </w:p>
    <w:p w14:paraId="4EAA20A5" w14:textId="728229D7" w:rsidR="000D058C" w:rsidRDefault="000D058C" w:rsidP="00084859"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</w:t>
      </w:r>
      <w:r w:rsidRPr="000D058C">
        <w:t>2013</w:t>
      </w:r>
      <w:r>
        <w:t xml:space="preserve">) </w:t>
      </w:r>
      <w:r w:rsidRPr="000D058C">
        <w:t xml:space="preserve">Ethane, </w:t>
      </w:r>
      <w:proofErr w:type="spellStart"/>
      <w:r w:rsidRPr="000D058C">
        <w:t>chloro</w:t>
      </w:r>
      <w:proofErr w:type="spellEnd"/>
      <w:r w:rsidRPr="0071660C">
        <w:t xml:space="preserve">: Human health </w:t>
      </w:r>
      <w:r w:rsidRPr="000D058C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7F494931" w14:textId="701E0F2C" w:rsidR="00131869" w:rsidRDefault="00131869" w:rsidP="00131869">
      <w:r>
        <w:t xml:space="preserve">US Environmental Protection Authority (US EPA) (1991)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Ethyl chloride.</w:t>
      </w:r>
    </w:p>
    <w:p w14:paraId="2EB6CCB4" w14:textId="06791ED8" w:rsidR="000D058C" w:rsidRPr="00351FE0" w:rsidRDefault="00131869" w:rsidP="00084859">
      <w:r>
        <w:t>US National Institute for Occupational Safety and Health (</w:t>
      </w:r>
      <w:proofErr w:type="spellStart"/>
      <w:r>
        <w:t>NIOSH</w:t>
      </w:r>
      <w:proofErr w:type="spellEnd"/>
      <w:r>
        <w:t>) (1994) Immediately dangerous to life or health concentrations – Ethyl chloride.</w:t>
      </w:r>
    </w:p>
    <w:sectPr w:rsidR="000D058C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ABDED" w14:textId="77777777" w:rsidR="0062320D" w:rsidRDefault="0062320D" w:rsidP="00F43AD5">
      <w:pPr>
        <w:spacing w:after="0" w:line="240" w:lineRule="auto"/>
      </w:pPr>
      <w:r>
        <w:separator/>
      </w:r>
    </w:p>
  </w:endnote>
  <w:endnote w:type="continuationSeparator" w:id="0">
    <w:p w14:paraId="7FF96197" w14:textId="77777777" w:rsidR="0062320D" w:rsidRDefault="0062320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5C10C8F" w14:textId="34D566A9" w:rsidR="008A36CF" w:rsidRDefault="008F227B" w:rsidP="0034744C">
        <w:pPr>
          <w:pStyle w:val="Footer"/>
          <w:rPr>
            <w:sz w:val="18"/>
            <w:szCs w:val="18"/>
          </w:rPr>
        </w:pPr>
        <w:r w:rsidRPr="008F227B">
          <w:rPr>
            <w:b/>
            <w:sz w:val="18"/>
            <w:szCs w:val="18"/>
          </w:rPr>
          <w:t>Ethyl chloride</w:t>
        </w:r>
        <w:r w:rsidR="008A36CF">
          <w:rPr>
            <w:b/>
            <w:sz w:val="18"/>
            <w:szCs w:val="18"/>
          </w:rPr>
          <w:t xml:space="preserve"> (</w:t>
        </w:r>
        <w:r w:rsidRPr="008F227B">
          <w:rPr>
            <w:b/>
            <w:sz w:val="18"/>
            <w:szCs w:val="18"/>
          </w:rPr>
          <w:t>75-00-3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A0B9C84" w14:textId="3CFCCC6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71DFC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E4D46" w14:textId="77777777" w:rsidR="0062320D" w:rsidRDefault="0062320D" w:rsidP="00F43AD5">
      <w:pPr>
        <w:spacing w:after="0" w:line="240" w:lineRule="auto"/>
      </w:pPr>
      <w:r>
        <w:separator/>
      </w:r>
    </w:p>
  </w:footnote>
  <w:footnote w:type="continuationSeparator" w:id="0">
    <w:p w14:paraId="4B86F466" w14:textId="77777777" w:rsidR="0062320D" w:rsidRDefault="0062320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B598B" w14:textId="7AD68B8C" w:rsidR="00EE0418" w:rsidRDefault="00EE0418" w:rsidP="00EE0418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6402C7" wp14:editId="132D0878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D1BA80" w14:textId="0783F1B8" w:rsidR="008A36CF" w:rsidRPr="00EE0418" w:rsidRDefault="008A36CF" w:rsidP="00EE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C829B" w14:textId="0179BC1D" w:rsidR="00EE0418" w:rsidRDefault="00240620" w:rsidP="00EE0418">
    <w:pPr>
      <w:pStyle w:val="Header"/>
      <w:jc w:val="right"/>
    </w:pPr>
    <w:sdt>
      <w:sdtPr>
        <w:id w:val="985439032"/>
        <w:docPartObj>
          <w:docPartGallery w:val="Watermarks"/>
          <w:docPartUnique/>
        </w:docPartObj>
      </w:sdtPr>
      <w:sdtEndPr/>
      <w:sdtContent/>
    </w:sdt>
    <w:r w:rsidR="00EE0418">
      <w:rPr>
        <w:noProof/>
        <w:lang w:eastAsia="en-AU"/>
      </w:rPr>
      <w:drawing>
        <wp:inline distT="0" distB="0" distL="0" distR="0" wp14:anchorId="4D1D87AC" wp14:editId="1FDEA245">
          <wp:extent cx="2943225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944E0" w14:textId="73F70A43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E7473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04575182">
    <w:abstractNumId w:val="0"/>
  </w:num>
  <w:num w:numId="2" w16cid:durableId="457724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57F10"/>
    <w:rsid w:val="00060B48"/>
    <w:rsid w:val="00067F32"/>
    <w:rsid w:val="00071807"/>
    <w:rsid w:val="00071DFC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58C"/>
    <w:rsid w:val="000D291C"/>
    <w:rsid w:val="000E5A54"/>
    <w:rsid w:val="000E63D3"/>
    <w:rsid w:val="000E67CF"/>
    <w:rsid w:val="000F5AFA"/>
    <w:rsid w:val="001014C7"/>
    <w:rsid w:val="0010461E"/>
    <w:rsid w:val="00106FAA"/>
    <w:rsid w:val="00113443"/>
    <w:rsid w:val="001269A7"/>
    <w:rsid w:val="00131092"/>
    <w:rsid w:val="00131869"/>
    <w:rsid w:val="00132B1B"/>
    <w:rsid w:val="00140E6A"/>
    <w:rsid w:val="00146545"/>
    <w:rsid w:val="00146B75"/>
    <w:rsid w:val="0015266D"/>
    <w:rsid w:val="0015288A"/>
    <w:rsid w:val="00160F47"/>
    <w:rsid w:val="001706F2"/>
    <w:rsid w:val="00177CA1"/>
    <w:rsid w:val="00181F5F"/>
    <w:rsid w:val="00183823"/>
    <w:rsid w:val="00183942"/>
    <w:rsid w:val="001847CA"/>
    <w:rsid w:val="00187664"/>
    <w:rsid w:val="001A009E"/>
    <w:rsid w:val="001A1287"/>
    <w:rsid w:val="001A3859"/>
    <w:rsid w:val="001A3C9D"/>
    <w:rsid w:val="001A43F8"/>
    <w:rsid w:val="001B79E5"/>
    <w:rsid w:val="001C6231"/>
    <w:rsid w:val="001D56F0"/>
    <w:rsid w:val="001D663B"/>
    <w:rsid w:val="001D7B41"/>
    <w:rsid w:val="001E13FD"/>
    <w:rsid w:val="001E46DA"/>
    <w:rsid w:val="001E7D80"/>
    <w:rsid w:val="001F3AD8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0620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E6285"/>
    <w:rsid w:val="0030740C"/>
    <w:rsid w:val="00313818"/>
    <w:rsid w:val="00314717"/>
    <w:rsid w:val="00315833"/>
    <w:rsid w:val="003171C5"/>
    <w:rsid w:val="003215EE"/>
    <w:rsid w:val="003224BF"/>
    <w:rsid w:val="003241A8"/>
    <w:rsid w:val="003253F0"/>
    <w:rsid w:val="003337DA"/>
    <w:rsid w:val="00333AF0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4200"/>
    <w:rsid w:val="00370DBF"/>
    <w:rsid w:val="00376BF5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6C34"/>
    <w:rsid w:val="004030BC"/>
    <w:rsid w:val="00403F7D"/>
    <w:rsid w:val="00404B31"/>
    <w:rsid w:val="00406785"/>
    <w:rsid w:val="004079B4"/>
    <w:rsid w:val="00417A56"/>
    <w:rsid w:val="00420957"/>
    <w:rsid w:val="00422A10"/>
    <w:rsid w:val="00430179"/>
    <w:rsid w:val="00436AF0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7481"/>
    <w:rsid w:val="004B364B"/>
    <w:rsid w:val="004C1E3F"/>
    <w:rsid w:val="004C23F4"/>
    <w:rsid w:val="004C3475"/>
    <w:rsid w:val="004C58B6"/>
    <w:rsid w:val="004D16A3"/>
    <w:rsid w:val="004D4AA1"/>
    <w:rsid w:val="004D6D68"/>
    <w:rsid w:val="004E18D1"/>
    <w:rsid w:val="004E5EDD"/>
    <w:rsid w:val="004F448A"/>
    <w:rsid w:val="004F493D"/>
    <w:rsid w:val="004F65E8"/>
    <w:rsid w:val="0050005E"/>
    <w:rsid w:val="00502B88"/>
    <w:rsid w:val="00502DA0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6691"/>
    <w:rsid w:val="005B771D"/>
    <w:rsid w:val="005C5D16"/>
    <w:rsid w:val="005D3193"/>
    <w:rsid w:val="005D4A6E"/>
    <w:rsid w:val="005E6979"/>
    <w:rsid w:val="005E75CB"/>
    <w:rsid w:val="005F27B8"/>
    <w:rsid w:val="006013C1"/>
    <w:rsid w:val="0060669E"/>
    <w:rsid w:val="00610F2E"/>
    <w:rsid w:val="00611399"/>
    <w:rsid w:val="0062320D"/>
    <w:rsid w:val="00624C4E"/>
    <w:rsid w:val="00625200"/>
    <w:rsid w:val="0062576A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0FA"/>
    <w:rsid w:val="00677D9B"/>
    <w:rsid w:val="00686530"/>
    <w:rsid w:val="006867F3"/>
    <w:rsid w:val="00687890"/>
    <w:rsid w:val="006901A2"/>
    <w:rsid w:val="00690368"/>
    <w:rsid w:val="0069079C"/>
    <w:rsid w:val="00690B53"/>
    <w:rsid w:val="00695B72"/>
    <w:rsid w:val="006B160A"/>
    <w:rsid w:val="006B42A6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0326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1B4E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19CA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227B"/>
    <w:rsid w:val="008F5DCD"/>
    <w:rsid w:val="00900951"/>
    <w:rsid w:val="009118A6"/>
    <w:rsid w:val="00916909"/>
    <w:rsid w:val="00916EC0"/>
    <w:rsid w:val="00920467"/>
    <w:rsid w:val="00921DE7"/>
    <w:rsid w:val="00922FD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699B"/>
    <w:rsid w:val="009B2FF2"/>
    <w:rsid w:val="009B380C"/>
    <w:rsid w:val="009B4843"/>
    <w:rsid w:val="009B6543"/>
    <w:rsid w:val="009C199D"/>
    <w:rsid w:val="009C278F"/>
    <w:rsid w:val="009C2B94"/>
    <w:rsid w:val="009C5874"/>
    <w:rsid w:val="009C7017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583D"/>
    <w:rsid w:val="00A8672F"/>
    <w:rsid w:val="00A87C8E"/>
    <w:rsid w:val="00A93057"/>
    <w:rsid w:val="00A968B0"/>
    <w:rsid w:val="00AB2672"/>
    <w:rsid w:val="00AB2817"/>
    <w:rsid w:val="00AB43C4"/>
    <w:rsid w:val="00AC32E7"/>
    <w:rsid w:val="00AC3A9F"/>
    <w:rsid w:val="00AC6D2F"/>
    <w:rsid w:val="00AD52E6"/>
    <w:rsid w:val="00AE2745"/>
    <w:rsid w:val="00AE2F64"/>
    <w:rsid w:val="00AE6216"/>
    <w:rsid w:val="00AF42CB"/>
    <w:rsid w:val="00AF483F"/>
    <w:rsid w:val="00AF5E07"/>
    <w:rsid w:val="00AF5F06"/>
    <w:rsid w:val="00B00A25"/>
    <w:rsid w:val="00B1422A"/>
    <w:rsid w:val="00B1765C"/>
    <w:rsid w:val="00B213C4"/>
    <w:rsid w:val="00B24185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0DFF"/>
    <w:rsid w:val="00BF2406"/>
    <w:rsid w:val="00BF576E"/>
    <w:rsid w:val="00C0206D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3D53"/>
    <w:rsid w:val="00C74833"/>
    <w:rsid w:val="00C850A0"/>
    <w:rsid w:val="00C85A86"/>
    <w:rsid w:val="00C978F0"/>
    <w:rsid w:val="00CA58FE"/>
    <w:rsid w:val="00CB1794"/>
    <w:rsid w:val="00CB1CB1"/>
    <w:rsid w:val="00CB2169"/>
    <w:rsid w:val="00CB6BC1"/>
    <w:rsid w:val="00CB6CB8"/>
    <w:rsid w:val="00CC1A68"/>
    <w:rsid w:val="00CC2123"/>
    <w:rsid w:val="00CC3B82"/>
    <w:rsid w:val="00CD2BFD"/>
    <w:rsid w:val="00CE5AD6"/>
    <w:rsid w:val="00CE617F"/>
    <w:rsid w:val="00CE78EF"/>
    <w:rsid w:val="00D017C4"/>
    <w:rsid w:val="00D048F7"/>
    <w:rsid w:val="00D0517E"/>
    <w:rsid w:val="00D140FC"/>
    <w:rsid w:val="00D21D8C"/>
    <w:rsid w:val="00D31357"/>
    <w:rsid w:val="00D33220"/>
    <w:rsid w:val="00D334D1"/>
    <w:rsid w:val="00D44959"/>
    <w:rsid w:val="00D44C89"/>
    <w:rsid w:val="00D516CD"/>
    <w:rsid w:val="00D66537"/>
    <w:rsid w:val="00D668E6"/>
    <w:rsid w:val="00D70670"/>
    <w:rsid w:val="00D74D80"/>
    <w:rsid w:val="00D76624"/>
    <w:rsid w:val="00D87570"/>
    <w:rsid w:val="00D91B48"/>
    <w:rsid w:val="00D91CB9"/>
    <w:rsid w:val="00D97989"/>
    <w:rsid w:val="00D97D8D"/>
    <w:rsid w:val="00DA1BB5"/>
    <w:rsid w:val="00DA352E"/>
    <w:rsid w:val="00DA3CAD"/>
    <w:rsid w:val="00DC0065"/>
    <w:rsid w:val="00DC441B"/>
    <w:rsid w:val="00DC7694"/>
    <w:rsid w:val="00DD1BF6"/>
    <w:rsid w:val="00DD2F9B"/>
    <w:rsid w:val="00DD54C8"/>
    <w:rsid w:val="00DE2513"/>
    <w:rsid w:val="00DE26E8"/>
    <w:rsid w:val="00DF6F36"/>
    <w:rsid w:val="00DF7040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57A0"/>
    <w:rsid w:val="00E92499"/>
    <w:rsid w:val="00E949AF"/>
    <w:rsid w:val="00E96077"/>
    <w:rsid w:val="00EA0A06"/>
    <w:rsid w:val="00EA6243"/>
    <w:rsid w:val="00EA74AB"/>
    <w:rsid w:val="00EB3D1B"/>
    <w:rsid w:val="00EC5557"/>
    <w:rsid w:val="00ED1D89"/>
    <w:rsid w:val="00ED66BC"/>
    <w:rsid w:val="00EE0418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263F"/>
    <w:rsid w:val="00F6491C"/>
    <w:rsid w:val="00F67BBB"/>
    <w:rsid w:val="00F87D92"/>
    <w:rsid w:val="00F90AA7"/>
    <w:rsid w:val="00F92498"/>
    <w:rsid w:val="00F9496B"/>
    <w:rsid w:val="00F970C9"/>
    <w:rsid w:val="00FA06A8"/>
    <w:rsid w:val="00FA3409"/>
    <w:rsid w:val="00FA3DF5"/>
    <w:rsid w:val="00FA741F"/>
    <w:rsid w:val="00FB4E07"/>
    <w:rsid w:val="00FB755A"/>
    <w:rsid w:val="00FC60A2"/>
    <w:rsid w:val="00FD16AE"/>
    <w:rsid w:val="00FD1871"/>
    <w:rsid w:val="00FD3110"/>
    <w:rsid w:val="00FE04E5"/>
    <w:rsid w:val="00FE7842"/>
    <w:rsid w:val="00FF0EE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02DA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6C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C3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C3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C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C34"/>
    <w:rPr>
      <w:b/>
      <w:bCs/>
      <w:szCs w:val="20"/>
    </w:rPr>
  </w:style>
  <w:style w:type="paragraph" w:styleId="Revision">
    <w:name w:val="Revision"/>
    <w:hidden/>
    <w:uiPriority w:val="99"/>
    <w:semiHidden/>
    <w:rsid w:val="00841B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20E07368B36482EB4CD4DC7AF287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426F2-D60A-4726-82FD-EACB99277104}"/>
      </w:docPartPr>
      <w:docPartBody>
        <w:p w:rsidR="00151AA5" w:rsidRDefault="006B3EF0" w:rsidP="006B3EF0">
          <w:pPr>
            <w:pStyle w:val="220E07368B36482EB4CD4DC7AF287B3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6DD2"/>
    <w:rsid w:val="00151AA5"/>
    <w:rsid w:val="001F3AD8"/>
    <w:rsid w:val="006B3EF0"/>
    <w:rsid w:val="00920952"/>
    <w:rsid w:val="00C31319"/>
    <w:rsid w:val="00D21A9F"/>
    <w:rsid w:val="00F71332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3EF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20E07368B36482EB4CD4DC7AF287B30">
    <w:name w:val="220E07368B36482EB4CD4DC7AF287B30"/>
    <w:rsid w:val="006B3E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16649E-5AAC-402C-8B0B-28429E096D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68A0BD-6B44-4241-8612-C46AF5547A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68E9BD-A228-4597-A004-569629C15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939656-4200-485C-8CCF-FA52666DBDEA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0509f21-ed56-4150-9955-96be669e5f2d"/>
    <ds:schemaRef ds:uri="http://www.w3.org/XML/1998/namespace"/>
    <ds:schemaRef ds:uri="1c567317-0c4d-4a62-8516-c22afd1b535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1136</Words>
  <Characters>6276</Characters>
  <Application>Microsoft Office Word</Application>
  <DocSecurity>0</DocSecurity>
  <Lines>216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2019-11-27T04:27:00Z</dcterms:created>
  <dcterms:modified xsi:type="dcterms:W3CDTF">2026-01-09T00:12:00Z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2025-12-23T03:40:03Z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dd917cb6-1ef2-47d4-bbe6-bc58af9f380a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