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982E706" w14:textId="259695AA" w:rsidR="00BD499F" w:rsidRPr="004C23F4" w:rsidRDefault="0058505D" w:rsidP="00B40C60">
          <w:pPr>
            <w:pStyle w:val="Heading1"/>
            <w:jc w:val="center"/>
            <w:rPr>
              <w:rFonts w:ascii="Arial" w:hAnsi="Arial" w:cs="Arial"/>
            </w:rPr>
          </w:pPr>
          <w:r w:rsidRPr="0058505D">
            <w:rPr>
              <w:rFonts w:ascii="Arial" w:hAnsi="Arial" w:cs="Arial"/>
            </w:rPr>
            <w:t>Ethyl butyl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0F5CA550" w14:textId="77777777" w:rsidTr="00B76A41">
        <w:trPr>
          <w:cantSplit/>
          <w:tblHeader/>
        </w:trPr>
        <w:tc>
          <w:tcPr>
            <w:tcW w:w="4077" w:type="dxa"/>
          </w:tcPr>
          <w:p w14:paraId="0DE5C09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21A8B3E" w14:textId="72FA96E3" w:rsidR="00F43AD5" w:rsidRPr="00717D45" w:rsidRDefault="0058505D" w:rsidP="00B76A41">
            <w:pPr>
              <w:pStyle w:val="Tablefont"/>
            </w:pPr>
            <w:r w:rsidRPr="0058505D">
              <w:t>106-35-4</w:t>
            </w:r>
          </w:p>
        </w:tc>
      </w:tr>
      <w:tr w:rsidR="00F43AD5" w:rsidRPr="004C23F4" w14:paraId="5A0439C3" w14:textId="77777777" w:rsidTr="00B76A41">
        <w:trPr>
          <w:cantSplit/>
        </w:trPr>
        <w:tc>
          <w:tcPr>
            <w:tcW w:w="4077" w:type="dxa"/>
          </w:tcPr>
          <w:p w14:paraId="703EB51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0B63B0D" w14:textId="1A6BC54E" w:rsidR="00F43AD5" w:rsidRPr="00717D45" w:rsidRDefault="002221A1" w:rsidP="00B76A41">
            <w:pPr>
              <w:pStyle w:val="Tablefont"/>
            </w:pPr>
            <w:r>
              <w:t>Butyl ethyl ketone, EBK, 3-h</w:t>
            </w:r>
            <w:r w:rsidR="000B6066">
              <w:t xml:space="preserve">eptanone, </w:t>
            </w:r>
            <w:r w:rsidR="00653D09">
              <w:t>heptan</w:t>
            </w:r>
            <w:r w:rsidR="000B6066">
              <w:t>-3-one</w:t>
            </w:r>
          </w:p>
        </w:tc>
      </w:tr>
      <w:tr w:rsidR="00F43AD5" w:rsidRPr="004C23F4" w14:paraId="6F53609E" w14:textId="77777777" w:rsidTr="00B76A41">
        <w:trPr>
          <w:cantSplit/>
        </w:trPr>
        <w:tc>
          <w:tcPr>
            <w:tcW w:w="4077" w:type="dxa"/>
          </w:tcPr>
          <w:p w14:paraId="6F28D81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CF6B390" w14:textId="3113938B" w:rsidR="00F43AD5" w:rsidRPr="00717D45" w:rsidRDefault="000B6066" w:rsidP="00B76A41">
            <w:pPr>
              <w:pStyle w:val="Tablefont"/>
            </w:pPr>
            <w:r>
              <w:t>C</w:t>
            </w:r>
            <w:r w:rsidRPr="000B6066">
              <w:rPr>
                <w:vertAlign w:val="subscript"/>
              </w:rPr>
              <w:t>7</w:t>
            </w:r>
            <w:r>
              <w:t>H</w:t>
            </w:r>
            <w:r w:rsidRPr="000B6066">
              <w:rPr>
                <w:vertAlign w:val="subscript"/>
              </w:rPr>
              <w:t>14</w:t>
            </w:r>
            <w:r>
              <w:t>O</w:t>
            </w:r>
          </w:p>
        </w:tc>
      </w:tr>
      <w:tr w:rsidR="00F43AD5" w:rsidRPr="004C23F4" w14:paraId="11CC25E2" w14:textId="77777777" w:rsidTr="00B76A41">
        <w:trPr>
          <w:cantSplit/>
        </w:trPr>
        <w:tc>
          <w:tcPr>
            <w:tcW w:w="4077" w:type="dxa"/>
          </w:tcPr>
          <w:p w14:paraId="6CAE8E4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F94FD73" w14:textId="0DA79953" w:rsidR="00F43AD5" w:rsidRPr="00653D09" w:rsidRDefault="000B6066" w:rsidP="00B76A41">
            <w:pPr>
              <w:pStyle w:val="Tablerowheading"/>
              <w:rPr>
                <w:b w:val="0"/>
              </w:rPr>
            </w:pPr>
            <w:r w:rsidRPr="00A56647">
              <w:rPr>
                <w:b w:val="0"/>
              </w:rPr>
              <w:t>—</w:t>
            </w:r>
          </w:p>
        </w:tc>
      </w:tr>
    </w:tbl>
    <w:p w14:paraId="5FD60160" w14:textId="49DA753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641B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295E53F" w14:textId="77777777" w:rsidTr="00ED5158">
        <w:trPr>
          <w:cantSplit/>
          <w:tblHeader/>
        </w:trPr>
        <w:tc>
          <w:tcPr>
            <w:tcW w:w="4005" w:type="dxa"/>
            <w:vAlign w:val="center"/>
          </w:tcPr>
          <w:p w14:paraId="2FFFBB8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0C938D5" w14:textId="4B1116B7" w:rsidR="002C7AFE" w:rsidRPr="002641BF" w:rsidRDefault="002641B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 (234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01215272" w14:textId="77777777" w:rsidTr="00ED5158">
        <w:trPr>
          <w:cantSplit/>
        </w:trPr>
        <w:tc>
          <w:tcPr>
            <w:tcW w:w="4005" w:type="dxa"/>
            <w:vAlign w:val="center"/>
          </w:tcPr>
          <w:p w14:paraId="0B887FA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E94E4FC" w14:textId="37563AD6" w:rsidR="002C7AFE" w:rsidRPr="002641BF" w:rsidRDefault="002641B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 ppm (350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42E57255" w14:textId="77777777" w:rsidTr="00ED5158">
        <w:trPr>
          <w:cantSplit/>
        </w:trPr>
        <w:tc>
          <w:tcPr>
            <w:tcW w:w="4005" w:type="dxa"/>
            <w:vAlign w:val="center"/>
          </w:tcPr>
          <w:p w14:paraId="76648A0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A10D5C4" w14:textId="6081EAA0" w:rsidR="002C7AFE" w:rsidRPr="00EB3D1B" w:rsidRDefault="00653D0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C14CA6D" w14:textId="77777777" w:rsidTr="00ED5158">
        <w:trPr>
          <w:cantSplit/>
        </w:trPr>
        <w:tc>
          <w:tcPr>
            <w:tcW w:w="4005" w:type="dxa"/>
          </w:tcPr>
          <w:p w14:paraId="775FEE3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6426476" w14:textId="393EE182" w:rsidR="002C7AFE" w:rsidRPr="00EB3D1B" w:rsidRDefault="00653D0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F7581A9" w14:textId="77777777" w:rsidTr="00ED5158">
        <w:trPr>
          <w:cantSplit/>
        </w:trPr>
        <w:tc>
          <w:tcPr>
            <w:tcW w:w="4005" w:type="dxa"/>
            <w:vAlign w:val="center"/>
          </w:tcPr>
          <w:p w14:paraId="34A67CF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2158AAA" w14:textId="3C5E142A" w:rsidR="002C7AFE" w:rsidRPr="00EB3D1B" w:rsidRDefault="000B606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653D09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ED5158" w:rsidRPr="004C23F4" w14:paraId="0371803D" w14:textId="77777777" w:rsidTr="00FD279D">
        <w:trPr>
          <w:cantSplit/>
        </w:trPr>
        <w:tc>
          <w:tcPr>
            <w:tcW w:w="9026" w:type="dxa"/>
            <w:gridSpan w:val="2"/>
            <w:vAlign w:val="center"/>
          </w:tcPr>
          <w:p w14:paraId="754F6F66" w14:textId="2ACB624F" w:rsidR="00ED5158" w:rsidRPr="00EB3D1B" w:rsidRDefault="00ED5158" w:rsidP="00017C82">
            <w:pPr>
              <w:pStyle w:val="Tablefont"/>
              <w:rPr>
                <w:b/>
              </w:rPr>
            </w:pPr>
            <w:r w:rsidRPr="002221A1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37D88BE18E74D4298AA84D8EAE1FC5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2221A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451521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6B11706" w14:textId="18F76437" w:rsidR="002641BF" w:rsidRDefault="002221A1" w:rsidP="002641BF">
      <w:pPr>
        <w:rPr>
          <w:rFonts w:cs="Arial"/>
        </w:rPr>
      </w:pPr>
      <w:r>
        <w:rPr>
          <w:rFonts w:cs="Arial"/>
        </w:rPr>
        <w:t>A</w:t>
      </w:r>
      <w:r w:rsidR="002641BF">
        <w:rPr>
          <w:rFonts w:cs="Arial"/>
        </w:rPr>
        <w:t xml:space="preserve"> TWA of 50 ppm (234 mg/m</w:t>
      </w:r>
      <w:r w:rsidR="002641BF">
        <w:rPr>
          <w:rFonts w:cs="Arial"/>
          <w:vertAlign w:val="superscript"/>
        </w:rPr>
        <w:t>3</w:t>
      </w:r>
      <w:r w:rsidR="002641BF">
        <w:rPr>
          <w:rFonts w:cs="Arial"/>
        </w:rPr>
        <w:t xml:space="preserve">) is recommended to </w:t>
      </w:r>
      <w:r w:rsidR="002641BF">
        <w:t>protect for irritation effects</w:t>
      </w:r>
      <w:r w:rsidR="00380790">
        <w:t xml:space="preserve"> and potential central nervous system (CNS) effects</w:t>
      </w:r>
      <w:r w:rsidR="002641BF">
        <w:t xml:space="preserve"> in exposed workers</w:t>
      </w:r>
      <w:r w:rsidR="00653D09">
        <w:t>.</w:t>
      </w:r>
    </w:p>
    <w:p w14:paraId="12CD163A" w14:textId="0A14D41A" w:rsidR="002641BF" w:rsidRPr="004C23F4" w:rsidRDefault="002221A1" w:rsidP="002641BF">
      <w:pPr>
        <w:rPr>
          <w:rFonts w:cs="Arial"/>
        </w:rPr>
      </w:pPr>
      <w:r>
        <w:rPr>
          <w:rFonts w:cs="Arial"/>
        </w:rPr>
        <w:t>A</w:t>
      </w:r>
      <w:r w:rsidR="002641BF">
        <w:rPr>
          <w:rFonts w:cs="Arial"/>
        </w:rPr>
        <w:t xml:space="preserve"> STEL of 75 ppm (350 mg/m</w:t>
      </w:r>
      <w:r w:rsidR="002641BF">
        <w:rPr>
          <w:rFonts w:cs="Arial"/>
          <w:vertAlign w:val="superscript"/>
        </w:rPr>
        <w:t>3</w:t>
      </w:r>
      <w:r w:rsidR="002641BF">
        <w:rPr>
          <w:rFonts w:cs="Arial"/>
        </w:rPr>
        <w:t xml:space="preserve">) is recommended </w:t>
      </w:r>
      <w:r w:rsidR="002641BF">
        <w:t>to protect for</w:t>
      </w:r>
      <w:r w:rsidR="00F254AD">
        <w:t xml:space="preserve"> acute</w:t>
      </w:r>
      <w:r w:rsidR="00380790">
        <w:t xml:space="preserve"> eye irritation</w:t>
      </w:r>
      <w:r w:rsidR="002641BF">
        <w:t xml:space="preserve"> in exposed workers.</w:t>
      </w:r>
    </w:p>
    <w:p w14:paraId="28A816F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EA76D7E" w14:textId="71B0B0CC" w:rsidR="00D76307" w:rsidRDefault="00530F24" w:rsidP="002641BF">
      <w:r>
        <w:t>Ethyl butyl ketone (EBK) occurs naturally in breads and other baked goods and is used as a fragrance in soaps, perfumes, detergents and creams and lotions.</w:t>
      </w:r>
      <w:r w:rsidR="002641BF">
        <w:t xml:space="preserve"> </w:t>
      </w:r>
      <w:r w:rsidR="002221A1">
        <w:t xml:space="preserve">The critical effects include skin and eye irritation and in high concentrations, narcosis. </w:t>
      </w:r>
    </w:p>
    <w:p w14:paraId="3D6B27B6" w14:textId="0D717B24" w:rsidR="00380790" w:rsidRDefault="002641BF" w:rsidP="006639B4">
      <w:r>
        <w:t>Limited toxicological data exists in humans and animals</w:t>
      </w:r>
      <w:r w:rsidR="00D76307">
        <w:t>.</w:t>
      </w:r>
      <w:r>
        <w:t xml:space="preserve"> No irritation or sensitisation produced in patch and maximisation tests in humans. </w:t>
      </w:r>
      <w:r w:rsidR="00D331C2">
        <w:t>No adverse effects reported in r</w:t>
      </w:r>
      <w:r>
        <w:t xml:space="preserve">ats exposed by inhalation to 700 ppm for 24 </w:t>
      </w:r>
      <w:r w:rsidR="00F7773D">
        <w:t xml:space="preserve">weeks. </w:t>
      </w:r>
      <w:r>
        <w:t>The ACGIH (2018) based its TLV–TWA predominantly by analogy to methyl amyl ketone, methyl isoamyl ketone and methyl isobutyl ketone</w:t>
      </w:r>
      <w:r w:rsidR="00380790">
        <w:t xml:space="preserve"> (MIBK). The TLV-TWA for MIBK </w:t>
      </w:r>
      <w:r w:rsidR="001D2BFD">
        <w:t>is protective for</w:t>
      </w:r>
      <w:r w:rsidR="00380790">
        <w:t xml:space="preserve"> effects to the CNS in addition to irritation. The TLV–STEL for EBK </w:t>
      </w:r>
      <w:r w:rsidR="00AD6F23">
        <w:t>is</w:t>
      </w:r>
      <w:r w:rsidR="00380790">
        <w:t xml:space="preserve"> based on analogy to MIBK. Volunteers reported eye irritation when exposed to concentrations of 200 ppm MIBK and greater for 15 minutes. (ACGIH, 2018).</w:t>
      </w:r>
    </w:p>
    <w:p w14:paraId="43AD7E1F" w14:textId="3DAD3F21" w:rsidR="00380790" w:rsidRPr="004C23F4" w:rsidRDefault="002641BF" w:rsidP="00380790">
      <w:pPr>
        <w:rPr>
          <w:rFonts w:cs="Arial"/>
        </w:rPr>
      </w:pPr>
      <w:r>
        <w:t>In the absence of chemical specific data</w:t>
      </w:r>
      <w:r w:rsidR="002C171C">
        <w:t>,</w:t>
      </w:r>
      <w:r w:rsidR="00380790">
        <w:t xml:space="preserve"> </w:t>
      </w:r>
      <w:r w:rsidR="00D331C2">
        <w:t xml:space="preserve">the current </w:t>
      </w:r>
      <w:r w:rsidR="00380790">
        <w:t xml:space="preserve">TWA of 50 ppm </w:t>
      </w:r>
      <w:r w:rsidR="0096629B">
        <w:t>as</w:t>
      </w:r>
      <w:r w:rsidR="00F15F1D">
        <w:t xml:space="preserve"> </w:t>
      </w:r>
      <w:r w:rsidR="00D331C2">
        <w:t>adopted from ACGIH (2018)</w:t>
      </w:r>
      <w:r w:rsidR="00EF6DFA">
        <w:t xml:space="preserve"> is recommended to be retained</w:t>
      </w:r>
      <w:r w:rsidR="00B41473">
        <w:t>.</w:t>
      </w:r>
      <w:r w:rsidR="00D331C2">
        <w:t xml:space="preserve"> </w:t>
      </w:r>
      <w:r w:rsidR="00B41473">
        <w:t>This TWA is expected to be protective of irritant and CNS effects. The</w:t>
      </w:r>
      <w:r w:rsidR="00380790">
        <w:t xml:space="preserve"> STEL of 75 ppm </w:t>
      </w:r>
      <w:r w:rsidR="00707A12">
        <w:t xml:space="preserve">as assigned </w:t>
      </w:r>
      <w:r w:rsidR="00D331C2">
        <w:t>by ACGIH (2018)</w:t>
      </w:r>
      <w:r w:rsidR="00F7773D">
        <w:t xml:space="preserve"> </w:t>
      </w:r>
      <w:r w:rsidR="00B41473">
        <w:t>is</w:t>
      </w:r>
      <w:r w:rsidR="00380790">
        <w:t xml:space="preserve"> recommended</w:t>
      </w:r>
      <w:r w:rsidR="00380790" w:rsidRPr="00380790">
        <w:t xml:space="preserve"> to minimise the </w:t>
      </w:r>
      <w:r w:rsidR="001D2BFD">
        <w:t>effects of acute</w:t>
      </w:r>
      <w:r w:rsidR="00380790" w:rsidRPr="00380790">
        <w:t xml:space="preserve"> exposures</w:t>
      </w:r>
      <w:r w:rsidR="00380790">
        <w:t>.</w:t>
      </w:r>
    </w:p>
    <w:p w14:paraId="34612E7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BD07A14" w14:textId="18DEB014" w:rsidR="0058505D" w:rsidRPr="00A70823" w:rsidRDefault="0058505D" w:rsidP="0058505D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2221A1">
        <w:rPr>
          <w:rFonts w:cs="Arial"/>
        </w:rPr>
        <w:t xml:space="preserve"> Classification and Labelling of</w:t>
      </w:r>
      <w:r w:rsidRPr="00A70823">
        <w:rPr>
          <w:rFonts w:cs="Arial"/>
        </w:rPr>
        <w:t xml:space="preserve"> Chemicals (GHS). </w:t>
      </w:r>
    </w:p>
    <w:p w14:paraId="57E80258" w14:textId="53AEC0FF" w:rsidR="0058505D" w:rsidRPr="00A70823" w:rsidRDefault="0058505D" w:rsidP="0058505D">
      <w:pPr>
        <w:rPr>
          <w:rFonts w:cs="Arial"/>
        </w:rPr>
      </w:pPr>
      <w:r w:rsidRPr="00A70823">
        <w:rPr>
          <w:rFonts w:cs="Arial"/>
        </w:rPr>
        <w:lastRenderedPageBreak/>
        <w:t>Not classified as a skin</w:t>
      </w:r>
      <w:r w:rsidR="00A56647">
        <w:rPr>
          <w:rFonts w:cs="Arial"/>
        </w:rPr>
        <w:t xml:space="preserve"> </w:t>
      </w:r>
      <w:r w:rsidR="00A56647" w:rsidRPr="00A70823">
        <w:rPr>
          <w:rFonts w:cs="Arial"/>
        </w:rPr>
        <w:t>sensitiser</w:t>
      </w:r>
      <w:r w:rsidRPr="00A70823">
        <w:rPr>
          <w:rFonts w:cs="Arial"/>
        </w:rPr>
        <w:t xml:space="preserve"> or respiratory sensitiser according to the GHS.</w:t>
      </w:r>
    </w:p>
    <w:p w14:paraId="7AAEC2D5" w14:textId="2AF767F4" w:rsidR="0058505D" w:rsidRPr="004C23F4" w:rsidRDefault="002221A1" w:rsidP="0058505D">
      <w:pPr>
        <w:rPr>
          <w:rFonts w:cs="Arial"/>
        </w:rPr>
      </w:pPr>
      <w:r>
        <w:rPr>
          <w:rFonts w:cs="Arial"/>
        </w:rPr>
        <w:t>There are i</w:t>
      </w:r>
      <w:r w:rsidR="0058505D" w:rsidRPr="00A70823">
        <w:rPr>
          <w:rFonts w:cs="Arial"/>
        </w:rPr>
        <w:t xml:space="preserve">nsufficient </w:t>
      </w:r>
      <w:r>
        <w:rPr>
          <w:rFonts w:cs="Arial"/>
        </w:rPr>
        <w:t>data</w:t>
      </w:r>
      <w:r w:rsidR="0058505D" w:rsidRPr="00A70823">
        <w:rPr>
          <w:rFonts w:cs="Arial"/>
        </w:rPr>
        <w:t xml:space="preserve"> to recommend a skin notation.</w:t>
      </w:r>
    </w:p>
    <w:p w14:paraId="36A87BBC" w14:textId="77777777" w:rsidR="0025734A" w:rsidRPr="004C23F4" w:rsidRDefault="0025734A">
      <w:pPr>
        <w:rPr>
          <w:rFonts w:cs="Arial"/>
        </w:rPr>
      </w:pPr>
    </w:p>
    <w:p w14:paraId="2AC567F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231326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468BAC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FAB858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0D1E78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43ED7D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22E45F6" w14:textId="3259168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B6066">
                  <w:t xml:space="preserve">1991 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B6066">
                  <w:t>TWA: 50 ppm (234 mg/m</w:t>
                </w:r>
                <w:r w:rsidR="000B6066" w:rsidRPr="000B6066">
                  <w:rPr>
                    <w:vertAlign w:val="superscript"/>
                  </w:rPr>
                  <w:t>3</w:t>
                </w:r>
                <w:r w:rsidR="000B6066">
                  <w:t>)</w:t>
                </w:r>
              </w:sdtContent>
            </w:sdt>
          </w:p>
        </w:tc>
      </w:tr>
      <w:tr w:rsidR="00C978F0" w:rsidRPr="00DA352E" w14:paraId="14F652A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EC2FE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C92E9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CD0703" w14:textId="04CD1BF3" w:rsidR="00C978F0" w:rsidRPr="00DA352E" w:rsidRDefault="00DA352E" w:rsidP="009201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97CFC">
                  <w:t>2001</w:t>
                </w:r>
              </w:sdtContent>
            </w:sdt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B6066">
                  <w:t>TLV-TWA: 50 ppm (234 mg/m</w:t>
                </w:r>
                <w:r w:rsidR="000B6066" w:rsidRPr="000B6066">
                  <w:rPr>
                    <w:vertAlign w:val="superscript"/>
                  </w:rPr>
                  <w:t>3</w:t>
                </w:r>
                <w:r w:rsidR="000B6066">
                  <w:t>)</w:t>
                </w:r>
                <w:r w:rsidR="00E94BE6">
                  <w:t xml:space="preserve"> </w:t>
                </w:r>
                <w:r w:rsidR="000B6066">
                  <w:t>TLV-</w:t>
                </w:r>
                <w:r w:rsidR="00097CFC">
                  <w:t>STEL</w:t>
                </w:r>
                <w:r w:rsidR="000B6066">
                  <w:t>: 75 ppm (350 mg/m</w:t>
                </w:r>
                <w:r w:rsidR="000B6066" w:rsidRPr="000B6066">
                  <w:rPr>
                    <w:vertAlign w:val="superscript"/>
                  </w:rPr>
                  <w:t>3</w:t>
                </w:r>
                <w:r w:rsidR="000B6066">
                  <w:t>)</w:t>
                </w:r>
              </w:sdtContent>
            </w:sdt>
          </w:p>
        </w:tc>
      </w:tr>
      <w:tr w:rsidR="00C978F0" w:rsidRPr="00DA352E" w14:paraId="741985C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C0EEBA" w14:textId="19C95CA7" w:rsidR="00C978F0" w:rsidRDefault="009201B0" w:rsidP="003365A5">
            <w:pPr>
              <w:pStyle w:val="Tabletextprimarysource"/>
            </w:pPr>
            <w:r>
              <w:t>TLV-TWA recommended to minimise the potential for skin and eye irritation and possible narcosis.</w:t>
            </w:r>
          </w:p>
          <w:p w14:paraId="6416C402" w14:textId="77777777" w:rsidR="009201B0" w:rsidRDefault="009201B0" w:rsidP="003365A5">
            <w:pPr>
              <w:pStyle w:val="Tabletextprimarysource"/>
            </w:pPr>
            <w:r>
              <w:t>Summary of data:</w:t>
            </w:r>
          </w:p>
          <w:p w14:paraId="26C96895" w14:textId="3824B511" w:rsidR="009201B0" w:rsidRDefault="009201B0" w:rsidP="007A65E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TLV–TWA is based predominantly by analogy to the TLV-TWAs for methyl amyl ketone, methyl</w:t>
            </w:r>
            <w:r w:rsidR="00E94BE6">
              <w:t> </w:t>
            </w:r>
            <w:r>
              <w:t>isoamyl ketone and methyl isobutyl ketone</w:t>
            </w:r>
            <w:r w:rsidR="00E94BE6">
              <w:t xml:space="preserve">. </w:t>
            </w:r>
            <w:r>
              <w:t>TLV–STEL is based by analogy to methyl isobutyl ketone</w:t>
            </w:r>
            <w:r w:rsidR="002221A1">
              <w:t>.</w:t>
            </w:r>
          </w:p>
          <w:p w14:paraId="1742AB62" w14:textId="77777777" w:rsidR="009201B0" w:rsidRDefault="009201B0" w:rsidP="009201B0">
            <w:pPr>
              <w:pStyle w:val="Tabletextprimarysource"/>
            </w:pPr>
            <w:r>
              <w:t>Human data:</w:t>
            </w:r>
          </w:p>
          <w:p w14:paraId="61419222" w14:textId="77777777" w:rsidR="009201B0" w:rsidRDefault="009201B0" w:rsidP="007A65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irritation or sensitisation produced in patch and maximisation tests</w:t>
            </w:r>
          </w:p>
          <w:p w14:paraId="63935248" w14:textId="497A4833" w:rsidR="0020340A" w:rsidRDefault="0020340A" w:rsidP="007A65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Normal component found in human urine in low levels</w:t>
            </w:r>
            <w:r w:rsidR="002221A1">
              <w:t>.</w:t>
            </w:r>
          </w:p>
          <w:p w14:paraId="1AEFF2A0" w14:textId="77777777" w:rsidR="0020340A" w:rsidRDefault="0020340A" w:rsidP="00530F24">
            <w:pPr>
              <w:pStyle w:val="Tabletextprimarysource"/>
            </w:pPr>
            <w:r>
              <w:t>Animal data:</w:t>
            </w:r>
          </w:p>
          <w:p w14:paraId="6DB202D7" w14:textId="765DBFCC" w:rsidR="0020340A" w:rsidRDefault="00530F24" w:rsidP="007A65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A56647">
              <w:t xml:space="preserve">: </w:t>
            </w:r>
            <w:r>
              <w:rPr>
                <w:vertAlign w:val="subscript"/>
              </w:rPr>
              <w:t xml:space="preserve"> </w:t>
            </w:r>
            <w:r>
              <w:t xml:space="preserve">2,760 mg/kg </w:t>
            </w:r>
            <w:r w:rsidR="00A56647">
              <w:t>(r</w:t>
            </w:r>
            <w:r>
              <w:t>ats</w:t>
            </w:r>
            <w:r w:rsidR="00A56647">
              <w:t>, oral)</w:t>
            </w:r>
          </w:p>
          <w:p w14:paraId="16D9A1FC" w14:textId="281650C6" w:rsidR="00530F24" w:rsidRDefault="00465F2C" w:rsidP="007A65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There were no adverse effects in r</w:t>
            </w:r>
            <w:r w:rsidR="00530F24">
              <w:t xml:space="preserve">ats exposed by inhalation to 700 ppm </w:t>
            </w:r>
            <w:r w:rsidR="00530F24" w:rsidRPr="00F7773D">
              <w:t>for 72 h/</w:t>
            </w:r>
            <w:proofErr w:type="spellStart"/>
            <w:r w:rsidR="00530F24" w:rsidRPr="00F7773D">
              <w:t>wk</w:t>
            </w:r>
            <w:proofErr w:type="spellEnd"/>
            <w:r w:rsidR="00530F24" w:rsidRPr="00F7773D">
              <w:t xml:space="preserve"> for </w:t>
            </w:r>
            <w:r>
              <w:t>24 </w:t>
            </w:r>
            <w:proofErr w:type="spellStart"/>
            <w:r w:rsidR="00530F24">
              <w:t>wk</w:t>
            </w:r>
            <w:proofErr w:type="spellEnd"/>
            <w:r w:rsidR="00530F24">
              <w:t xml:space="preserve"> </w:t>
            </w:r>
            <w:r>
              <w:t>(</w:t>
            </w:r>
            <w:r w:rsidR="00530F24">
              <w:t>no neurotoxic effects; no changes in clinical chemistry parameters - haemoglobin concentrations, haematocrit, differential counts</w:t>
            </w:r>
            <w:r>
              <w:t>)</w:t>
            </w:r>
            <w:r w:rsidR="00653D09">
              <w:t>.</w:t>
            </w:r>
          </w:p>
          <w:p w14:paraId="6FF8D672" w14:textId="6A20AD0F" w:rsidR="00530F24" w:rsidRDefault="00530F24" w:rsidP="00530F24">
            <w:pPr>
              <w:pStyle w:val="Tabletextprimarysource"/>
            </w:pPr>
            <w:r>
              <w:t>Insufficient data to re</w:t>
            </w:r>
            <w:r w:rsidR="00A56647">
              <w:t>commend skin, sensitisation or</w:t>
            </w:r>
            <w:r>
              <w:t xml:space="preserve"> carcinogenicity notations</w:t>
            </w:r>
          </w:p>
          <w:p w14:paraId="2B04D985" w14:textId="5CD19974" w:rsidR="005A6A2F" w:rsidRPr="00DA352E" w:rsidRDefault="005A6A2F" w:rsidP="00530F24">
            <w:pPr>
              <w:pStyle w:val="Tabletextprimarysource"/>
            </w:pPr>
          </w:p>
        </w:tc>
      </w:tr>
      <w:tr w:rsidR="00C978F0" w:rsidRPr="00DA352E" w14:paraId="09FE6B8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2E018E" w14:textId="453E6E1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B60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0B6066">
                  <w:t>NA</w:t>
                </w:r>
                <w:proofErr w:type="spellEnd"/>
              </w:sdtContent>
            </w:sdt>
          </w:p>
        </w:tc>
      </w:tr>
      <w:tr w:rsidR="00C978F0" w:rsidRPr="00DA352E" w14:paraId="78FF0D0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708DDD" w14:textId="1853F287" w:rsidR="00C978F0" w:rsidRPr="00DA352E" w:rsidRDefault="000B6066" w:rsidP="003365A5">
            <w:pPr>
              <w:pStyle w:val="Tabletextprimarysource"/>
            </w:pPr>
            <w:r>
              <w:t>No report</w:t>
            </w:r>
            <w:r w:rsidR="00A56647">
              <w:t>.</w:t>
            </w:r>
          </w:p>
        </w:tc>
      </w:tr>
      <w:tr w:rsidR="00C978F0" w:rsidRPr="00DA352E" w14:paraId="63C36B3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A2E8A1" w14:textId="6A0E862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B60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B6066">
                  <w:t>NA</w:t>
                </w:r>
                <w:proofErr w:type="spellEnd"/>
              </w:sdtContent>
            </w:sdt>
          </w:p>
        </w:tc>
      </w:tr>
      <w:tr w:rsidR="00C978F0" w:rsidRPr="00DA352E" w14:paraId="24F85D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F5DBA6" w14:textId="1B8A5C4C" w:rsidR="00C978F0" w:rsidRPr="00DA352E" w:rsidRDefault="000B6066" w:rsidP="003365A5">
            <w:pPr>
              <w:pStyle w:val="Tabletextprimarysource"/>
            </w:pPr>
            <w:r>
              <w:t>No report</w:t>
            </w:r>
            <w:r w:rsidR="00A56647">
              <w:t>.</w:t>
            </w:r>
          </w:p>
        </w:tc>
      </w:tr>
      <w:tr w:rsidR="00DA352E" w:rsidRPr="00DA352E" w14:paraId="1D44E8F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149FD7" w14:textId="2A21885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B60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B6066">
                  <w:t>NA</w:t>
                </w:r>
                <w:proofErr w:type="spellEnd"/>
              </w:sdtContent>
            </w:sdt>
          </w:p>
        </w:tc>
      </w:tr>
      <w:tr w:rsidR="00DA352E" w:rsidRPr="00DA352E" w14:paraId="4014D9B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A9970E" w14:textId="59154417" w:rsidR="00DA352E" w:rsidRPr="00DA352E" w:rsidRDefault="000B6066" w:rsidP="003365A5">
            <w:pPr>
              <w:pStyle w:val="Tabletextprimarysource"/>
            </w:pPr>
            <w:r>
              <w:t>No report</w:t>
            </w:r>
            <w:r w:rsidR="00A56647">
              <w:t>.</w:t>
            </w:r>
          </w:p>
        </w:tc>
      </w:tr>
      <w:tr w:rsidR="00DA352E" w:rsidRPr="00DA352E" w14:paraId="683425C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F01A76" w14:textId="461C921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B60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0B6066">
                  <w:t>NA</w:t>
                </w:r>
                <w:proofErr w:type="spellEnd"/>
              </w:sdtContent>
            </w:sdt>
          </w:p>
        </w:tc>
      </w:tr>
      <w:tr w:rsidR="00DA352E" w:rsidRPr="00DA352E" w14:paraId="4CF49CD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9A9937" w14:textId="42CB6014" w:rsidR="00DA352E" w:rsidRPr="00DA352E" w:rsidRDefault="000B6066" w:rsidP="003365A5">
            <w:pPr>
              <w:pStyle w:val="Tabletextprimarysource"/>
            </w:pPr>
            <w:r>
              <w:t>No report</w:t>
            </w:r>
            <w:r w:rsidR="00A56647">
              <w:t>.</w:t>
            </w:r>
          </w:p>
        </w:tc>
      </w:tr>
    </w:tbl>
    <w:p w14:paraId="5F32818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701F6A1E" w14:textId="3C4263A5" w:rsidR="007E2A4B" w:rsidRDefault="00A56647">
      <w:r>
        <w:t>NIL</w:t>
      </w:r>
      <w:r w:rsidR="00D76307">
        <w:t>.</w:t>
      </w:r>
    </w:p>
    <w:bookmarkEnd w:id="0"/>
    <w:p w14:paraId="0036F9C3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B9A5584" w14:textId="77777777" w:rsidTr="00530F24">
        <w:trPr>
          <w:trHeight w:val="454"/>
          <w:tblHeader/>
        </w:trPr>
        <w:tc>
          <w:tcPr>
            <w:tcW w:w="6597" w:type="dxa"/>
            <w:vAlign w:val="center"/>
          </w:tcPr>
          <w:p w14:paraId="581860D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A48F2E0" w14:textId="3623B4E7" w:rsidR="002E0D61" w:rsidRDefault="00530F2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04A1E7C" w14:textId="77777777" w:rsidTr="00530F24">
        <w:trPr>
          <w:trHeight w:val="454"/>
        </w:trPr>
        <w:tc>
          <w:tcPr>
            <w:tcW w:w="6597" w:type="dxa"/>
            <w:vAlign w:val="center"/>
          </w:tcPr>
          <w:p w14:paraId="0ACF702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30DB79F" w14:textId="3A7CF643" w:rsidR="008A36CF" w:rsidRDefault="00530F2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9080B3C" w14:textId="77777777" w:rsidTr="00530F2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46805F13" w14:textId="238135AC" w:rsidR="008A36CF" w:rsidRPr="006901A2" w:rsidRDefault="00530F2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45CC488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686203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2B9ABF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28F324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A87B1B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08E3EEA" w14:textId="77777777" w:rsidTr="00812887">
        <w:trPr>
          <w:cantSplit/>
        </w:trPr>
        <w:tc>
          <w:tcPr>
            <w:tcW w:w="3227" w:type="dxa"/>
          </w:tcPr>
          <w:p w14:paraId="080737E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7F8D84A" w14:textId="7010F01B" w:rsidR="00687890" w:rsidRPr="00DD2F9B" w:rsidRDefault="00112817" w:rsidP="00DD2F9B">
            <w:pPr>
              <w:pStyle w:val="Tablefont"/>
            </w:pPr>
            <w:r w:rsidRPr="00112817">
              <w:t>—</w:t>
            </w:r>
          </w:p>
        </w:tc>
      </w:tr>
      <w:tr w:rsidR="007925F0" w:rsidRPr="004C23F4" w14:paraId="26E9FE12" w14:textId="77777777" w:rsidTr="00812887">
        <w:trPr>
          <w:cantSplit/>
        </w:trPr>
        <w:tc>
          <w:tcPr>
            <w:tcW w:w="3227" w:type="dxa"/>
          </w:tcPr>
          <w:p w14:paraId="2C105B0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A818C24" w14:textId="3CB305EA" w:rsidR="007925F0" w:rsidRPr="00DD2F9B" w:rsidRDefault="00112817" w:rsidP="00DD2F9B">
            <w:pPr>
              <w:pStyle w:val="Tablefont"/>
            </w:pPr>
            <w:r w:rsidRPr="00112817">
              <w:t>—</w:t>
            </w:r>
          </w:p>
        </w:tc>
      </w:tr>
      <w:tr w:rsidR="00AF483F" w:rsidRPr="004C23F4" w14:paraId="3BB3BC20" w14:textId="77777777" w:rsidTr="00812887">
        <w:trPr>
          <w:cantSplit/>
        </w:trPr>
        <w:tc>
          <w:tcPr>
            <w:tcW w:w="3227" w:type="dxa"/>
          </w:tcPr>
          <w:p w14:paraId="79C4CCD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DF2EE7C" w14:textId="4B6A5346" w:rsidR="00AF483F" w:rsidRPr="00DD2F9B" w:rsidRDefault="0011281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4709DCE" w14:textId="77777777" w:rsidTr="00812887">
        <w:trPr>
          <w:cantSplit/>
        </w:trPr>
        <w:tc>
          <w:tcPr>
            <w:tcW w:w="3227" w:type="dxa"/>
          </w:tcPr>
          <w:p w14:paraId="7944F07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4CAD595" w14:textId="42192D31" w:rsidR="00687890" w:rsidRPr="00DD2F9B" w:rsidRDefault="0011281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F7FCEAA" w14:textId="77777777" w:rsidTr="00812887">
        <w:trPr>
          <w:cantSplit/>
        </w:trPr>
        <w:tc>
          <w:tcPr>
            <w:tcW w:w="3227" w:type="dxa"/>
          </w:tcPr>
          <w:p w14:paraId="7F62B82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93FCBF3" w14:textId="20CE882C" w:rsidR="00E41A26" w:rsidRPr="00DD2F9B" w:rsidRDefault="00112817" w:rsidP="00DD2F9B">
            <w:pPr>
              <w:pStyle w:val="Tablefont"/>
            </w:pPr>
            <w:r w:rsidRPr="00112817">
              <w:t>—</w:t>
            </w:r>
          </w:p>
        </w:tc>
      </w:tr>
      <w:tr w:rsidR="002E0D61" w:rsidRPr="004C23F4" w14:paraId="7B312CFD" w14:textId="77777777" w:rsidTr="00812887">
        <w:trPr>
          <w:cantSplit/>
        </w:trPr>
        <w:tc>
          <w:tcPr>
            <w:tcW w:w="3227" w:type="dxa"/>
          </w:tcPr>
          <w:p w14:paraId="1528421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47C9A1D" w14:textId="1B41FB7B" w:rsidR="002E0D61" w:rsidRPr="00DD2F9B" w:rsidRDefault="00112817" w:rsidP="00DD2F9B">
            <w:pPr>
              <w:pStyle w:val="Tablefont"/>
            </w:pPr>
            <w:r w:rsidRPr="00112817">
              <w:t>—</w:t>
            </w:r>
          </w:p>
        </w:tc>
      </w:tr>
      <w:tr w:rsidR="002E0D61" w:rsidRPr="004C23F4" w14:paraId="18F8D8AB" w14:textId="77777777" w:rsidTr="00812887">
        <w:trPr>
          <w:cantSplit/>
        </w:trPr>
        <w:tc>
          <w:tcPr>
            <w:tcW w:w="3227" w:type="dxa"/>
          </w:tcPr>
          <w:p w14:paraId="2897D9A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4868DC0" w14:textId="0EDF94B9" w:rsidR="002E0D61" w:rsidRPr="00DD2F9B" w:rsidRDefault="0011281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00BEC0" w14:textId="77777777" w:rsidTr="00812887">
        <w:trPr>
          <w:cantSplit/>
        </w:trPr>
        <w:tc>
          <w:tcPr>
            <w:tcW w:w="3227" w:type="dxa"/>
          </w:tcPr>
          <w:p w14:paraId="1D9CCA6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30D8053" w14:textId="39D2E1D7" w:rsidR="002E0D61" w:rsidRPr="00DD2F9B" w:rsidRDefault="0011281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1A29F26" w14:textId="77777777" w:rsidTr="00812887">
        <w:trPr>
          <w:cantSplit/>
        </w:trPr>
        <w:tc>
          <w:tcPr>
            <w:tcW w:w="3227" w:type="dxa"/>
          </w:tcPr>
          <w:p w14:paraId="2FA2BA5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0D39FB5" w14:textId="6EE6EF95" w:rsidR="002E0D61" w:rsidRPr="00DD2F9B" w:rsidRDefault="0011281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2D28AE2" w14:textId="77777777" w:rsidTr="00812887">
        <w:trPr>
          <w:cantSplit/>
        </w:trPr>
        <w:tc>
          <w:tcPr>
            <w:tcW w:w="3227" w:type="dxa"/>
          </w:tcPr>
          <w:p w14:paraId="76C037B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7264930" w14:textId="7F5C3EF8" w:rsidR="00386093" w:rsidRPr="00DD2F9B" w:rsidRDefault="0011281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60FF664" w14:textId="77777777" w:rsidTr="00812887">
        <w:trPr>
          <w:cantSplit/>
        </w:trPr>
        <w:tc>
          <w:tcPr>
            <w:tcW w:w="3227" w:type="dxa"/>
          </w:tcPr>
          <w:p w14:paraId="0226CEC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5D7777E" w14:textId="03B9970C" w:rsidR="00386093" w:rsidRPr="00DD2F9B" w:rsidRDefault="0011281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D6C2E1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A3151C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A57780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11AC07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8B6A96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8A40DEA" w14:textId="3F631A9E" w:rsidR="00932DCE" w:rsidRPr="004C23F4" w:rsidRDefault="00530F24" w:rsidP="00F9496B">
            <w:pPr>
              <w:pStyle w:val="Tablefont"/>
            </w:pPr>
            <w:r>
              <w:t>Insufficient data</w:t>
            </w:r>
            <w:r w:rsidR="00653D09">
              <w:t xml:space="preserve"> to assign a skin notation</w:t>
            </w:r>
          </w:p>
        </w:tc>
      </w:tr>
    </w:tbl>
    <w:bookmarkEnd w:id="3"/>
    <w:p w14:paraId="028D43F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37ABA2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074032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DAA25D8" w14:textId="2FA5599E" w:rsidR="00EB3D1B" w:rsidRDefault="0011281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64496E1" w14:textId="77777777" w:rsidR="00687890" w:rsidRPr="004C23F4" w:rsidRDefault="00B479A9" w:rsidP="00653D09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FFC9FE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05D035D" w14:textId="77777777" w:rsidR="001B79E5" w:rsidRDefault="001B79E5" w:rsidP="00A56647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B56E784" w14:textId="03D6FA56" w:rsidR="001B79E5" w:rsidRDefault="00112817" w:rsidP="00A56647">
                <w:pPr>
                  <w:pStyle w:val="Tablefont"/>
                  <w:keepNext/>
                </w:pPr>
                <w:r w:rsidRPr="00112817">
                  <w:t>114.18</w:t>
                </w:r>
              </w:p>
            </w:tc>
          </w:sdtContent>
        </w:sdt>
      </w:tr>
      <w:tr w:rsidR="00A31D99" w:rsidRPr="004C23F4" w14:paraId="58FF2AE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98F1898" w14:textId="77777777" w:rsidR="00A31D99" w:rsidRPr="00263255" w:rsidRDefault="00A31D99" w:rsidP="00A56647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1AF3133" w14:textId="5EC5E648" w:rsidR="00A31D99" w:rsidRDefault="00A0643F" w:rsidP="00A56647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12817">
                  <w:t>4.7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12817">
                  <w:t>0.21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8717CA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1E7ED1" w14:textId="77777777" w:rsidR="00687890" w:rsidRPr="00263255" w:rsidRDefault="00687890" w:rsidP="00A56647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CF40506" w14:textId="77777777" w:rsidR="00687890" w:rsidRPr="004C23F4" w:rsidRDefault="00E46BCB" w:rsidP="00A56647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BC0814A" w14:textId="77777777" w:rsidTr="00EA6243">
        <w:trPr>
          <w:cantSplit/>
        </w:trPr>
        <w:tc>
          <w:tcPr>
            <w:tcW w:w="4077" w:type="dxa"/>
            <w:vAlign w:val="center"/>
          </w:tcPr>
          <w:p w14:paraId="34C761AA" w14:textId="77777777" w:rsidR="00687890" w:rsidRPr="00263255" w:rsidRDefault="00687890" w:rsidP="00A56647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FFA98B0" w14:textId="2576C3D1" w:rsidR="00687890" w:rsidRPr="004C23F4" w:rsidRDefault="00A56647" w:rsidP="00A56647">
                <w:pPr>
                  <w:pStyle w:val="Tablefont"/>
                  <w:keepNext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F8CC675" w14:textId="77777777" w:rsidTr="00EA6243">
        <w:trPr>
          <w:cantSplit/>
        </w:trPr>
        <w:tc>
          <w:tcPr>
            <w:tcW w:w="4077" w:type="dxa"/>
            <w:vAlign w:val="center"/>
          </w:tcPr>
          <w:p w14:paraId="132CB633" w14:textId="77777777" w:rsidR="00687890" w:rsidRPr="00263255" w:rsidRDefault="00687890" w:rsidP="00A56647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566C7D" w14:textId="77777777" w:rsidR="00687890" w:rsidRPr="004C23F4" w:rsidRDefault="00687890" w:rsidP="00A56647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43A34A8" w14:textId="77777777" w:rsidTr="00EA6243">
        <w:trPr>
          <w:cantSplit/>
        </w:trPr>
        <w:tc>
          <w:tcPr>
            <w:tcW w:w="4077" w:type="dxa"/>
            <w:vAlign w:val="center"/>
          </w:tcPr>
          <w:p w14:paraId="66A6688B" w14:textId="77777777" w:rsidR="00E06F40" w:rsidRPr="00263255" w:rsidRDefault="00E06F40" w:rsidP="00A56647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90587DF" w14:textId="77777777" w:rsidR="00E06F40" w:rsidRPr="00A006A0" w:rsidRDefault="00B72A55" w:rsidP="00A56647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802BED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C3ED2B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C5F0AB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52B614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925AD1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1271AC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43B7C8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56D7DC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48021BF" w14:textId="4D09CB1A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A454EFD" w14:textId="1D9F74A1" w:rsidR="00112817" w:rsidRPr="00351FE0" w:rsidRDefault="00112817" w:rsidP="00084859">
      <w:r w:rsidRPr="00D86E03">
        <w:t>US National Institute for Occupational Safety and Health (NIOSH)</w:t>
      </w:r>
      <w:r>
        <w:t xml:space="preserve"> (</w:t>
      </w:r>
      <w:r w:rsidRPr="00112817">
        <w:t>1994</w:t>
      </w:r>
      <w:r>
        <w:t xml:space="preserve">) Immediately dangerous to life or health concentrations – </w:t>
      </w:r>
      <w:r w:rsidRPr="00112817">
        <w:t>Ethyl butyl ketone</w:t>
      </w:r>
      <w:r>
        <w:t>.</w:t>
      </w:r>
    </w:p>
    <w:sectPr w:rsidR="00112817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E524E" w14:textId="77777777" w:rsidR="00230B47" w:rsidRDefault="00230B47" w:rsidP="00F43AD5">
      <w:pPr>
        <w:spacing w:after="0" w:line="240" w:lineRule="auto"/>
      </w:pPr>
      <w:r>
        <w:separator/>
      </w:r>
    </w:p>
  </w:endnote>
  <w:endnote w:type="continuationSeparator" w:id="0">
    <w:p w14:paraId="74B3BAD0" w14:textId="77777777" w:rsidR="00230B47" w:rsidRDefault="00230B4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53F3C" w14:textId="77777777" w:rsidR="00DC200E" w:rsidRDefault="00DC20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BAC56D7" w14:textId="77777777" w:rsidR="000B6066" w:rsidRPr="000B6066" w:rsidRDefault="000B6066" w:rsidP="000B6066">
        <w:pPr>
          <w:pStyle w:val="Footer"/>
          <w:rPr>
            <w:b/>
            <w:sz w:val="18"/>
            <w:szCs w:val="18"/>
          </w:rPr>
        </w:pPr>
      </w:p>
      <w:p w14:paraId="41231B1C" w14:textId="1D8C7F87" w:rsidR="008A36CF" w:rsidRDefault="000B6066" w:rsidP="000B6066">
        <w:pPr>
          <w:pStyle w:val="Footer"/>
          <w:rPr>
            <w:sz w:val="18"/>
            <w:szCs w:val="18"/>
          </w:rPr>
        </w:pPr>
        <w:r w:rsidRPr="000B6066">
          <w:rPr>
            <w:b/>
            <w:sz w:val="18"/>
            <w:szCs w:val="18"/>
          </w:rPr>
          <w:t>Ethyl butyl ketone</w:t>
        </w:r>
        <w:r w:rsidR="008A36CF">
          <w:rPr>
            <w:b/>
            <w:sz w:val="18"/>
            <w:szCs w:val="18"/>
          </w:rPr>
          <w:t xml:space="preserve"> (</w:t>
        </w:r>
        <w:r w:rsidRPr="000B6066">
          <w:rPr>
            <w:b/>
            <w:sz w:val="18"/>
            <w:szCs w:val="18"/>
          </w:rPr>
          <w:t>106-35-4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AD3CF52" w14:textId="19BDB7B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6629B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3E84" w14:textId="77777777" w:rsidR="00DC200E" w:rsidRDefault="00DC20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53748" w14:textId="77777777" w:rsidR="00230B47" w:rsidRDefault="00230B47" w:rsidP="00F43AD5">
      <w:pPr>
        <w:spacing w:after="0" w:line="240" w:lineRule="auto"/>
      </w:pPr>
      <w:r>
        <w:separator/>
      </w:r>
    </w:p>
  </w:footnote>
  <w:footnote w:type="continuationSeparator" w:id="0">
    <w:p w14:paraId="41E89906" w14:textId="77777777" w:rsidR="00230B47" w:rsidRDefault="00230B4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34287" w14:textId="3925CCA0" w:rsidR="00DC200E" w:rsidRDefault="00DC20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4FCE6" w14:textId="7A27EF96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8E9E" w14:textId="2E2AC073" w:rsidR="00DC200E" w:rsidRDefault="00DC200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3B6AF" w14:textId="70423F6D" w:rsidR="00B31F8C" w:rsidRDefault="00B31F8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52099" w14:textId="38883248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9D38" w14:textId="691F490C" w:rsidR="00B31F8C" w:rsidRDefault="00B31F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ABCB3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55084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3FA1"/>
    <w:rsid w:val="00084513"/>
    <w:rsid w:val="00084859"/>
    <w:rsid w:val="00092D94"/>
    <w:rsid w:val="00097CFC"/>
    <w:rsid w:val="000B0868"/>
    <w:rsid w:val="000B3E12"/>
    <w:rsid w:val="000B3E78"/>
    <w:rsid w:val="000B6066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2817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2BFD"/>
    <w:rsid w:val="001D56F0"/>
    <w:rsid w:val="001D663B"/>
    <w:rsid w:val="001D7B41"/>
    <w:rsid w:val="001E46DA"/>
    <w:rsid w:val="001E7D80"/>
    <w:rsid w:val="001F4B6C"/>
    <w:rsid w:val="001F62CB"/>
    <w:rsid w:val="001F64C9"/>
    <w:rsid w:val="001F6ED0"/>
    <w:rsid w:val="001F72E6"/>
    <w:rsid w:val="001F73C5"/>
    <w:rsid w:val="0020340A"/>
    <w:rsid w:val="002046A6"/>
    <w:rsid w:val="00204956"/>
    <w:rsid w:val="00206651"/>
    <w:rsid w:val="00213640"/>
    <w:rsid w:val="00221547"/>
    <w:rsid w:val="002216FC"/>
    <w:rsid w:val="002221A1"/>
    <w:rsid w:val="00222533"/>
    <w:rsid w:val="00222F30"/>
    <w:rsid w:val="00224EE2"/>
    <w:rsid w:val="00227EC7"/>
    <w:rsid w:val="00230B47"/>
    <w:rsid w:val="00244AD1"/>
    <w:rsid w:val="002463BC"/>
    <w:rsid w:val="002465CE"/>
    <w:rsid w:val="0025734A"/>
    <w:rsid w:val="00263255"/>
    <w:rsid w:val="002641BF"/>
    <w:rsid w:val="00276494"/>
    <w:rsid w:val="00277B0C"/>
    <w:rsid w:val="00280AB8"/>
    <w:rsid w:val="002B1A2C"/>
    <w:rsid w:val="002C171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5110"/>
    <w:rsid w:val="00347192"/>
    <w:rsid w:val="0034744C"/>
    <w:rsid w:val="00351FE0"/>
    <w:rsid w:val="00352615"/>
    <w:rsid w:val="0035412B"/>
    <w:rsid w:val="003567A8"/>
    <w:rsid w:val="00360EE3"/>
    <w:rsid w:val="00362895"/>
    <w:rsid w:val="00370DBF"/>
    <w:rsid w:val="00380790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F2C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0F24"/>
    <w:rsid w:val="0053108F"/>
    <w:rsid w:val="00532B56"/>
    <w:rsid w:val="00534B10"/>
    <w:rsid w:val="005446A2"/>
    <w:rsid w:val="00544D2F"/>
    <w:rsid w:val="00551BD8"/>
    <w:rsid w:val="00581055"/>
    <w:rsid w:val="0058505D"/>
    <w:rsid w:val="00591E38"/>
    <w:rsid w:val="005A19C5"/>
    <w:rsid w:val="005A3034"/>
    <w:rsid w:val="005A462D"/>
    <w:rsid w:val="005A6A2F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3D09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7A12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66A81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65E3"/>
    <w:rsid w:val="007B1A3B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1B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629B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01F6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6647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6F23"/>
    <w:rsid w:val="00AE2745"/>
    <w:rsid w:val="00AE2F64"/>
    <w:rsid w:val="00AF238B"/>
    <w:rsid w:val="00AF42CB"/>
    <w:rsid w:val="00AF483F"/>
    <w:rsid w:val="00AF5E07"/>
    <w:rsid w:val="00AF5F06"/>
    <w:rsid w:val="00B00A25"/>
    <w:rsid w:val="00B1422A"/>
    <w:rsid w:val="00B1765C"/>
    <w:rsid w:val="00B213C4"/>
    <w:rsid w:val="00B31F8C"/>
    <w:rsid w:val="00B40C60"/>
    <w:rsid w:val="00B41473"/>
    <w:rsid w:val="00B479A9"/>
    <w:rsid w:val="00B50F91"/>
    <w:rsid w:val="00B52EDF"/>
    <w:rsid w:val="00B71188"/>
    <w:rsid w:val="00B72A55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17E8"/>
    <w:rsid w:val="00BF2406"/>
    <w:rsid w:val="00BF4F40"/>
    <w:rsid w:val="00C06E43"/>
    <w:rsid w:val="00C16315"/>
    <w:rsid w:val="00C3091E"/>
    <w:rsid w:val="00C31177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1C2"/>
    <w:rsid w:val="00D33220"/>
    <w:rsid w:val="00D334D1"/>
    <w:rsid w:val="00D44C89"/>
    <w:rsid w:val="00D516CD"/>
    <w:rsid w:val="00D668E6"/>
    <w:rsid w:val="00D70670"/>
    <w:rsid w:val="00D74D80"/>
    <w:rsid w:val="00D76307"/>
    <w:rsid w:val="00D76624"/>
    <w:rsid w:val="00D87570"/>
    <w:rsid w:val="00D91CB9"/>
    <w:rsid w:val="00D97989"/>
    <w:rsid w:val="00D97D8D"/>
    <w:rsid w:val="00DA352E"/>
    <w:rsid w:val="00DC200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4BE6"/>
    <w:rsid w:val="00E96077"/>
    <w:rsid w:val="00EA0A06"/>
    <w:rsid w:val="00EA6243"/>
    <w:rsid w:val="00EA74AB"/>
    <w:rsid w:val="00EB3D1B"/>
    <w:rsid w:val="00ED1D89"/>
    <w:rsid w:val="00ED5158"/>
    <w:rsid w:val="00ED66BC"/>
    <w:rsid w:val="00EF233A"/>
    <w:rsid w:val="00EF303E"/>
    <w:rsid w:val="00EF3A40"/>
    <w:rsid w:val="00EF6DFA"/>
    <w:rsid w:val="00EF7F78"/>
    <w:rsid w:val="00F01B08"/>
    <w:rsid w:val="00F01C4D"/>
    <w:rsid w:val="00F02022"/>
    <w:rsid w:val="00F053FA"/>
    <w:rsid w:val="00F10C97"/>
    <w:rsid w:val="00F11C71"/>
    <w:rsid w:val="00F15F1D"/>
    <w:rsid w:val="00F16019"/>
    <w:rsid w:val="00F20E68"/>
    <w:rsid w:val="00F22093"/>
    <w:rsid w:val="00F236DF"/>
    <w:rsid w:val="00F254AD"/>
    <w:rsid w:val="00F43AD5"/>
    <w:rsid w:val="00F4402E"/>
    <w:rsid w:val="00F56DD0"/>
    <w:rsid w:val="00F6491C"/>
    <w:rsid w:val="00F67BBB"/>
    <w:rsid w:val="00F7773D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08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201B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66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665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665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66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665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37D88BE18E74D4298AA84D8EAE1F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7956D-5404-468A-A300-CBFA16B3F466}"/>
      </w:docPartPr>
      <w:docPartBody>
        <w:p w:rsidR="00362448" w:rsidRDefault="00E4381E" w:rsidP="00E4381E">
          <w:pPr>
            <w:pStyle w:val="337D88BE18E74D4298AA84D8EAE1FC5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B0528"/>
    <w:rsid w:val="00362448"/>
    <w:rsid w:val="003D22CD"/>
    <w:rsid w:val="00422425"/>
    <w:rsid w:val="009D01F6"/>
    <w:rsid w:val="00D21A9F"/>
    <w:rsid w:val="00E4381E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381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37D88BE18E74D4298AA84D8EAE1FC5C">
    <w:name w:val="337D88BE18E74D4298AA84D8EAE1FC5C"/>
    <w:rsid w:val="00E438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AAE5EA-20D3-4F9D-B70E-A88BE85D8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D2FFA6-0486-4049-96E9-525CF37DC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A41A8-56D6-4F23-BA83-D159556AF6DB}">
  <ds:schemaRefs>
    <ds:schemaRef ds:uri="http://purl.org/dc/elements/1.1/"/>
    <ds:schemaRef ds:uri="http://schemas.microsoft.com/office/2006/documentManagement/types"/>
    <ds:schemaRef ds:uri="http://purl.org/dc/dcmitype/"/>
    <ds:schemaRef ds:uri="a0509f21-ed56-4150-9955-96be669e5f2d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B26937-8093-41EE-8A55-5B826D5A3E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762</Words>
  <Characters>4300</Characters>
  <Application>Microsoft Office Word</Application>
  <DocSecurity>0</DocSecurity>
  <Lines>148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2019-11-06T03:55:00Z</dcterms:created>
  <dcterms:modified xsi:type="dcterms:W3CDTF">2026-01-08T23:56:00Z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2025-12-22T23:38:50Z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d5e96cb3-7fb6-4641-a05c-be02c25294e4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