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79C01FE5" w14:textId="37DEFD8A" w:rsidR="00BD499F" w:rsidRPr="004C23F4" w:rsidRDefault="002F3DD7" w:rsidP="00B40C60">
          <w:pPr>
            <w:pStyle w:val="Heading1"/>
            <w:jc w:val="center"/>
            <w:rPr>
              <w:rFonts w:ascii="Arial" w:hAnsi="Arial" w:cs="Arial"/>
            </w:rPr>
          </w:pPr>
          <w:r w:rsidRPr="002F3DD7">
            <w:rPr>
              <w:rFonts w:ascii="Arial" w:hAnsi="Arial" w:cs="Arial"/>
            </w:rPr>
            <w:t>Di-sec-octyl phthalate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8"/>
        <w:gridCol w:w="5038"/>
      </w:tblGrid>
      <w:tr w:rsidR="00F43AD5" w:rsidRPr="004C23F4" w14:paraId="41013FEA" w14:textId="77777777" w:rsidTr="00B76A41">
        <w:trPr>
          <w:cantSplit/>
          <w:tblHeader/>
        </w:trPr>
        <w:tc>
          <w:tcPr>
            <w:tcW w:w="4077" w:type="dxa"/>
          </w:tcPr>
          <w:p w14:paraId="5A948A34" w14:textId="77777777" w:rsidR="00F43AD5" w:rsidRPr="00921DE7" w:rsidRDefault="00CB1CB1" w:rsidP="00B76A41">
            <w:pPr>
              <w:pStyle w:val="Tablerowright"/>
            </w:pPr>
            <w:r w:rsidRPr="00921DE7">
              <w:t>CAS number:</w:t>
            </w:r>
          </w:p>
        </w:tc>
        <w:tc>
          <w:tcPr>
            <w:tcW w:w="5165" w:type="dxa"/>
          </w:tcPr>
          <w:p w14:paraId="0F86CA08" w14:textId="2A67E620" w:rsidR="00F43AD5" w:rsidRPr="00717D45" w:rsidRDefault="002F3DD7" w:rsidP="00B76A41">
            <w:pPr>
              <w:pStyle w:val="Tablefont"/>
            </w:pPr>
            <w:r w:rsidRPr="002F3DD7">
              <w:t>117-81-7</w:t>
            </w:r>
          </w:p>
        </w:tc>
      </w:tr>
      <w:tr w:rsidR="00F43AD5" w:rsidRPr="004C23F4" w14:paraId="67D6CE99" w14:textId="77777777" w:rsidTr="002F3DD7">
        <w:trPr>
          <w:cantSplit/>
          <w:trHeight w:val="571"/>
        </w:trPr>
        <w:tc>
          <w:tcPr>
            <w:tcW w:w="4077" w:type="dxa"/>
          </w:tcPr>
          <w:p w14:paraId="67FDD7E3" w14:textId="77777777" w:rsidR="00F43AD5" w:rsidRPr="00921DE7" w:rsidRDefault="00CB1CB1" w:rsidP="00B76A41">
            <w:pPr>
              <w:pStyle w:val="Tablerowright"/>
            </w:pPr>
            <w:r w:rsidRPr="00921DE7">
              <w:t>Synonyms:</w:t>
            </w:r>
          </w:p>
        </w:tc>
        <w:tc>
          <w:tcPr>
            <w:tcW w:w="5165" w:type="dxa"/>
          </w:tcPr>
          <w:p w14:paraId="104FFE2D" w14:textId="2D3C594B" w:rsidR="00F43AD5" w:rsidRPr="00717D45" w:rsidRDefault="002F3DD7" w:rsidP="00B76A41">
            <w:pPr>
              <w:pStyle w:val="Tablefont"/>
            </w:pPr>
            <w:r w:rsidRPr="002F3DD7">
              <w:t>DOP</w:t>
            </w:r>
            <w:r>
              <w:t xml:space="preserve">, </w:t>
            </w:r>
            <w:r w:rsidRPr="002F3DD7">
              <w:t>Di (2-ethylhexyl) phthalate</w:t>
            </w:r>
            <w:r>
              <w:t xml:space="preserve">, </w:t>
            </w:r>
            <w:r w:rsidR="00975D85">
              <w:br/>
            </w:r>
            <w:r w:rsidRPr="002F3DD7">
              <w:t>bis(2-</w:t>
            </w:r>
            <w:r w:rsidR="001756A3">
              <w:t>e</w:t>
            </w:r>
            <w:r w:rsidR="001756A3" w:rsidRPr="002F3DD7">
              <w:t>thylhexyl</w:t>
            </w:r>
            <w:r w:rsidRPr="002F3DD7">
              <w:t>) phthalate</w:t>
            </w:r>
            <w:r>
              <w:t xml:space="preserve">, DEHP, </w:t>
            </w:r>
            <w:r w:rsidR="001756A3">
              <w:t xml:space="preserve">phthalic </w:t>
            </w:r>
            <w:r>
              <w:t>acid</w:t>
            </w:r>
          </w:p>
        </w:tc>
      </w:tr>
      <w:tr w:rsidR="00F43AD5" w:rsidRPr="004C23F4" w14:paraId="6E83E85C" w14:textId="77777777" w:rsidTr="00B76A41">
        <w:trPr>
          <w:cantSplit/>
        </w:trPr>
        <w:tc>
          <w:tcPr>
            <w:tcW w:w="4077" w:type="dxa"/>
          </w:tcPr>
          <w:p w14:paraId="36C0C403" w14:textId="77777777" w:rsidR="00F43AD5" w:rsidRPr="00921DE7" w:rsidRDefault="00CB1CB1" w:rsidP="00B76A41">
            <w:pPr>
              <w:pStyle w:val="Tablerowright"/>
            </w:pPr>
            <w:r w:rsidRPr="00921DE7">
              <w:t>Chemical formula:</w:t>
            </w:r>
          </w:p>
        </w:tc>
        <w:tc>
          <w:tcPr>
            <w:tcW w:w="5165" w:type="dxa"/>
          </w:tcPr>
          <w:p w14:paraId="1C2C674E" w14:textId="0406CE98" w:rsidR="00F43AD5" w:rsidRPr="00717D45" w:rsidRDefault="002F3DD7" w:rsidP="00B76A41">
            <w:pPr>
              <w:pStyle w:val="Tablefont"/>
            </w:pPr>
            <w:r>
              <w:t>C</w:t>
            </w:r>
            <w:r w:rsidRPr="002F3DD7">
              <w:rPr>
                <w:vertAlign w:val="subscript"/>
              </w:rPr>
              <w:t>24</w:t>
            </w:r>
            <w:r>
              <w:t>H</w:t>
            </w:r>
            <w:r w:rsidRPr="002F3DD7">
              <w:rPr>
                <w:vertAlign w:val="subscript"/>
              </w:rPr>
              <w:t>38</w:t>
            </w:r>
            <w:r>
              <w:t>O</w:t>
            </w:r>
            <w:r w:rsidRPr="002F3DD7">
              <w:rPr>
                <w:vertAlign w:val="subscript"/>
              </w:rPr>
              <w:t>4</w:t>
            </w:r>
          </w:p>
        </w:tc>
      </w:tr>
      <w:tr w:rsidR="00F43AD5" w:rsidRPr="004C23F4" w14:paraId="126C7AAE" w14:textId="77777777" w:rsidTr="00B76A41">
        <w:trPr>
          <w:cantSplit/>
        </w:trPr>
        <w:tc>
          <w:tcPr>
            <w:tcW w:w="4077" w:type="dxa"/>
          </w:tcPr>
          <w:p w14:paraId="55760722" w14:textId="77777777" w:rsidR="00F43AD5" w:rsidRPr="00921DE7" w:rsidRDefault="00CB1CB1" w:rsidP="00B76A41">
            <w:pPr>
              <w:pStyle w:val="Tablerowright"/>
            </w:pPr>
            <w:r w:rsidRPr="00921DE7">
              <w:t>Structural formula:</w:t>
            </w:r>
          </w:p>
        </w:tc>
        <w:tc>
          <w:tcPr>
            <w:tcW w:w="5165" w:type="dxa"/>
          </w:tcPr>
          <w:p w14:paraId="2BFC8AFB" w14:textId="24556EA9" w:rsidR="00F43AD5" w:rsidRPr="00B40C60" w:rsidRDefault="002F3DD7" w:rsidP="00B76A41">
            <w:pPr>
              <w:pStyle w:val="Tablerowheading"/>
              <w:rPr>
                <w:b w:val="0"/>
              </w:rPr>
            </w:pPr>
            <w:r w:rsidRPr="002F3DD7">
              <w:rPr>
                <w:b w:val="0"/>
              </w:rPr>
              <w:t>—</w:t>
            </w:r>
          </w:p>
        </w:tc>
      </w:tr>
    </w:tbl>
    <w:p w14:paraId="66AB213A" w14:textId="6621FAA6"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46492A">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5"/>
        <w:gridCol w:w="5021"/>
      </w:tblGrid>
      <w:tr w:rsidR="002C7AFE" w:rsidRPr="004C23F4" w14:paraId="13D9EE28" w14:textId="77777777" w:rsidTr="0047642C">
        <w:trPr>
          <w:cantSplit/>
          <w:tblHeader/>
        </w:trPr>
        <w:tc>
          <w:tcPr>
            <w:tcW w:w="4005" w:type="dxa"/>
            <w:vAlign w:val="center"/>
          </w:tcPr>
          <w:p w14:paraId="4E269ADE" w14:textId="77777777" w:rsidR="002C7AFE" w:rsidRPr="002C58FF" w:rsidRDefault="00921DE7" w:rsidP="00921DE7">
            <w:pPr>
              <w:pStyle w:val="Tablerowright"/>
            </w:pPr>
            <w:r>
              <w:t>TWA:</w:t>
            </w:r>
          </w:p>
        </w:tc>
        <w:tc>
          <w:tcPr>
            <w:tcW w:w="5021" w:type="dxa"/>
          </w:tcPr>
          <w:p w14:paraId="3A100699" w14:textId="1610E5F6" w:rsidR="002C7AFE" w:rsidRPr="0046492A" w:rsidRDefault="0046492A" w:rsidP="00017C82">
            <w:pPr>
              <w:pStyle w:val="Tablefont"/>
              <w:rPr>
                <w:b/>
                <w:vertAlign w:val="superscript"/>
              </w:rPr>
            </w:pPr>
            <w:r>
              <w:rPr>
                <w:b/>
              </w:rPr>
              <w:t>2 mg/m</w:t>
            </w:r>
            <w:r>
              <w:rPr>
                <w:b/>
                <w:vertAlign w:val="superscript"/>
              </w:rPr>
              <w:t>3</w:t>
            </w:r>
          </w:p>
        </w:tc>
      </w:tr>
      <w:tr w:rsidR="002C7AFE" w:rsidRPr="004C23F4" w14:paraId="1945030B" w14:textId="77777777" w:rsidTr="0047642C">
        <w:trPr>
          <w:cantSplit/>
        </w:trPr>
        <w:tc>
          <w:tcPr>
            <w:tcW w:w="4005" w:type="dxa"/>
            <w:vAlign w:val="center"/>
          </w:tcPr>
          <w:p w14:paraId="2A922E74" w14:textId="77777777" w:rsidR="002C7AFE" w:rsidRPr="002C58FF" w:rsidRDefault="002C7AFE" w:rsidP="00921DE7">
            <w:pPr>
              <w:pStyle w:val="Tablerowright"/>
            </w:pPr>
            <w:r w:rsidRPr="002C58FF">
              <w:t>STEL</w:t>
            </w:r>
            <w:r w:rsidR="00921DE7">
              <w:t>:</w:t>
            </w:r>
          </w:p>
        </w:tc>
        <w:tc>
          <w:tcPr>
            <w:tcW w:w="5021" w:type="dxa"/>
          </w:tcPr>
          <w:p w14:paraId="450CDB47" w14:textId="44A763A1" w:rsidR="002C7AFE" w:rsidRPr="00EB3D1B" w:rsidRDefault="001756A3" w:rsidP="00017C82">
            <w:pPr>
              <w:pStyle w:val="Tablefont"/>
              <w:rPr>
                <w:b/>
              </w:rPr>
            </w:pPr>
            <w:r>
              <w:rPr>
                <w:b/>
              </w:rPr>
              <w:t>—</w:t>
            </w:r>
          </w:p>
        </w:tc>
      </w:tr>
      <w:tr w:rsidR="002C7AFE" w:rsidRPr="004C23F4" w14:paraId="21C2F0D0" w14:textId="77777777" w:rsidTr="0047642C">
        <w:trPr>
          <w:cantSplit/>
        </w:trPr>
        <w:tc>
          <w:tcPr>
            <w:tcW w:w="4005" w:type="dxa"/>
            <w:vAlign w:val="center"/>
          </w:tcPr>
          <w:p w14:paraId="07928515" w14:textId="77777777" w:rsidR="002C7AFE" w:rsidRPr="002C58FF" w:rsidRDefault="00921DE7" w:rsidP="00921DE7">
            <w:pPr>
              <w:pStyle w:val="Tablerowright"/>
            </w:pPr>
            <w:r>
              <w:t>Peak limitation:</w:t>
            </w:r>
          </w:p>
        </w:tc>
        <w:tc>
          <w:tcPr>
            <w:tcW w:w="5021" w:type="dxa"/>
          </w:tcPr>
          <w:p w14:paraId="1B082011" w14:textId="64A5F512" w:rsidR="002C7AFE" w:rsidRPr="00EB3D1B" w:rsidRDefault="001756A3" w:rsidP="00017C82">
            <w:pPr>
              <w:pStyle w:val="Tablefont"/>
              <w:rPr>
                <w:b/>
              </w:rPr>
            </w:pPr>
            <w:r>
              <w:rPr>
                <w:b/>
              </w:rPr>
              <w:t>—</w:t>
            </w:r>
          </w:p>
        </w:tc>
      </w:tr>
      <w:tr w:rsidR="002C7AFE" w:rsidRPr="004C23F4" w14:paraId="5B9ED04B" w14:textId="77777777" w:rsidTr="0047642C">
        <w:trPr>
          <w:cantSplit/>
        </w:trPr>
        <w:tc>
          <w:tcPr>
            <w:tcW w:w="4005" w:type="dxa"/>
          </w:tcPr>
          <w:p w14:paraId="4E9D1DB9"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021" w:type="dxa"/>
          </w:tcPr>
          <w:p w14:paraId="7C8A2AF4" w14:textId="7541D7B7" w:rsidR="002C7AFE" w:rsidRPr="00EB3D1B" w:rsidRDefault="0029244B" w:rsidP="008A36CF">
            <w:pPr>
              <w:pStyle w:val="Tablefont"/>
              <w:rPr>
                <w:b/>
              </w:rPr>
            </w:pPr>
            <w:proofErr w:type="spellStart"/>
            <w:r>
              <w:rPr>
                <w:b/>
              </w:rPr>
              <w:t>Carc</w:t>
            </w:r>
            <w:proofErr w:type="spellEnd"/>
            <w:r>
              <w:rPr>
                <w:b/>
              </w:rPr>
              <w:t>. 1B</w:t>
            </w:r>
          </w:p>
        </w:tc>
      </w:tr>
      <w:tr w:rsidR="002C7AFE" w:rsidRPr="004C23F4" w14:paraId="1B2BDCD1" w14:textId="77777777" w:rsidTr="0047642C">
        <w:trPr>
          <w:cantSplit/>
        </w:trPr>
        <w:tc>
          <w:tcPr>
            <w:tcW w:w="4005" w:type="dxa"/>
            <w:vAlign w:val="center"/>
          </w:tcPr>
          <w:p w14:paraId="76A9BE9C" w14:textId="77777777" w:rsidR="00F10C97" w:rsidRPr="002C58FF" w:rsidRDefault="00921DE7" w:rsidP="009F04D2">
            <w:pPr>
              <w:pStyle w:val="Tablerowright"/>
            </w:pPr>
            <w:r>
              <w:t>IDLH:</w:t>
            </w:r>
          </w:p>
        </w:tc>
        <w:tc>
          <w:tcPr>
            <w:tcW w:w="5021" w:type="dxa"/>
          </w:tcPr>
          <w:p w14:paraId="6902600E" w14:textId="296FE4C0" w:rsidR="002C7AFE" w:rsidRPr="00EB3D1B" w:rsidRDefault="002F3DD7" w:rsidP="00017C82">
            <w:pPr>
              <w:pStyle w:val="Tablefont"/>
              <w:rPr>
                <w:b/>
              </w:rPr>
            </w:pPr>
            <w:r>
              <w:rPr>
                <w:b/>
              </w:rPr>
              <w:t>5</w:t>
            </w:r>
            <w:r w:rsidR="001756A3">
              <w:rPr>
                <w:b/>
              </w:rPr>
              <w:t>,</w:t>
            </w:r>
            <w:r>
              <w:rPr>
                <w:b/>
              </w:rPr>
              <w:t>000 mg/m</w:t>
            </w:r>
            <w:r w:rsidRPr="002F3DD7">
              <w:rPr>
                <w:b/>
                <w:vertAlign w:val="superscript"/>
              </w:rPr>
              <w:t>3</w:t>
            </w:r>
          </w:p>
        </w:tc>
      </w:tr>
      <w:tr w:rsidR="0047642C" w:rsidRPr="004C23F4" w14:paraId="4381DD12" w14:textId="77777777" w:rsidTr="00791933">
        <w:trPr>
          <w:cantSplit/>
        </w:trPr>
        <w:tc>
          <w:tcPr>
            <w:tcW w:w="9026" w:type="dxa"/>
            <w:gridSpan w:val="2"/>
            <w:vAlign w:val="center"/>
          </w:tcPr>
          <w:p w14:paraId="6217BB86" w14:textId="7868996F" w:rsidR="0047642C" w:rsidRPr="00EB3D1B" w:rsidRDefault="0047642C" w:rsidP="00017C82">
            <w:pPr>
              <w:pStyle w:val="Tablefont"/>
              <w:rPr>
                <w:b/>
              </w:rPr>
            </w:pPr>
            <w:r w:rsidRPr="00C9508E">
              <w:rPr>
                <w:b/>
              </w:rPr>
              <w:t>Sampling and analysis:</w:t>
            </w:r>
            <w:r w:rsidRPr="00EC521E">
              <w:rPr>
                <w:rStyle w:val="WESstatus"/>
                <w:color w:val="auto"/>
              </w:rPr>
              <w:t xml:space="preserve"> </w:t>
            </w:r>
            <w:sdt>
              <w:sdtPr>
                <w:rPr>
                  <w:rStyle w:val="WESstatus"/>
                  <w:color w:val="auto"/>
                </w:rPr>
                <w:id w:val="-2105258949"/>
                <w:placeholder>
                  <w:docPart w:val="3729C42BD90A4B7FB922FA362742FAC6"/>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Pr>
                    <w:rStyle w:val="WESstatus"/>
                    <w:color w:val="auto"/>
                  </w:rPr>
                  <w:t xml:space="preserve">The recommended value is quantifiable through available sampling and analysis techniques. </w:t>
                </w:r>
              </w:sdtContent>
            </w:sdt>
          </w:p>
        </w:tc>
      </w:tr>
    </w:tbl>
    <w:p w14:paraId="680AC9C3" w14:textId="77777777" w:rsidR="00CB1CB1" w:rsidRPr="003365A5" w:rsidRDefault="00F10C97" w:rsidP="003365A5">
      <w:pPr>
        <w:pStyle w:val="Heading2"/>
      </w:pPr>
      <w:r>
        <w:t>Recommendation and basis for workplace exposure standard</w:t>
      </w:r>
    </w:p>
    <w:p w14:paraId="00EB2FF6" w14:textId="0B4374B5" w:rsidR="006639B4" w:rsidRDefault="00975D85" w:rsidP="000C139A">
      <w:pPr>
        <w:rPr>
          <w:rFonts w:cs="Arial"/>
        </w:rPr>
      </w:pPr>
      <w:r>
        <w:rPr>
          <w:rFonts w:cs="Arial"/>
        </w:rPr>
        <w:t xml:space="preserve">A </w:t>
      </w:r>
      <w:r w:rsidR="0029244B">
        <w:rPr>
          <w:rFonts w:cs="Arial"/>
        </w:rPr>
        <w:t>TWA</w:t>
      </w:r>
      <w:r>
        <w:rPr>
          <w:rFonts w:cs="Arial"/>
        </w:rPr>
        <w:t xml:space="preserve"> of 2 </w:t>
      </w:r>
      <w:r w:rsidRPr="00975D85">
        <w:rPr>
          <w:rFonts w:cs="Arial"/>
          <w:szCs w:val="20"/>
        </w:rPr>
        <w:t>mg/m</w:t>
      </w:r>
      <w:r w:rsidRPr="00975D85">
        <w:rPr>
          <w:rFonts w:cs="Arial"/>
          <w:szCs w:val="20"/>
          <w:vertAlign w:val="superscript"/>
        </w:rPr>
        <w:t>3</w:t>
      </w:r>
      <w:r>
        <w:rPr>
          <w:rFonts w:cs="Arial"/>
        </w:rPr>
        <w:t xml:space="preserve"> </w:t>
      </w:r>
      <w:r w:rsidR="0029244B">
        <w:rPr>
          <w:rFonts w:cs="Arial"/>
        </w:rPr>
        <w:t>is recommended to protect for developmental effects in the progeny of expo</w:t>
      </w:r>
      <w:r w:rsidR="009B5CE0">
        <w:rPr>
          <w:rFonts w:cs="Arial"/>
        </w:rPr>
        <w:t>sed workers and to protect for potential carcinogenic effects</w:t>
      </w:r>
      <w:r w:rsidR="007F3081">
        <w:rPr>
          <w:rFonts w:cs="Arial"/>
        </w:rPr>
        <w:t xml:space="preserve"> in exposed workers</w:t>
      </w:r>
      <w:r w:rsidR="009B5CE0">
        <w:rPr>
          <w:rFonts w:cs="Arial"/>
        </w:rPr>
        <w:t>.</w:t>
      </w:r>
    </w:p>
    <w:p w14:paraId="465FAA14" w14:textId="0BA9CAA4" w:rsidR="009B5CE0" w:rsidRPr="004C23F4" w:rsidRDefault="002E5567" w:rsidP="000C139A">
      <w:pPr>
        <w:rPr>
          <w:rFonts w:cs="Arial"/>
        </w:rPr>
      </w:pPr>
      <w:r>
        <w:rPr>
          <w:rFonts w:cs="Arial"/>
        </w:rPr>
        <w:t xml:space="preserve">A </w:t>
      </w:r>
      <w:r w:rsidR="003000A0">
        <w:rPr>
          <w:rFonts w:cs="Arial"/>
        </w:rPr>
        <w:t>S</w:t>
      </w:r>
      <w:r>
        <w:rPr>
          <w:rFonts w:cs="Arial"/>
        </w:rPr>
        <w:t>TEL is not recommended as th</w:t>
      </w:r>
      <w:r w:rsidR="003000A0">
        <w:rPr>
          <w:rFonts w:cs="Arial"/>
        </w:rPr>
        <w:t>e T</w:t>
      </w:r>
      <w:r>
        <w:rPr>
          <w:rFonts w:cs="Arial"/>
        </w:rPr>
        <w:t>WA is consider</w:t>
      </w:r>
      <w:r w:rsidR="007A2C18">
        <w:rPr>
          <w:rFonts w:cs="Arial"/>
        </w:rPr>
        <w:t>ed</w:t>
      </w:r>
      <w:r>
        <w:rPr>
          <w:rFonts w:cs="Arial"/>
        </w:rPr>
        <w:t xml:space="preserve"> sufficient</w:t>
      </w:r>
      <w:r w:rsidR="00983E12">
        <w:rPr>
          <w:rFonts w:cs="Arial"/>
        </w:rPr>
        <w:t>ly</w:t>
      </w:r>
      <w:r>
        <w:rPr>
          <w:rFonts w:cs="Arial"/>
        </w:rPr>
        <w:t xml:space="preserve"> low to protect for short-term </w:t>
      </w:r>
      <w:r w:rsidR="007A2C18">
        <w:rPr>
          <w:rFonts w:cs="Arial"/>
        </w:rPr>
        <w:t>exposures.</w:t>
      </w:r>
    </w:p>
    <w:p w14:paraId="599B95FB" w14:textId="77777777" w:rsidR="00C7155E" w:rsidRPr="004C23F4" w:rsidRDefault="00F10C97" w:rsidP="003365A5">
      <w:pPr>
        <w:pStyle w:val="Heading2"/>
      </w:pPr>
      <w:r>
        <w:t>Discussion and conclusions</w:t>
      </w:r>
    </w:p>
    <w:p w14:paraId="2FDA5AEF" w14:textId="77777777" w:rsidR="0054630C" w:rsidRDefault="007A2C18" w:rsidP="006639B4">
      <w:r>
        <w:t>Di-sec-octyl</w:t>
      </w:r>
      <w:r w:rsidR="009B5CE0">
        <w:t xml:space="preserve"> phthalate (DEHP)</w:t>
      </w:r>
      <w:r w:rsidR="00EA4CE0">
        <w:t xml:space="preserve"> is</w:t>
      </w:r>
      <w:r w:rsidR="009B5CE0">
        <w:t xml:space="preserve"> used as a plasticiser for polyvinyl chloride (PVC) resins and vinyl chloride copolymer resins.</w:t>
      </w:r>
      <w:r w:rsidR="00247B8E">
        <w:t xml:space="preserve"> </w:t>
      </w:r>
    </w:p>
    <w:p w14:paraId="40D59F11" w14:textId="00B948E1" w:rsidR="006639B4" w:rsidRDefault="007A2C18" w:rsidP="006639B4">
      <w:r>
        <w:t xml:space="preserve">The critical effects of exposure include developmental and fertility toxicity and a risk of cancer. </w:t>
      </w:r>
      <w:r w:rsidR="00975D85">
        <w:t xml:space="preserve">DEHP is not considered genotoxic (NICNAS, 2014; USEPA, 1987). </w:t>
      </w:r>
      <w:r w:rsidR="009B5CE0">
        <w:t>A NOAEC of 50 mg/m</w:t>
      </w:r>
      <w:r w:rsidR="009B5CE0">
        <w:rPr>
          <w:vertAlign w:val="superscript"/>
        </w:rPr>
        <w:t>3</w:t>
      </w:r>
      <w:r w:rsidR="009B5CE0">
        <w:t xml:space="preserve"> </w:t>
      </w:r>
      <w:r w:rsidR="00975D85">
        <w:t>i</w:t>
      </w:r>
      <w:r w:rsidR="009B5CE0">
        <w:t>s reported in rats for development</w:t>
      </w:r>
      <w:r w:rsidR="00444E67">
        <w:t xml:space="preserve">al and maternal toxicity. </w:t>
      </w:r>
      <w:r w:rsidR="00975D85">
        <w:t xml:space="preserve">The </w:t>
      </w:r>
      <w:r w:rsidR="00444E67">
        <w:t>NOAEL</w:t>
      </w:r>
      <w:r w:rsidR="009B5CE0">
        <w:t xml:space="preserve"> </w:t>
      </w:r>
      <w:r w:rsidR="00444E67">
        <w:t xml:space="preserve">from oral </w:t>
      </w:r>
      <w:r w:rsidR="00975D85">
        <w:t xml:space="preserve">developmental </w:t>
      </w:r>
      <w:r w:rsidR="00444E67">
        <w:t xml:space="preserve">studies </w:t>
      </w:r>
      <w:r w:rsidR="00606682">
        <w:t>are 3.7</w:t>
      </w:r>
      <w:r w:rsidR="00101714">
        <w:t> </w:t>
      </w:r>
      <w:r w:rsidR="00606682">
        <w:t>mg/kg/day for testicular toxicity in rats</w:t>
      </w:r>
      <w:r w:rsidR="004C401B">
        <w:t xml:space="preserve"> and</w:t>
      </w:r>
      <w:r w:rsidR="00F278D5">
        <w:t xml:space="preserve"> </w:t>
      </w:r>
      <w:r w:rsidR="00444E67">
        <w:t>20 mg/kg</w:t>
      </w:r>
      <w:r w:rsidR="00975D85">
        <w:t>/day</w:t>
      </w:r>
      <w:r w:rsidR="00444E67">
        <w:t xml:space="preserve"> </w:t>
      </w:r>
      <w:r w:rsidR="00606682">
        <w:t xml:space="preserve">for fetotoxicity </w:t>
      </w:r>
      <w:r w:rsidR="00444E67">
        <w:t xml:space="preserve">in </w:t>
      </w:r>
      <w:r w:rsidR="004C401B">
        <w:t>mice. Extrapolation</w:t>
      </w:r>
      <w:r w:rsidR="00444E67">
        <w:t xml:space="preserve"> of these NOAELs result</w:t>
      </w:r>
      <w:r w:rsidR="00975D85">
        <w:t>s</w:t>
      </w:r>
      <w:r w:rsidR="00444E67">
        <w:t xml:space="preserve"> in equivalent human inhalation concentrations of </w:t>
      </w:r>
      <w:r w:rsidR="004C401B">
        <w:t>6</w:t>
      </w:r>
      <w:r w:rsidR="00606682">
        <w:t xml:space="preserve"> mg/m</w:t>
      </w:r>
      <w:r w:rsidR="00606682">
        <w:rPr>
          <w:vertAlign w:val="superscript"/>
        </w:rPr>
        <w:t>3</w:t>
      </w:r>
      <w:r w:rsidR="004C401B">
        <w:t xml:space="preserve"> and</w:t>
      </w:r>
      <w:r w:rsidR="00B70CBB">
        <w:t xml:space="preserve"> </w:t>
      </w:r>
      <w:r w:rsidR="00444E67">
        <w:t>13 mg/</w:t>
      </w:r>
      <w:r w:rsidR="00444E67" w:rsidRPr="00247B8E">
        <w:t>m</w:t>
      </w:r>
      <w:r w:rsidR="00444E67" w:rsidRPr="008D3D4A">
        <w:rPr>
          <w:vertAlign w:val="superscript"/>
        </w:rPr>
        <w:t>3</w:t>
      </w:r>
      <w:r w:rsidR="00B1466D">
        <w:t>,</w:t>
      </w:r>
      <w:r w:rsidR="00444E67">
        <w:t xml:space="preserve"> respectively (DFG, 2014).</w:t>
      </w:r>
      <w:r w:rsidR="00444E67" w:rsidRPr="00444E67">
        <w:t xml:space="preserve"> </w:t>
      </w:r>
      <w:r w:rsidR="003D5CB5">
        <w:t xml:space="preserve">No carcinogenic effects </w:t>
      </w:r>
      <w:r w:rsidR="00B1466D">
        <w:t xml:space="preserve">were observed </w:t>
      </w:r>
      <w:r w:rsidR="003D5CB5">
        <w:t>in a</w:t>
      </w:r>
      <w:r w:rsidR="00444E67">
        <w:t xml:space="preserve"> lifetime inhalation study in hamsters exposed </w:t>
      </w:r>
      <w:r w:rsidR="00B1466D">
        <w:t>to approximately 15 mg/m</w:t>
      </w:r>
      <w:r w:rsidR="00B1466D">
        <w:rPr>
          <w:vertAlign w:val="superscript"/>
        </w:rPr>
        <w:t>3</w:t>
      </w:r>
      <w:r w:rsidR="00B1466D" w:rsidRPr="00975D85">
        <w:t xml:space="preserve"> </w:t>
      </w:r>
      <w:r w:rsidR="00444E67">
        <w:t>for 23 hours per day (ACGIH,</w:t>
      </w:r>
      <w:r w:rsidR="00AD628D">
        <w:t> </w:t>
      </w:r>
      <w:r w:rsidR="00444E67">
        <w:t>2018).</w:t>
      </w:r>
      <w:r w:rsidR="00857771">
        <w:t xml:space="preserve"> </w:t>
      </w:r>
    </w:p>
    <w:p w14:paraId="67DF5973" w14:textId="28809F68" w:rsidR="00444E67" w:rsidRPr="00444E67" w:rsidRDefault="00740431" w:rsidP="006639B4">
      <w:pPr>
        <w:rPr>
          <w:rFonts w:cs="Arial"/>
        </w:rPr>
      </w:pPr>
      <w:r w:rsidRPr="00740431">
        <w:rPr>
          <w:rFonts w:cs="Arial"/>
        </w:rPr>
        <w:t xml:space="preserve">A TWA of </w:t>
      </w:r>
      <w:r>
        <w:rPr>
          <w:rFonts w:cs="Arial"/>
        </w:rPr>
        <w:t>2</w:t>
      </w:r>
      <w:r w:rsidRPr="00740431">
        <w:rPr>
          <w:rFonts w:cs="Arial"/>
        </w:rPr>
        <w:t xml:space="preserve"> mg/m</w:t>
      </w:r>
      <w:r w:rsidRPr="003000A0">
        <w:rPr>
          <w:rFonts w:cs="Arial"/>
          <w:vertAlign w:val="superscript"/>
        </w:rPr>
        <w:t>3</w:t>
      </w:r>
      <w:r w:rsidRPr="00740431">
        <w:rPr>
          <w:rFonts w:cs="Arial"/>
        </w:rPr>
        <w:t xml:space="preserve"> is recommended as assigned by </w:t>
      </w:r>
      <w:r>
        <w:rPr>
          <w:rFonts w:cs="Arial"/>
        </w:rPr>
        <w:t>the DFG (2014</w:t>
      </w:r>
      <w:r w:rsidRPr="00740431">
        <w:rPr>
          <w:rFonts w:cs="Arial"/>
        </w:rPr>
        <w:t>)</w:t>
      </w:r>
      <w:r w:rsidR="00606682">
        <w:rPr>
          <w:rFonts w:cs="Arial"/>
        </w:rPr>
        <w:t xml:space="preserve"> based on the lowest observed NOAEL in animals (3.7 mg/kg/day for testicular toxicity in rats)</w:t>
      </w:r>
      <w:r w:rsidRPr="00740431">
        <w:rPr>
          <w:rFonts w:cs="Arial"/>
        </w:rPr>
        <w:t xml:space="preserve">. </w:t>
      </w:r>
      <w:r w:rsidR="00F82B51">
        <w:t xml:space="preserve">This TWA is </w:t>
      </w:r>
      <w:r w:rsidR="00247B8E">
        <w:t>reported</w:t>
      </w:r>
      <w:r w:rsidR="00F82B51">
        <w:t xml:space="preserve"> to be protective of developmental and fertility effects. There is also a sufficiently large margin between the </w:t>
      </w:r>
      <w:r w:rsidR="00606682">
        <w:t xml:space="preserve">recommended </w:t>
      </w:r>
      <w:r w:rsidR="00F82B51">
        <w:t xml:space="preserve">TWA and </w:t>
      </w:r>
      <w:r w:rsidR="002E5567">
        <w:t xml:space="preserve">the </w:t>
      </w:r>
      <w:r w:rsidR="00F82B51">
        <w:t xml:space="preserve">concentration </w:t>
      </w:r>
      <w:r w:rsidR="002E5567">
        <w:t>associated with no increase in tumour incidence in animals.</w:t>
      </w:r>
      <w:r w:rsidR="00F82B51">
        <w:t xml:space="preserve"> </w:t>
      </w:r>
      <w:r w:rsidR="00EA4CE0">
        <w:rPr>
          <w:rFonts w:cs="Arial"/>
        </w:rPr>
        <w:t>The current STEL is recommended to be removed as the TWA is</w:t>
      </w:r>
      <w:r w:rsidR="002E5567">
        <w:rPr>
          <w:rFonts w:cs="Arial"/>
        </w:rPr>
        <w:t xml:space="preserve"> considered</w:t>
      </w:r>
      <w:r w:rsidR="00EA4CE0">
        <w:rPr>
          <w:rFonts w:cs="Arial"/>
        </w:rPr>
        <w:t xml:space="preserve"> protective of acute exposures.</w:t>
      </w:r>
    </w:p>
    <w:p w14:paraId="5E442F28" w14:textId="77777777" w:rsidR="004529F0" w:rsidRPr="004C23F4" w:rsidRDefault="004529F0" w:rsidP="004529F0">
      <w:pPr>
        <w:pStyle w:val="Heading2"/>
      </w:pPr>
      <w:r>
        <w:lastRenderedPageBreak/>
        <w:t>Recommendation for notations</w:t>
      </w:r>
    </w:p>
    <w:p w14:paraId="1DCB4FA6" w14:textId="4092D33F" w:rsidR="002F3DD7" w:rsidRPr="00A70823" w:rsidRDefault="0046492A" w:rsidP="002F3DD7">
      <w:pPr>
        <w:rPr>
          <w:rFonts w:cs="Arial"/>
        </w:rPr>
      </w:pPr>
      <w:r>
        <w:rPr>
          <w:rFonts w:cs="Arial"/>
        </w:rPr>
        <w:t>C</w:t>
      </w:r>
      <w:r w:rsidR="002F3DD7" w:rsidRPr="00A70823">
        <w:rPr>
          <w:rFonts w:cs="Arial"/>
        </w:rPr>
        <w:t xml:space="preserve">lassified as a </w:t>
      </w:r>
      <w:r w:rsidR="0047642C">
        <w:rPr>
          <w:rFonts w:cs="Arial"/>
        </w:rPr>
        <w:t xml:space="preserve">category 1B </w:t>
      </w:r>
      <w:r w:rsidR="002F3DD7" w:rsidRPr="00A70823">
        <w:rPr>
          <w:rFonts w:cs="Arial"/>
        </w:rPr>
        <w:t>carcinogen according to the Globally Harmonized System of</w:t>
      </w:r>
      <w:r w:rsidR="0047642C">
        <w:rPr>
          <w:rFonts w:cs="Arial"/>
        </w:rPr>
        <w:t xml:space="preserve"> Classification and Labelling of</w:t>
      </w:r>
      <w:r w:rsidR="002F3DD7" w:rsidRPr="00A70823">
        <w:rPr>
          <w:rFonts w:cs="Arial"/>
        </w:rPr>
        <w:t xml:space="preserve"> Chemicals (GHS). </w:t>
      </w:r>
    </w:p>
    <w:p w14:paraId="1BBB5B8A" w14:textId="70D99DB1" w:rsidR="002F3DD7" w:rsidRPr="00A70823" w:rsidRDefault="002F3DD7" w:rsidP="002F3DD7">
      <w:pPr>
        <w:rPr>
          <w:rFonts w:cs="Arial"/>
        </w:rPr>
      </w:pPr>
      <w:r w:rsidRPr="00A70823">
        <w:rPr>
          <w:rFonts w:cs="Arial"/>
        </w:rPr>
        <w:t xml:space="preserve">Not classified as a skin </w:t>
      </w:r>
      <w:r w:rsidR="0047642C" w:rsidRPr="00A70823">
        <w:rPr>
          <w:rFonts w:cs="Arial"/>
        </w:rPr>
        <w:t xml:space="preserve">sensitiser </w:t>
      </w:r>
      <w:r w:rsidRPr="00A70823">
        <w:rPr>
          <w:rFonts w:cs="Arial"/>
        </w:rPr>
        <w:t>or respiratory sensitiser according to the GHS.</w:t>
      </w:r>
    </w:p>
    <w:p w14:paraId="14A86EAD" w14:textId="5BF0F317" w:rsidR="005E6979" w:rsidRPr="004C23F4" w:rsidRDefault="00EA4CE0">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r w:rsidRPr="008B5661">
        <w:rPr>
          <w:rFonts w:cs="Arial"/>
        </w:rPr>
        <w:t xml:space="preserve">A skin notation is not </w:t>
      </w:r>
      <w:r w:rsidR="00975D85">
        <w:rPr>
          <w:rFonts w:cs="Arial"/>
        </w:rPr>
        <w:t>recommended</w:t>
      </w:r>
      <w:r w:rsidR="00975D85" w:rsidRPr="008B5661">
        <w:rPr>
          <w:rFonts w:cs="Arial"/>
        </w:rPr>
        <w:t xml:space="preserve"> </w:t>
      </w:r>
      <w:r w:rsidRPr="008B5661">
        <w:rPr>
          <w:rFonts w:cs="Arial"/>
        </w:rPr>
        <w:t>based on the available evidenc</w:t>
      </w:r>
      <w:r w:rsidRPr="00EA4CE0">
        <w:rPr>
          <w:rFonts w:cs="Arial"/>
        </w:rPr>
        <w:t>e.</w:t>
      </w:r>
    </w:p>
    <w:p w14:paraId="1CAAA982"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5A359EB7"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41AC3721" w14:textId="77777777" w:rsidTr="00DE26E8">
        <w:trPr>
          <w:gridAfter w:val="1"/>
          <w:wAfter w:w="8" w:type="pct"/>
          <w:cantSplit/>
          <w:trHeight w:val="393"/>
          <w:tblHeader/>
        </w:trPr>
        <w:tc>
          <w:tcPr>
            <w:tcW w:w="4992" w:type="pct"/>
            <w:shd w:val="clear" w:color="auto" w:fill="BFBFBF" w:themeFill="background1" w:themeFillShade="BF"/>
            <w:vAlign w:val="center"/>
          </w:tcPr>
          <w:p w14:paraId="5616BF0D"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535AFBE4" w14:textId="77777777" w:rsidTr="00DE26E8">
        <w:trPr>
          <w:cantSplit/>
        </w:trPr>
        <w:tc>
          <w:tcPr>
            <w:tcW w:w="5000" w:type="pct"/>
            <w:gridSpan w:val="2"/>
            <w:shd w:val="clear" w:color="auto" w:fill="F2F2F2" w:themeFill="background1" w:themeFillShade="F2"/>
          </w:tcPr>
          <w:p w14:paraId="06CBCBED" w14:textId="674EAA6E"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2F3DD7">
                  <w:t>1991</w:t>
                </w:r>
              </w:sdtContent>
            </w:sdt>
            <w:r w:rsidRPr="003365A5">
              <w:tab/>
            </w:r>
            <w:r>
              <w:tab/>
            </w:r>
            <w:sdt>
              <w:sdtPr>
                <w:alias w:val="SWA WES"/>
                <w:tag w:val="SWA WES"/>
                <w:id w:val="857077202"/>
                <w:placeholder>
                  <w:docPart w:val="81CFEC2FDBC5451289F394E66D92D1A0"/>
                </w:placeholder>
              </w:sdtPr>
              <w:sdtEndPr/>
              <w:sdtContent>
                <w:r w:rsidR="002F3DD7">
                  <w:t>TWA: 5 mg/m</w:t>
                </w:r>
                <w:r w:rsidR="002F3DD7" w:rsidRPr="002F3DD7">
                  <w:rPr>
                    <w:vertAlign w:val="superscript"/>
                  </w:rPr>
                  <w:t>3</w:t>
                </w:r>
                <w:r w:rsidR="002F3DD7">
                  <w:t>; STEL: 10 mg/m</w:t>
                </w:r>
                <w:r w:rsidR="002F3DD7" w:rsidRPr="002F3DD7">
                  <w:rPr>
                    <w:vertAlign w:val="superscript"/>
                  </w:rPr>
                  <w:t>3</w:t>
                </w:r>
              </w:sdtContent>
            </w:sdt>
          </w:p>
        </w:tc>
      </w:tr>
      <w:tr w:rsidR="00C978F0" w:rsidRPr="00DA352E" w14:paraId="5C7F0B87" w14:textId="77777777" w:rsidTr="00DE26E8">
        <w:trPr>
          <w:gridAfter w:val="1"/>
          <w:wAfter w:w="8" w:type="pct"/>
          <w:cantSplit/>
        </w:trPr>
        <w:tc>
          <w:tcPr>
            <w:tcW w:w="4992" w:type="pct"/>
          </w:tcPr>
          <w:p w14:paraId="647E4DE4" w14:textId="77777777" w:rsidR="00C978F0" w:rsidRPr="00DA352E" w:rsidRDefault="00C978F0" w:rsidP="003365A5">
            <w:pPr>
              <w:pStyle w:val="Tabletextprimarysource"/>
            </w:pPr>
          </w:p>
        </w:tc>
      </w:tr>
      <w:tr w:rsidR="00C978F0" w:rsidRPr="00DA352E" w14:paraId="01487CEA" w14:textId="77777777" w:rsidTr="00DE26E8">
        <w:trPr>
          <w:gridAfter w:val="1"/>
          <w:wAfter w:w="8" w:type="pct"/>
          <w:cantSplit/>
        </w:trPr>
        <w:tc>
          <w:tcPr>
            <w:tcW w:w="4992" w:type="pct"/>
            <w:shd w:val="clear" w:color="auto" w:fill="F2F2F2" w:themeFill="background1" w:themeFillShade="F2"/>
          </w:tcPr>
          <w:p w14:paraId="10EA22DF" w14:textId="4D75D885"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2F3DD7">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2F3DD7">
                  <w:t>TLV-TWA: 5 mg/m</w:t>
                </w:r>
                <w:r w:rsidR="002F3DD7" w:rsidRPr="002F3DD7">
                  <w:rPr>
                    <w:vertAlign w:val="superscript"/>
                  </w:rPr>
                  <w:t>3</w:t>
                </w:r>
              </w:sdtContent>
            </w:sdt>
          </w:p>
        </w:tc>
      </w:tr>
      <w:tr w:rsidR="00C978F0" w:rsidRPr="00DA352E" w14:paraId="192CD792" w14:textId="77777777" w:rsidTr="00DE26E8">
        <w:trPr>
          <w:gridAfter w:val="1"/>
          <w:wAfter w:w="8" w:type="pct"/>
          <w:cantSplit/>
        </w:trPr>
        <w:tc>
          <w:tcPr>
            <w:tcW w:w="4992" w:type="pct"/>
          </w:tcPr>
          <w:p w14:paraId="0E00F23F" w14:textId="2E7058D0" w:rsidR="00C978F0" w:rsidRDefault="0047642C" w:rsidP="003365A5">
            <w:pPr>
              <w:pStyle w:val="Tabletextprimarysource"/>
            </w:pPr>
            <w:r>
              <w:t>TLV-TWA</w:t>
            </w:r>
            <w:r w:rsidR="00E16F6F">
              <w:t xml:space="preserve"> recommended to minimise the potential for irritation and possible neurotoxicity.</w:t>
            </w:r>
          </w:p>
          <w:p w14:paraId="513718DE" w14:textId="77777777" w:rsidR="00E16F6F" w:rsidRDefault="00E16F6F" w:rsidP="003365A5">
            <w:pPr>
              <w:pStyle w:val="Tabletextprimarysource"/>
            </w:pPr>
            <w:r>
              <w:t>Summary of data:</w:t>
            </w:r>
          </w:p>
          <w:p w14:paraId="57CAEDDD" w14:textId="77777777" w:rsidR="00E16F6F" w:rsidRDefault="00E16F6F" w:rsidP="003365A5">
            <w:pPr>
              <w:pStyle w:val="Tabletextprimarysource"/>
            </w:pPr>
            <w:r>
              <w:t>Human data:</w:t>
            </w:r>
          </w:p>
          <w:p w14:paraId="316BEE3F" w14:textId="2F9A9ABC" w:rsidR="00E16F6F" w:rsidRDefault="006C0B79" w:rsidP="00975D85">
            <w:pPr>
              <w:pStyle w:val="ListBullet"/>
              <w:spacing w:before="60" w:after="60"/>
              <w:ind w:left="714" w:hanging="357"/>
              <w:contextualSpacing w:val="0"/>
            </w:pPr>
            <w:r>
              <w:t xml:space="preserve">A study in workers reported no significant association with exposure </w:t>
            </w:r>
            <w:r w:rsidR="00EA4CE0">
              <w:rPr>
                <w:rFonts w:cs="Arial"/>
              </w:rPr>
              <w:t>≤</w:t>
            </w:r>
            <w:r>
              <w:t>0.7 mg/m</w:t>
            </w:r>
            <w:r>
              <w:rPr>
                <w:vertAlign w:val="superscript"/>
              </w:rPr>
              <w:t>3</w:t>
            </w:r>
            <w:r>
              <w:t xml:space="preserve"> and presence of symptoms and signs from the peripheral nervous</w:t>
            </w:r>
            <w:r w:rsidR="003D5CB5">
              <w:t xml:space="preserve"> system</w:t>
            </w:r>
            <w:r>
              <w:t>; no reported obstructive lung disease; no further details</w:t>
            </w:r>
          </w:p>
          <w:p w14:paraId="580A1D95" w14:textId="3171711D" w:rsidR="006C0B79" w:rsidRDefault="003D5CB5" w:rsidP="00975D85">
            <w:pPr>
              <w:pStyle w:val="ListBullet"/>
              <w:spacing w:before="60" w:after="60"/>
              <w:ind w:left="714" w:hanging="357"/>
              <w:contextualSpacing w:val="0"/>
            </w:pPr>
            <w:r>
              <w:t xml:space="preserve">One </w:t>
            </w:r>
            <w:r w:rsidR="008F5E57">
              <w:t>case report of occupational asthma due to exposure</w:t>
            </w:r>
          </w:p>
          <w:p w14:paraId="1E531919" w14:textId="52F304E4" w:rsidR="008F5E57" w:rsidRDefault="008F5E57" w:rsidP="00975D85">
            <w:pPr>
              <w:pStyle w:val="ListBullet"/>
              <w:spacing w:before="60" w:after="60"/>
              <w:ind w:left="714" w:hanging="357"/>
              <w:contextualSpacing w:val="0"/>
            </w:pPr>
            <w:r>
              <w:t xml:space="preserve">No evidence of dermal irritation, systemic toxicity or sensitisation in a </w:t>
            </w:r>
            <w:r w:rsidR="002E5567">
              <w:t>7-d</w:t>
            </w:r>
            <w:r>
              <w:t xml:space="preserve"> skin application test in 23 volunteers</w:t>
            </w:r>
          </w:p>
          <w:p w14:paraId="452E26E0" w14:textId="5C203BC2" w:rsidR="00975D85" w:rsidRDefault="008F5E57" w:rsidP="00975D85">
            <w:pPr>
              <w:pStyle w:val="ListBullet"/>
              <w:spacing w:before="60" w:after="60"/>
              <w:ind w:left="714" w:hanging="357"/>
              <w:contextualSpacing w:val="0"/>
            </w:pPr>
            <w:r>
              <w:t>Worker complaints of pain, numbness and spasms in the upper and lower extremities after 6 y</w:t>
            </w:r>
            <w:r w:rsidR="003D5CB5">
              <w:t>r</w:t>
            </w:r>
            <w:r>
              <w:t xml:space="preserve"> ambient air concentrations of 1.7</w:t>
            </w:r>
            <w:r w:rsidR="005A1CE3">
              <w:t>–</w:t>
            </w:r>
            <w:r>
              <w:t>66 mg/m</w:t>
            </w:r>
            <w:r>
              <w:rPr>
                <w:vertAlign w:val="superscript"/>
              </w:rPr>
              <w:t>3</w:t>
            </w:r>
            <w:r>
              <w:t xml:space="preserve"> for range of related plasticisers</w:t>
            </w:r>
          </w:p>
          <w:p w14:paraId="0744CE87" w14:textId="22416DB5" w:rsidR="008F5E57" w:rsidRDefault="008F5E57" w:rsidP="00975D85">
            <w:pPr>
              <w:pStyle w:val="ListBullet"/>
              <w:numPr>
                <w:ilvl w:val="0"/>
                <w:numId w:val="6"/>
              </w:numPr>
              <w:spacing w:before="60" w:after="60"/>
              <w:contextualSpacing w:val="0"/>
            </w:pPr>
            <w:r>
              <w:t>co-exposure to tri-o-cresyl phosphate (TOCP) was likely; TOCP is a known potent cause of human peripheral neuropathy</w:t>
            </w:r>
          </w:p>
          <w:p w14:paraId="3FF30AE8" w14:textId="531B181C" w:rsidR="008F5E57" w:rsidRDefault="008F5E57" w:rsidP="00975D85">
            <w:pPr>
              <w:pStyle w:val="ListBullet"/>
              <w:spacing w:before="60" w:after="60"/>
              <w:ind w:left="714" w:hanging="357"/>
              <w:contextualSpacing w:val="0"/>
            </w:pPr>
            <w:r>
              <w:t>Evidence of poor dermal absorption reported</w:t>
            </w:r>
            <w:r w:rsidR="0047642C">
              <w:t>.</w:t>
            </w:r>
          </w:p>
          <w:p w14:paraId="59BAAAD9" w14:textId="77777777" w:rsidR="008F5E57" w:rsidRDefault="008F5E57" w:rsidP="008F5E57">
            <w:pPr>
              <w:pStyle w:val="Tabletextprimarysource"/>
            </w:pPr>
            <w:r>
              <w:t>Animal data:</w:t>
            </w:r>
          </w:p>
          <w:p w14:paraId="5D3C9B72" w14:textId="10FC49A5" w:rsidR="008F5E57" w:rsidRDefault="008F5E57" w:rsidP="00975D85">
            <w:pPr>
              <w:pStyle w:val="ListBullet"/>
              <w:spacing w:before="60" w:after="60"/>
              <w:ind w:left="714" w:hanging="357"/>
              <w:contextualSpacing w:val="0"/>
            </w:pPr>
            <w:r>
              <w:t xml:space="preserve">No irritant response from dermal application or sensitising potential reported </w:t>
            </w:r>
          </w:p>
          <w:p w14:paraId="1D90EE80" w14:textId="60364714" w:rsidR="008F5E57" w:rsidRDefault="008F5E57" w:rsidP="00975D85">
            <w:pPr>
              <w:pStyle w:val="ListBullet"/>
              <w:spacing w:before="60" w:after="60"/>
              <w:ind w:left="714" w:hanging="357"/>
              <w:contextualSpacing w:val="0"/>
            </w:pPr>
            <w:r>
              <w:t>LD</w:t>
            </w:r>
            <w:r>
              <w:rPr>
                <w:vertAlign w:val="subscript"/>
              </w:rPr>
              <w:t>50</w:t>
            </w:r>
            <w:r w:rsidR="00EA4CE0">
              <w:t>:</w:t>
            </w:r>
            <w:r>
              <w:rPr>
                <w:vertAlign w:val="subscript"/>
              </w:rPr>
              <w:t xml:space="preserve"> </w:t>
            </w:r>
            <w:r>
              <w:t xml:space="preserve">24,750 mg/kg </w:t>
            </w:r>
            <w:r w:rsidR="00EA4CE0">
              <w:t>(</w:t>
            </w:r>
            <w:r>
              <w:t>rabbits</w:t>
            </w:r>
            <w:r w:rsidR="00EA4CE0">
              <w:t>,</w:t>
            </w:r>
            <w:r w:rsidR="008B5661">
              <w:t xml:space="preserve"> </w:t>
            </w:r>
            <w:r>
              <w:t>dermal</w:t>
            </w:r>
            <w:r w:rsidR="00EA4CE0">
              <w:t>)</w:t>
            </w:r>
          </w:p>
          <w:p w14:paraId="454223B6" w14:textId="32872B51" w:rsidR="00975D85" w:rsidRDefault="006746AE" w:rsidP="00975D85">
            <w:pPr>
              <w:pStyle w:val="ListBullet"/>
              <w:spacing w:before="60" w:after="60"/>
              <w:ind w:left="714" w:hanging="357"/>
              <w:contextualSpacing w:val="0"/>
            </w:pPr>
            <w:r>
              <w:t xml:space="preserve">Lung and liver weight increase in female rats exposed </w:t>
            </w:r>
            <w:r w:rsidR="005A1CE3">
              <w:t xml:space="preserve">at </w:t>
            </w:r>
            <w:r>
              <w:t>1,000 mg/</w:t>
            </w:r>
            <w:proofErr w:type="spellStart"/>
            <w:r>
              <w:t>m</w:t>
            </w:r>
            <w:r>
              <w:rPr>
                <w:vertAlign w:val="superscript"/>
              </w:rPr>
              <w:t>3</w:t>
            </w:r>
            <w:proofErr w:type="spellEnd"/>
            <w:r>
              <w:t xml:space="preserve"> for 4 </w:t>
            </w:r>
            <w:proofErr w:type="spellStart"/>
            <w:r>
              <w:t>wk</w:t>
            </w:r>
            <w:proofErr w:type="spellEnd"/>
          </w:p>
          <w:p w14:paraId="5F15E347" w14:textId="38DC3710" w:rsidR="00975D85" w:rsidRDefault="006746AE" w:rsidP="00975D85">
            <w:pPr>
              <w:pStyle w:val="ListBullet"/>
              <w:numPr>
                <w:ilvl w:val="0"/>
                <w:numId w:val="6"/>
              </w:numPr>
              <w:spacing w:before="60" w:after="60"/>
              <w:contextualSpacing w:val="0"/>
            </w:pPr>
            <w:r>
              <w:t xml:space="preserve">resolved after 8 </w:t>
            </w:r>
            <w:proofErr w:type="spellStart"/>
            <w:r>
              <w:t>wk</w:t>
            </w:r>
            <w:proofErr w:type="spellEnd"/>
            <w:r>
              <w:t xml:space="preserve"> of no exposure</w:t>
            </w:r>
          </w:p>
          <w:p w14:paraId="060FCCDC" w14:textId="06959201" w:rsidR="008F5E57" w:rsidRDefault="006746AE" w:rsidP="00975D85">
            <w:pPr>
              <w:pStyle w:val="ListBullet"/>
              <w:numPr>
                <w:ilvl w:val="0"/>
                <w:numId w:val="6"/>
              </w:numPr>
              <w:spacing w:before="60" w:after="60"/>
              <w:contextualSpacing w:val="0"/>
            </w:pPr>
            <w:r>
              <w:t xml:space="preserve">thickened alveolar </w:t>
            </w:r>
            <w:r w:rsidR="003D5CB5">
              <w:t xml:space="preserve">septum </w:t>
            </w:r>
            <w:r>
              <w:t>accompanied by diffuse foam cell proliferation in male rats reported at same exposure</w:t>
            </w:r>
          </w:p>
          <w:p w14:paraId="21678A83" w14:textId="2644A710" w:rsidR="006746AE" w:rsidRDefault="006746AE" w:rsidP="00975D85">
            <w:pPr>
              <w:pStyle w:val="ListBullet"/>
              <w:spacing w:before="60" w:after="60"/>
              <w:ind w:left="714" w:hanging="357"/>
              <w:contextualSpacing w:val="0"/>
            </w:pPr>
            <w:r>
              <w:t>103</w:t>
            </w:r>
            <w:r w:rsidR="00210629">
              <w:t>-</w:t>
            </w:r>
            <w:r>
              <w:t>wk feeding study reported increased incidence of hepatocellular carcinomas in female rats and in male and female mice and an increased incidence of either hepatocellular carcinomas or neoplastic nodules in male rats;</w:t>
            </w:r>
            <w:r w:rsidR="00B10FE8">
              <w:t xml:space="preserve"> doses of 6,000 or 12,000 mg/kg</w:t>
            </w:r>
            <w:r w:rsidR="003D5CB5">
              <w:t>/d</w:t>
            </w:r>
            <w:r w:rsidR="00B10FE8">
              <w:t xml:space="preserve"> in mice; 3,000 or 6,000 mg/kg</w:t>
            </w:r>
            <w:r w:rsidR="003D5CB5">
              <w:t>/d</w:t>
            </w:r>
            <w:r w:rsidR="00B10FE8">
              <w:t xml:space="preserve"> in rats</w:t>
            </w:r>
          </w:p>
          <w:p w14:paraId="6B3B57D1" w14:textId="6E696103" w:rsidR="003D5CB5" w:rsidRDefault="003D5CB5" w:rsidP="003D5CB5">
            <w:pPr>
              <w:pStyle w:val="ListBullet"/>
              <w:spacing w:before="60" w:after="60"/>
              <w:ind w:left="714" w:hanging="357"/>
              <w:contextualSpacing w:val="0"/>
            </w:pPr>
            <w:r>
              <w:t xml:space="preserve">No evidence for increased tumour incidence </w:t>
            </w:r>
            <w:r w:rsidR="00B10FE8">
              <w:t>in hamsters exposed for lifetime by inhalation for 23 h/d at 15 ± 5 mg/m</w:t>
            </w:r>
            <w:r w:rsidR="00B10FE8">
              <w:rPr>
                <w:vertAlign w:val="superscript"/>
              </w:rPr>
              <w:t>3</w:t>
            </w:r>
          </w:p>
          <w:p w14:paraId="5F999266" w14:textId="5E2D0100" w:rsidR="00B10FE8" w:rsidRDefault="00B10FE8" w:rsidP="00975D85">
            <w:pPr>
              <w:pStyle w:val="ListBullet"/>
              <w:spacing w:before="60" w:after="60"/>
              <w:ind w:left="714" w:hanging="357"/>
              <w:contextualSpacing w:val="0"/>
            </w:pPr>
            <w:r>
              <w:t>DEHP not a reproductive or developmental toxin by either dermal contact or inhalation routes; developmental effects at</w:t>
            </w:r>
            <w:r w:rsidR="00C574C2">
              <w:t xml:space="preserve"> massive oral doses</w:t>
            </w:r>
            <w:r w:rsidR="001756A3">
              <w:t>.</w:t>
            </w:r>
          </w:p>
          <w:p w14:paraId="0327ED82" w14:textId="77777777" w:rsidR="003C5CDC" w:rsidRDefault="003C5CDC" w:rsidP="00C574C2">
            <w:pPr>
              <w:pStyle w:val="Tabletextprimarysource"/>
            </w:pPr>
          </w:p>
          <w:p w14:paraId="07A76AD5" w14:textId="7ABEC211" w:rsidR="00C574C2" w:rsidRDefault="00C574C2" w:rsidP="00C574C2">
            <w:pPr>
              <w:pStyle w:val="Tabletextprimarysource"/>
            </w:pPr>
            <w:r>
              <w:t>Negative results in mutagenicity tests in bacteria and eukaryotic cells</w:t>
            </w:r>
            <w:r w:rsidR="001756A3">
              <w:t>.</w:t>
            </w:r>
          </w:p>
          <w:p w14:paraId="7B9F25B6" w14:textId="77777777" w:rsidR="00C574C2" w:rsidRDefault="00C574C2" w:rsidP="00C574C2">
            <w:pPr>
              <w:pStyle w:val="Tabletextprimarysource"/>
            </w:pPr>
            <w:r>
              <w:t>Insufficient data to recommend Skin or SEN notations or a TLV-STEL.</w:t>
            </w:r>
          </w:p>
          <w:p w14:paraId="54ECBD73" w14:textId="467B19F2" w:rsidR="00975D85" w:rsidRPr="00DA352E" w:rsidRDefault="00975D85" w:rsidP="00C574C2">
            <w:pPr>
              <w:pStyle w:val="Tabletextprimarysource"/>
            </w:pPr>
          </w:p>
        </w:tc>
      </w:tr>
      <w:tr w:rsidR="00C978F0" w:rsidRPr="00DA352E" w14:paraId="63E266BB" w14:textId="77777777" w:rsidTr="00DE26E8">
        <w:trPr>
          <w:gridAfter w:val="1"/>
          <w:wAfter w:w="8" w:type="pct"/>
          <w:cantSplit/>
        </w:trPr>
        <w:tc>
          <w:tcPr>
            <w:tcW w:w="4992" w:type="pct"/>
            <w:shd w:val="clear" w:color="auto" w:fill="F2F2F2" w:themeFill="background1" w:themeFillShade="F2"/>
          </w:tcPr>
          <w:p w14:paraId="6856C577" w14:textId="0CE44624"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2F3DD7">
                  <w:t>2014</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2F3DD7">
                  <w:t>MAK: 2 mg/m</w:t>
                </w:r>
                <w:r w:rsidR="002F3DD7" w:rsidRPr="002F3DD7">
                  <w:rPr>
                    <w:vertAlign w:val="superscript"/>
                  </w:rPr>
                  <w:t>3</w:t>
                </w:r>
              </w:sdtContent>
            </w:sdt>
          </w:p>
        </w:tc>
      </w:tr>
      <w:tr w:rsidR="00C978F0" w:rsidRPr="00DA352E" w14:paraId="39219497" w14:textId="77777777" w:rsidTr="008B5661">
        <w:trPr>
          <w:gridAfter w:val="1"/>
          <w:wAfter w:w="8" w:type="pct"/>
        </w:trPr>
        <w:tc>
          <w:tcPr>
            <w:tcW w:w="0" w:type="pct"/>
          </w:tcPr>
          <w:p w14:paraId="3A4F0125" w14:textId="15336EE3" w:rsidR="00C978F0" w:rsidRDefault="00B10FE8" w:rsidP="003365A5">
            <w:pPr>
              <w:pStyle w:val="Tabletextprimarysource"/>
            </w:pPr>
            <w:r>
              <w:t>Summary of additional data:</w:t>
            </w:r>
          </w:p>
          <w:p w14:paraId="7131BB6D" w14:textId="2C5266DF" w:rsidR="00C574C2" w:rsidRDefault="00C574C2" w:rsidP="00C574C2">
            <w:pPr>
              <w:pStyle w:val="Tabletextprimarysource"/>
            </w:pPr>
            <w:r>
              <w:t xml:space="preserve">The critical effects </w:t>
            </w:r>
            <w:r w:rsidR="008B5661">
              <w:t>include</w:t>
            </w:r>
            <w:r>
              <w:t xml:space="preserve"> developmental toxicity, liver carcinogenicity and effects on fertility and the lungs and possibly on the larynx in rodents</w:t>
            </w:r>
            <w:r w:rsidR="001756A3">
              <w:t>.</w:t>
            </w:r>
          </w:p>
          <w:p w14:paraId="574C8F9F" w14:textId="0E15474D" w:rsidR="00975D85" w:rsidRDefault="00B10FE8" w:rsidP="00DD4601">
            <w:pPr>
              <w:pStyle w:val="ListBullet"/>
              <w:spacing w:before="60" w:after="60"/>
              <w:ind w:left="714" w:hanging="357"/>
              <w:contextualSpacing w:val="0"/>
            </w:pPr>
            <w:r>
              <w:t>NO</w:t>
            </w:r>
            <w:r w:rsidR="001D2F0E">
              <w:t xml:space="preserve">AEC </w:t>
            </w:r>
            <w:r w:rsidR="00210629">
              <w:t xml:space="preserve">of </w:t>
            </w:r>
            <w:r w:rsidR="001D2F0E">
              <w:t>50 mg/m</w:t>
            </w:r>
            <w:r w:rsidR="001D2F0E" w:rsidRPr="00F30B81">
              <w:rPr>
                <w:vertAlign w:val="superscript"/>
              </w:rPr>
              <w:t>3</w:t>
            </w:r>
            <w:r w:rsidR="001D2F0E">
              <w:t xml:space="preserve"> </w:t>
            </w:r>
            <w:r w:rsidR="00074ABC">
              <w:t xml:space="preserve">reported </w:t>
            </w:r>
            <w:r w:rsidR="001D2F0E">
              <w:t>in rats</w:t>
            </w:r>
            <w:r w:rsidR="00074ABC">
              <w:t xml:space="preserve"> based on prenatal development and maternal toxicity; reported in an inhalation study with exposure on </w:t>
            </w:r>
            <w:r w:rsidR="00F30B81">
              <w:t xml:space="preserve">GD </w:t>
            </w:r>
            <w:r w:rsidR="00074ABC">
              <w:t>6</w:t>
            </w:r>
            <w:r w:rsidR="008859D9">
              <w:t>–</w:t>
            </w:r>
            <w:r w:rsidR="00074ABC">
              <w:t xml:space="preserve">15 at concentrations of 0, 10, 50 or </w:t>
            </w:r>
            <w:r w:rsidR="00074ABC">
              <w:lastRenderedPageBreak/>
              <w:t>300 mg/m</w:t>
            </w:r>
            <w:r w:rsidR="00074ABC" w:rsidRPr="00F30B81">
              <w:rPr>
                <w:vertAlign w:val="superscript"/>
              </w:rPr>
              <w:t>3</w:t>
            </w:r>
            <w:r w:rsidR="00074ABC">
              <w:t>; significantly increased incidence of litters with retardation; maternal toxicity in high exposure group</w:t>
            </w:r>
          </w:p>
          <w:p w14:paraId="72ACC98A" w14:textId="21F22470" w:rsidR="00B10FE8" w:rsidRDefault="001D2F0E" w:rsidP="00DD4601">
            <w:pPr>
              <w:pStyle w:val="ListBullet"/>
              <w:spacing w:before="60" w:after="60"/>
              <w:ind w:left="714" w:hanging="357"/>
              <w:contextualSpacing w:val="0"/>
            </w:pPr>
            <w:r>
              <w:t>300 mg/m</w:t>
            </w:r>
            <w:r w:rsidRPr="00F30B81">
              <w:rPr>
                <w:vertAlign w:val="superscript"/>
              </w:rPr>
              <w:t>3</w:t>
            </w:r>
            <w:r>
              <w:t xml:space="preserve"> resulted in retardations in the foetuses together with maternal toxicity; exposures at </w:t>
            </w:r>
            <w:r w:rsidR="00975D85">
              <w:t>GD</w:t>
            </w:r>
            <w:r>
              <w:t xml:space="preserve"> 6</w:t>
            </w:r>
            <w:r w:rsidR="008859D9">
              <w:t>–</w:t>
            </w:r>
            <w:r>
              <w:t>15</w:t>
            </w:r>
          </w:p>
          <w:p w14:paraId="2CFFF749" w14:textId="3AFEBDE6" w:rsidR="00F92808" w:rsidRDefault="009E0226" w:rsidP="00DD4601">
            <w:pPr>
              <w:pStyle w:val="ListBullet"/>
              <w:spacing w:before="60" w:after="60"/>
              <w:ind w:left="714" w:hanging="357"/>
              <w:contextualSpacing w:val="0"/>
            </w:pPr>
            <w:r>
              <w:t>NOAEL</w:t>
            </w:r>
            <w:r w:rsidR="001D2F0E">
              <w:t xml:space="preserve"> in </w:t>
            </w:r>
            <w:r>
              <w:t>mice extrapolate</w:t>
            </w:r>
            <w:r w:rsidR="00F92808">
              <w:t>d</w:t>
            </w:r>
            <w:r>
              <w:t xml:space="preserve"> </w:t>
            </w:r>
            <w:r w:rsidR="008B5661" w:rsidRPr="00F30B81">
              <w:t>≡</w:t>
            </w:r>
            <w:r>
              <w:t xml:space="preserve"> human 8</w:t>
            </w:r>
            <w:r w:rsidR="001756A3">
              <w:t xml:space="preserve"> </w:t>
            </w:r>
            <w:r>
              <w:t xml:space="preserve">h inhalation concentrations using species correction </w:t>
            </w:r>
            <w:r w:rsidR="00F92808">
              <w:t xml:space="preserve">of 1/7, 50% oral absorption, </w:t>
            </w:r>
            <w:r>
              <w:t>70 kg</w:t>
            </w:r>
            <w:r w:rsidR="00F92808">
              <w:t xml:space="preserve"> human </w:t>
            </w:r>
            <w:proofErr w:type="spellStart"/>
            <w:r w:rsidR="00F92808">
              <w:t>bw</w:t>
            </w:r>
            <w:proofErr w:type="spellEnd"/>
            <w:r w:rsidR="00F92808">
              <w:t>, 10</w:t>
            </w:r>
            <w:r w:rsidR="001756A3">
              <w:t xml:space="preserve"> </w:t>
            </w:r>
            <w:proofErr w:type="spellStart"/>
            <w:r w:rsidR="00F92808">
              <w:t>m</w:t>
            </w:r>
            <w:r w:rsidR="00F92808" w:rsidRPr="00F30B81">
              <w:rPr>
                <w:vertAlign w:val="superscript"/>
              </w:rPr>
              <w:t>3</w:t>
            </w:r>
            <w:proofErr w:type="spellEnd"/>
            <w:r w:rsidR="00F92808" w:rsidRPr="00F30B81">
              <w:rPr>
                <w:vertAlign w:val="superscript"/>
              </w:rPr>
              <w:t xml:space="preserve"> </w:t>
            </w:r>
            <w:r w:rsidR="00F92808">
              <w:t>respiratory volume in 8</w:t>
            </w:r>
            <w:r w:rsidR="001756A3">
              <w:t xml:space="preserve"> </w:t>
            </w:r>
            <w:r w:rsidR="00F92808">
              <w:t>h, 75% absorption by inhalation</w:t>
            </w:r>
            <w:r>
              <w:t xml:space="preserve">: </w:t>
            </w:r>
          </w:p>
          <w:p w14:paraId="5A769ED6" w14:textId="3351B6FF" w:rsidR="00F92808" w:rsidRDefault="00312120" w:rsidP="00DD4601">
            <w:pPr>
              <w:pStyle w:val="ListBullet"/>
              <w:numPr>
                <w:ilvl w:val="0"/>
                <w:numId w:val="6"/>
              </w:numPr>
              <w:spacing w:before="60" w:after="60"/>
              <w:contextualSpacing w:val="0"/>
            </w:pPr>
            <w:r>
              <w:t>o</w:t>
            </w:r>
            <w:r w:rsidR="00527BCC">
              <w:t xml:space="preserve">ral diet study; </w:t>
            </w:r>
            <w:r w:rsidR="00527BCC" w:rsidRPr="00527BCC">
              <w:t xml:space="preserve">7 days before mating, 98 days during cohabitation and 21 days afterwards; 0, </w:t>
            </w:r>
            <w:r w:rsidR="00527BCC">
              <w:t>20, 200, 6</w:t>
            </w:r>
            <w:r w:rsidR="00527BCC" w:rsidRPr="00527BCC">
              <w:t>00 mg/kg</w:t>
            </w:r>
            <w:r w:rsidR="00527BCC">
              <w:t xml:space="preserve">/d; NOAEL </w:t>
            </w:r>
            <w:r w:rsidR="00F92808">
              <w:t>20</w:t>
            </w:r>
            <w:r w:rsidR="009E0226">
              <w:t xml:space="preserve"> </w:t>
            </w:r>
            <w:r w:rsidR="007917C4">
              <w:t xml:space="preserve">mg/k/d </w:t>
            </w:r>
            <w:r w:rsidR="001D2F0E">
              <w:t xml:space="preserve">for </w:t>
            </w:r>
            <w:r w:rsidR="00F92808">
              <w:t>fetotoxicity = 13</w:t>
            </w:r>
            <w:r w:rsidR="00F30B81">
              <w:t> </w:t>
            </w:r>
            <w:r w:rsidR="00F92808">
              <w:t>mg/m</w:t>
            </w:r>
            <w:r w:rsidR="00F92808" w:rsidRPr="00F30B81">
              <w:rPr>
                <w:vertAlign w:val="superscript"/>
              </w:rPr>
              <w:t>3</w:t>
            </w:r>
          </w:p>
          <w:p w14:paraId="4220E7A3" w14:textId="056B088C" w:rsidR="00F92808" w:rsidRDefault="00F92808" w:rsidP="00DD4601">
            <w:pPr>
              <w:pStyle w:val="ListBullet"/>
              <w:spacing w:before="60" w:after="60"/>
              <w:ind w:left="714" w:hanging="357"/>
              <w:contextualSpacing w:val="0"/>
            </w:pPr>
            <w:r>
              <w:t xml:space="preserve">NOAEL in rats extrapolated </w:t>
            </w:r>
            <w:r w:rsidR="008B5661" w:rsidRPr="00F30B81">
              <w:t>≡</w:t>
            </w:r>
            <w:r w:rsidR="0047642C" w:rsidRPr="00F30B81">
              <w:t xml:space="preserve"> </w:t>
            </w:r>
            <w:r>
              <w:t>human 8</w:t>
            </w:r>
            <w:r w:rsidR="001756A3">
              <w:t xml:space="preserve"> </w:t>
            </w:r>
            <w:r>
              <w:t xml:space="preserve">h inhalation concentrations using species correction of 1/4, 50% oral absorption, 70 kg human </w:t>
            </w:r>
            <w:proofErr w:type="spellStart"/>
            <w:r>
              <w:t>bw</w:t>
            </w:r>
            <w:proofErr w:type="spellEnd"/>
            <w:r>
              <w:t>, 10</w:t>
            </w:r>
            <w:r w:rsidR="001756A3">
              <w:t xml:space="preserve"> </w:t>
            </w:r>
            <w:proofErr w:type="spellStart"/>
            <w:r>
              <w:t>m</w:t>
            </w:r>
            <w:r w:rsidRPr="00F30B81">
              <w:rPr>
                <w:vertAlign w:val="superscript"/>
              </w:rPr>
              <w:t>3</w:t>
            </w:r>
            <w:proofErr w:type="spellEnd"/>
            <w:r w:rsidRPr="00F30B81">
              <w:rPr>
                <w:vertAlign w:val="superscript"/>
              </w:rPr>
              <w:t xml:space="preserve"> </w:t>
            </w:r>
            <w:r>
              <w:t>respiratory volume in 8</w:t>
            </w:r>
            <w:r w:rsidR="001756A3">
              <w:t xml:space="preserve"> </w:t>
            </w:r>
            <w:r>
              <w:t xml:space="preserve">h, 75% absorption by inhalation: </w:t>
            </w:r>
          </w:p>
          <w:p w14:paraId="68986959" w14:textId="4FE13F6F" w:rsidR="00060443" w:rsidRDefault="006E0BBD" w:rsidP="00DD4601">
            <w:pPr>
              <w:pStyle w:val="ListBullet"/>
              <w:numPr>
                <w:ilvl w:val="0"/>
                <w:numId w:val="6"/>
              </w:numPr>
              <w:spacing w:before="60" w:after="60"/>
              <w:contextualSpacing w:val="0"/>
            </w:pPr>
            <w:r>
              <w:t xml:space="preserve">MAK derivation: </w:t>
            </w:r>
            <w:r w:rsidR="00527BCC">
              <w:t xml:space="preserve">13 </w:t>
            </w:r>
            <w:proofErr w:type="spellStart"/>
            <w:r w:rsidR="00527BCC">
              <w:t>wk</w:t>
            </w:r>
            <w:proofErr w:type="spellEnd"/>
            <w:r w:rsidR="00527BCC">
              <w:t xml:space="preserve"> oral study in rats reported a NOAEL </w:t>
            </w:r>
            <w:r w:rsidR="00FD54FC">
              <w:t xml:space="preserve">of </w:t>
            </w:r>
            <w:r w:rsidR="00060443">
              <w:t>3.7 mg/kg</w:t>
            </w:r>
            <w:r w:rsidR="005D15E2">
              <w:t>/d</w:t>
            </w:r>
            <w:r w:rsidR="00060443">
              <w:t xml:space="preserve"> </w:t>
            </w:r>
            <w:r w:rsidR="00527BCC">
              <w:t xml:space="preserve">based on </w:t>
            </w:r>
            <w:r w:rsidR="00060443">
              <w:t>testicular toxicity</w:t>
            </w:r>
            <w:r w:rsidR="00527BCC">
              <w:t xml:space="preserve"> (</w:t>
            </w:r>
            <w:r w:rsidR="00527BCC" w:rsidRPr="00DD4601">
              <w:t>slight vacuolation of Sertoli cells)</w:t>
            </w:r>
            <w:r w:rsidR="00060443">
              <w:t xml:space="preserve"> = 6 mg/m</w:t>
            </w:r>
            <w:r w:rsidR="00060443" w:rsidRPr="00DD4601">
              <w:rPr>
                <w:vertAlign w:val="superscript"/>
              </w:rPr>
              <w:t>3</w:t>
            </w:r>
            <w:r>
              <w:t xml:space="preserve">; </w:t>
            </w:r>
            <w:r w:rsidRPr="006E0BBD">
              <w:t>value is based on animal studies a MAK value of 2 mg/m</w:t>
            </w:r>
            <w:r w:rsidRPr="00DD4601">
              <w:rPr>
                <w:vertAlign w:val="superscript"/>
              </w:rPr>
              <w:t>3</w:t>
            </w:r>
            <w:r w:rsidRPr="006E0BBD">
              <w:t xml:space="preserve"> is recommended (half the extrapolated value and then rounded down)</w:t>
            </w:r>
          </w:p>
          <w:p w14:paraId="25A4422C" w14:textId="03C912C4" w:rsidR="00E54D33" w:rsidRDefault="007917C4" w:rsidP="00DD4601">
            <w:pPr>
              <w:pStyle w:val="ListBullet"/>
              <w:spacing w:before="60" w:after="60"/>
              <w:ind w:left="714" w:hanging="357"/>
              <w:contextualSpacing w:val="0"/>
            </w:pPr>
            <w:r>
              <w:t xml:space="preserve">Calculation: </w:t>
            </w:r>
            <w:r w:rsidR="00E54D33">
              <w:t>NOAEL x</w:t>
            </w:r>
            <w:r w:rsidR="00DE6AEA">
              <w:t xml:space="preserve"> (7/5) x</w:t>
            </w:r>
            <w:r w:rsidR="00E54D33">
              <w:t xml:space="preserve"> (</w:t>
            </w:r>
            <w:r w:rsidR="00E54D33" w:rsidRPr="00F25B73">
              <w:t>70/10</w:t>
            </w:r>
            <w:r w:rsidR="00E54D33">
              <w:t xml:space="preserve">) </w:t>
            </w:r>
            <w:r w:rsidR="00E54D33" w:rsidRPr="00F25B73">
              <w:t>×</w:t>
            </w:r>
            <w:r w:rsidR="00E54D33">
              <w:t xml:space="preserve"> (1/4 or 1/</w:t>
            </w:r>
            <w:r w:rsidR="00E54D33" w:rsidRPr="00F25B73">
              <w:t>7)</w:t>
            </w:r>
            <w:r w:rsidR="00E54D33">
              <w:t xml:space="preserve"> </w:t>
            </w:r>
            <w:r w:rsidR="00E54D33" w:rsidRPr="00F25B73">
              <w:t>×</w:t>
            </w:r>
            <w:r w:rsidR="00E54D33">
              <w:t xml:space="preserve"> </w:t>
            </w:r>
            <w:r w:rsidR="00E54D33" w:rsidRPr="00F25B73">
              <w:t>0.5 (oral absorption by animals)</w:t>
            </w:r>
            <w:r w:rsidR="00E54D33">
              <w:t xml:space="preserve"> </w:t>
            </w:r>
            <w:r w:rsidR="00E54D33" w:rsidRPr="00F25B73">
              <w:t>/</w:t>
            </w:r>
            <w:r w:rsidR="00E54D33">
              <w:t xml:space="preserve"> </w:t>
            </w:r>
            <w:r w:rsidR="00E54D33" w:rsidRPr="00F25B73">
              <w:t>0.75 (inhalation absorption by humans)</w:t>
            </w:r>
            <w:r w:rsidR="00312120">
              <w:t>.</w:t>
            </w:r>
          </w:p>
          <w:p w14:paraId="7F8C017A" w14:textId="788B1109" w:rsidR="003C5CDC" w:rsidRPr="00DA352E" w:rsidRDefault="003C5CDC" w:rsidP="00436684">
            <w:pPr>
              <w:pStyle w:val="ListBullet"/>
              <w:numPr>
                <w:ilvl w:val="0"/>
                <w:numId w:val="0"/>
              </w:numPr>
              <w:spacing w:before="60" w:after="60"/>
              <w:ind w:left="1074"/>
              <w:contextualSpacing w:val="0"/>
            </w:pPr>
          </w:p>
        </w:tc>
      </w:tr>
      <w:tr w:rsidR="00C978F0" w:rsidRPr="00DA352E" w14:paraId="4B46D5AA" w14:textId="77777777" w:rsidTr="00DE26E8">
        <w:trPr>
          <w:gridAfter w:val="1"/>
          <w:wAfter w:w="8" w:type="pct"/>
          <w:cantSplit/>
        </w:trPr>
        <w:tc>
          <w:tcPr>
            <w:tcW w:w="4992" w:type="pct"/>
            <w:shd w:val="clear" w:color="auto" w:fill="F2F2F2" w:themeFill="background1" w:themeFillShade="F2"/>
          </w:tcPr>
          <w:p w14:paraId="584E34A7" w14:textId="40C22B6D" w:rsidR="00C978F0" w:rsidRPr="00DA352E" w:rsidRDefault="00DA352E" w:rsidP="0051509C">
            <w:pPr>
              <w:pStyle w:val="Tablerowheadingitalic"/>
              <w:tabs>
                <w:tab w:val="clear" w:pos="2268"/>
                <w:tab w:val="clear" w:pos="5670"/>
                <w:tab w:val="left" w:pos="1418"/>
                <w:tab w:val="left" w:pos="2552"/>
              </w:tabs>
            </w:pPr>
            <w:proofErr w:type="spellStart"/>
            <w:r w:rsidRPr="00DA352E">
              <w:lastRenderedPageBreak/>
              <w:t>SCOEL</w:t>
            </w:r>
            <w:proofErr w:type="spellEnd"/>
            <w:r w:rsidR="00916EC0" w:rsidRPr="003365A5">
              <w:t xml:space="preserve"> </w:t>
            </w:r>
            <w:r w:rsidR="00916EC0" w:rsidRPr="003365A5">
              <w:tab/>
            </w:r>
            <w:sdt>
              <w:sdtPr>
                <w:id w:val="-768699850"/>
                <w:placeholder>
                  <w:docPart w:val="FDC2A24E7D2549238DA6EE03BD0A6AE0"/>
                </w:placeholder>
                <w:text/>
              </w:sdtPr>
              <w:sdtEndPr/>
              <w:sdtContent>
                <w:r w:rsidR="002F3DD7">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proofErr w:type="spellStart"/>
                <w:r w:rsidR="002F3DD7">
                  <w:t>NA</w:t>
                </w:r>
                <w:proofErr w:type="spellEnd"/>
              </w:sdtContent>
            </w:sdt>
          </w:p>
        </w:tc>
      </w:tr>
      <w:tr w:rsidR="00C978F0" w:rsidRPr="00DA352E" w14:paraId="7B7389E7" w14:textId="77777777" w:rsidTr="00DE26E8">
        <w:trPr>
          <w:gridAfter w:val="1"/>
          <w:wAfter w:w="8" w:type="pct"/>
          <w:cantSplit/>
        </w:trPr>
        <w:tc>
          <w:tcPr>
            <w:tcW w:w="4992" w:type="pct"/>
          </w:tcPr>
          <w:p w14:paraId="777FC348" w14:textId="72B69E35" w:rsidR="00C978F0" w:rsidRPr="00DA352E" w:rsidRDefault="002F3DD7" w:rsidP="003365A5">
            <w:pPr>
              <w:pStyle w:val="Tabletextprimarysource"/>
            </w:pPr>
            <w:r>
              <w:t>No report</w:t>
            </w:r>
            <w:r w:rsidR="0047642C">
              <w:t>.</w:t>
            </w:r>
          </w:p>
        </w:tc>
      </w:tr>
      <w:tr w:rsidR="00DA352E" w:rsidRPr="00DA352E" w14:paraId="7D517225" w14:textId="77777777" w:rsidTr="00DE26E8">
        <w:trPr>
          <w:gridAfter w:val="1"/>
          <w:wAfter w:w="8" w:type="pct"/>
          <w:cantSplit/>
        </w:trPr>
        <w:tc>
          <w:tcPr>
            <w:tcW w:w="4992" w:type="pct"/>
            <w:shd w:val="clear" w:color="auto" w:fill="F2F2F2" w:themeFill="background1" w:themeFillShade="F2"/>
          </w:tcPr>
          <w:p w14:paraId="1A7E60BA" w14:textId="22F0FD8D"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2F3DD7">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2F3DD7">
                  <w:t>NA</w:t>
                </w:r>
                <w:proofErr w:type="spellEnd"/>
              </w:sdtContent>
            </w:sdt>
          </w:p>
        </w:tc>
      </w:tr>
      <w:tr w:rsidR="00DA352E" w:rsidRPr="00DA352E" w14:paraId="435EC6C2" w14:textId="77777777" w:rsidTr="00DE26E8">
        <w:trPr>
          <w:gridAfter w:val="1"/>
          <w:wAfter w:w="8" w:type="pct"/>
          <w:cantSplit/>
        </w:trPr>
        <w:tc>
          <w:tcPr>
            <w:tcW w:w="4992" w:type="pct"/>
          </w:tcPr>
          <w:p w14:paraId="3894E695" w14:textId="310534C4" w:rsidR="00DA352E" w:rsidRPr="00DA352E" w:rsidRDefault="002F3DD7" w:rsidP="003365A5">
            <w:pPr>
              <w:pStyle w:val="Tabletextprimarysource"/>
            </w:pPr>
            <w:r>
              <w:t>No report</w:t>
            </w:r>
            <w:r w:rsidR="0047642C">
              <w:t>.</w:t>
            </w:r>
          </w:p>
        </w:tc>
      </w:tr>
      <w:tr w:rsidR="00DA352E" w:rsidRPr="00DA352E" w14:paraId="499FCAD9" w14:textId="77777777" w:rsidTr="00DE26E8">
        <w:trPr>
          <w:gridAfter w:val="1"/>
          <w:wAfter w:w="8" w:type="pct"/>
          <w:cantSplit/>
        </w:trPr>
        <w:tc>
          <w:tcPr>
            <w:tcW w:w="4992" w:type="pct"/>
            <w:shd w:val="clear" w:color="auto" w:fill="F2F2F2" w:themeFill="background1" w:themeFillShade="F2"/>
          </w:tcPr>
          <w:p w14:paraId="25FBD825" w14:textId="4A15294F" w:rsidR="00DA352E" w:rsidRPr="00DA352E" w:rsidRDefault="00DA352E" w:rsidP="0051509C">
            <w:pPr>
              <w:pStyle w:val="Tablerowheadingitalic"/>
              <w:tabs>
                <w:tab w:val="clear" w:pos="2268"/>
                <w:tab w:val="clear" w:pos="5670"/>
                <w:tab w:val="left" w:pos="1418"/>
                <w:tab w:val="left" w:pos="2552"/>
              </w:tabs>
            </w:pPr>
            <w:proofErr w:type="spellStart"/>
            <w:r w:rsidRPr="00DA352E">
              <w:t>HCOTN</w:t>
            </w:r>
            <w:proofErr w:type="spellEnd"/>
            <w:r w:rsidR="00916EC0" w:rsidRPr="003365A5">
              <w:t xml:space="preserve"> </w:t>
            </w:r>
            <w:r w:rsidR="00916EC0" w:rsidRPr="003365A5">
              <w:tab/>
            </w:r>
            <w:sdt>
              <w:sdtPr>
                <w:id w:val="1543090908"/>
                <w:placeholder>
                  <w:docPart w:val="EA1708404F1C4A3BB080A0D8EEB67D1D"/>
                </w:placeholder>
                <w:text/>
              </w:sdtPr>
              <w:sdtEndPr/>
              <w:sdtContent>
                <w:r w:rsidR="002F3DD7">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proofErr w:type="spellStart"/>
                <w:r w:rsidR="002F3DD7">
                  <w:t>NA</w:t>
                </w:r>
                <w:proofErr w:type="spellEnd"/>
              </w:sdtContent>
            </w:sdt>
          </w:p>
        </w:tc>
      </w:tr>
      <w:tr w:rsidR="00DA352E" w:rsidRPr="00DA352E" w14:paraId="33C5B14E" w14:textId="77777777" w:rsidTr="00DE26E8">
        <w:trPr>
          <w:gridAfter w:val="1"/>
          <w:wAfter w:w="8" w:type="pct"/>
          <w:cantSplit/>
        </w:trPr>
        <w:tc>
          <w:tcPr>
            <w:tcW w:w="4992" w:type="pct"/>
          </w:tcPr>
          <w:p w14:paraId="1235C4A5" w14:textId="71BE7E2F" w:rsidR="00DA352E" w:rsidRPr="00DA352E" w:rsidRDefault="002F3DD7" w:rsidP="003365A5">
            <w:pPr>
              <w:pStyle w:val="Tabletextprimarysource"/>
            </w:pPr>
            <w:r>
              <w:t>No report</w:t>
            </w:r>
            <w:r w:rsidR="0047642C">
              <w:t>.</w:t>
            </w:r>
          </w:p>
        </w:tc>
      </w:tr>
    </w:tbl>
    <w:p w14:paraId="422FBC20"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5"/>
        <w:gridCol w:w="423"/>
        <w:gridCol w:w="661"/>
        <w:gridCol w:w="6447"/>
      </w:tblGrid>
      <w:tr w:rsidR="004966BF" w:rsidRPr="00263255" w14:paraId="5B0CDC70" w14:textId="77777777" w:rsidTr="0046492A">
        <w:trPr>
          <w:cantSplit/>
          <w:trHeight w:val="393"/>
          <w:tblHeader/>
        </w:trPr>
        <w:tc>
          <w:tcPr>
            <w:tcW w:w="1495" w:type="dxa"/>
            <w:shd w:val="clear" w:color="auto" w:fill="BFBFBF" w:themeFill="background1" w:themeFillShade="BF"/>
            <w:vAlign w:val="center"/>
          </w:tcPr>
          <w:p w14:paraId="3C50F9B5" w14:textId="77777777" w:rsidR="004966BF" w:rsidRPr="00263255" w:rsidRDefault="004966BF" w:rsidP="00263255">
            <w:pPr>
              <w:pStyle w:val="Tableheader"/>
            </w:pPr>
            <w:r w:rsidRPr="00263255">
              <w:t>Source</w:t>
            </w:r>
          </w:p>
        </w:tc>
        <w:tc>
          <w:tcPr>
            <w:tcW w:w="423" w:type="dxa"/>
            <w:shd w:val="clear" w:color="auto" w:fill="BFBFBF" w:themeFill="background1" w:themeFillShade="BF"/>
            <w:vAlign w:val="center"/>
          </w:tcPr>
          <w:p w14:paraId="098865AE" w14:textId="77777777" w:rsidR="004966BF" w:rsidRPr="00263255" w:rsidRDefault="004966BF" w:rsidP="00263255">
            <w:pPr>
              <w:pStyle w:val="Tableheader"/>
            </w:pPr>
          </w:p>
        </w:tc>
        <w:tc>
          <w:tcPr>
            <w:tcW w:w="661" w:type="dxa"/>
            <w:shd w:val="clear" w:color="auto" w:fill="BFBFBF" w:themeFill="background1" w:themeFillShade="BF"/>
            <w:vAlign w:val="center"/>
          </w:tcPr>
          <w:p w14:paraId="50B17E48" w14:textId="77777777" w:rsidR="004966BF" w:rsidRPr="00263255" w:rsidRDefault="004966BF" w:rsidP="00263255">
            <w:pPr>
              <w:pStyle w:val="Tableheader"/>
            </w:pPr>
            <w:r>
              <w:t>Year</w:t>
            </w:r>
          </w:p>
        </w:tc>
        <w:tc>
          <w:tcPr>
            <w:tcW w:w="6447" w:type="dxa"/>
            <w:shd w:val="clear" w:color="auto" w:fill="BFBFBF" w:themeFill="background1" w:themeFillShade="BF"/>
            <w:vAlign w:val="center"/>
          </w:tcPr>
          <w:p w14:paraId="4446613B" w14:textId="77777777" w:rsidR="004966BF" w:rsidRPr="00263255" w:rsidRDefault="004966BF" w:rsidP="00263255">
            <w:pPr>
              <w:pStyle w:val="Tableheader"/>
            </w:pPr>
            <w:r>
              <w:t>Additional information</w:t>
            </w:r>
          </w:p>
        </w:tc>
      </w:tr>
      <w:tr w:rsidR="004966BF" w:rsidRPr="004C23F4" w14:paraId="0293F008" w14:textId="77777777" w:rsidTr="0046492A">
        <w:trPr>
          <w:cantSplit/>
        </w:trPr>
        <w:tc>
          <w:tcPr>
            <w:tcW w:w="1495" w:type="dxa"/>
          </w:tcPr>
          <w:p w14:paraId="30BEDB9E" w14:textId="77777777" w:rsidR="004966BF" w:rsidRPr="004C23F4" w:rsidRDefault="004966BF" w:rsidP="00224EE2">
            <w:pPr>
              <w:pStyle w:val="Tablefont"/>
            </w:pPr>
            <w:r>
              <w:t>NICNAS</w:t>
            </w:r>
          </w:p>
        </w:tc>
        <w:tc>
          <w:tcPr>
            <w:tcW w:w="423" w:type="dxa"/>
          </w:tcPr>
          <w:p w14:paraId="24FC1531" w14:textId="3CC16DCA" w:rsidR="004966BF" w:rsidRPr="00CE617F" w:rsidRDefault="00051F11"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46492A">
                  <w:rPr>
                    <w:rStyle w:val="checkbox"/>
                  </w:rPr>
                  <w:t></w:t>
                </w:r>
              </w:sdtContent>
            </w:sdt>
          </w:p>
        </w:tc>
        <w:tc>
          <w:tcPr>
            <w:tcW w:w="661" w:type="dxa"/>
          </w:tcPr>
          <w:p w14:paraId="75C5B5A4" w14:textId="66F967E9" w:rsidR="004966BF" w:rsidRPr="004C23F4" w:rsidRDefault="0046492A" w:rsidP="00717D45">
            <w:pPr>
              <w:pStyle w:val="Tablefont"/>
              <w:rPr>
                <w:rStyle w:val="checkbox"/>
                <w:rFonts w:ascii="Arial" w:hAnsi="Arial" w:cs="Arial"/>
              </w:rPr>
            </w:pPr>
            <w:r>
              <w:rPr>
                <w:rStyle w:val="checkbox"/>
                <w:rFonts w:ascii="Arial" w:hAnsi="Arial" w:cs="Arial"/>
              </w:rPr>
              <w:t>2013</w:t>
            </w:r>
          </w:p>
        </w:tc>
        <w:tc>
          <w:tcPr>
            <w:tcW w:w="6447" w:type="dxa"/>
          </w:tcPr>
          <w:p w14:paraId="6F2A7A45" w14:textId="77777777" w:rsidR="004966BF" w:rsidRPr="00975D85" w:rsidRDefault="0046492A" w:rsidP="00975D85">
            <w:pPr>
              <w:pStyle w:val="ListBullet"/>
              <w:spacing w:before="60" w:after="60"/>
              <w:ind w:left="714" w:hanging="357"/>
              <w:contextualSpacing w:val="0"/>
              <w:rPr>
                <w:rStyle w:val="checkbox"/>
                <w:rFonts w:ascii="Arial" w:hAnsi="Arial"/>
              </w:rPr>
            </w:pPr>
            <w:r w:rsidRPr="00975D85">
              <w:rPr>
                <w:rStyle w:val="checkbox"/>
                <w:rFonts w:ascii="Arial" w:hAnsi="Arial"/>
              </w:rPr>
              <w:t>Regarded as non-genotoxic</w:t>
            </w:r>
          </w:p>
          <w:p w14:paraId="3CD6414D" w14:textId="2262FDAD" w:rsidR="0046492A" w:rsidRPr="004C23F4" w:rsidRDefault="0046492A" w:rsidP="00975D85">
            <w:pPr>
              <w:pStyle w:val="ListBullet"/>
              <w:spacing w:before="60" w:after="60"/>
              <w:ind w:left="714" w:hanging="357"/>
              <w:contextualSpacing w:val="0"/>
              <w:rPr>
                <w:rStyle w:val="checkbox"/>
                <w:rFonts w:ascii="Arial" w:hAnsi="Arial" w:cs="Arial"/>
              </w:rPr>
            </w:pPr>
            <w:r w:rsidRPr="008B5661">
              <w:rPr>
                <w:rStyle w:val="checkbox"/>
                <w:rFonts w:ascii="Arial" w:hAnsi="Arial" w:cs="Arial"/>
              </w:rPr>
              <w:t>Critical effects to human health are reproductive and developmental toxicity, with a potential endocrine disruption mechanism and carcinogenicity</w:t>
            </w:r>
            <w:r w:rsidR="001756A3" w:rsidRPr="008B5661">
              <w:rPr>
                <w:rStyle w:val="checkbox"/>
                <w:rFonts w:ascii="Arial" w:hAnsi="Arial" w:cs="Arial"/>
              </w:rPr>
              <w:t>.</w:t>
            </w:r>
          </w:p>
        </w:tc>
      </w:tr>
      <w:tr w:rsidR="004966BF" w:rsidRPr="004C23F4" w14:paraId="2A49C8B6" w14:textId="77777777" w:rsidTr="0046492A">
        <w:trPr>
          <w:cantSplit/>
        </w:trPr>
        <w:tc>
          <w:tcPr>
            <w:tcW w:w="1495" w:type="dxa"/>
          </w:tcPr>
          <w:p w14:paraId="0A1483CF" w14:textId="77777777" w:rsidR="004966BF" w:rsidRPr="004C23F4" w:rsidRDefault="004966BF" w:rsidP="00224EE2">
            <w:pPr>
              <w:pStyle w:val="Tablefont"/>
            </w:pPr>
            <w:r>
              <w:t>US EPA</w:t>
            </w:r>
          </w:p>
        </w:tc>
        <w:tc>
          <w:tcPr>
            <w:tcW w:w="423" w:type="dxa"/>
          </w:tcPr>
          <w:p w14:paraId="50115DFC" w14:textId="1D3CE608" w:rsidR="004966BF" w:rsidRPr="00CE617F" w:rsidRDefault="00051F11"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EndPr>
                <w:rPr>
                  <w:rStyle w:val="checkbox"/>
                </w:rPr>
              </w:sdtEndPr>
              <w:sdtContent>
                <w:r w:rsidR="00C574C2">
                  <w:rPr>
                    <w:rStyle w:val="checkbox"/>
                  </w:rPr>
                  <w:t></w:t>
                </w:r>
              </w:sdtContent>
            </w:sdt>
          </w:p>
        </w:tc>
        <w:tc>
          <w:tcPr>
            <w:tcW w:w="661" w:type="dxa"/>
          </w:tcPr>
          <w:p w14:paraId="454F78D1" w14:textId="4F126EB9" w:rsidR="00857771" w:rsidRDefault="00857771" w:rsidP="00717D45">
            <w:pPr>
              <w:pStyle w:val="Tablefont"/>
              <w:rPr>
                <w:rStyle w:val="checkbox"/>
                <w:rFonts w:ascii="Arial" w:hAnsi="Arial" w:cs="Arial"/>
              </w:rPr>
            </w:pPr>
            <w:r>
              <w:rPr>
                <w:rStyle w:val="checkbox"/>
                <w:rFonts w:ascii="Arial" w:hAnsi="Arial" w:cs="Arial"/>
              </w:rPr>
              <w:t>1987</w:t>
            </w:r>
          </w:p>
          <w:p w14:paraId="31DA5681" w14:textId="77777777" w:rsidR="004966BF" w:rsidRPr="00857771" w:rsidRDefault="004966BF" w:rsidP="00857771">
            <w:pPr>
              <w:rPr>
                <w:lang w:eastAsia="en-AU"/>
              </w:rPr>
            </w:pPr>
          </w:p>
        </w:tc>
        <w:tc>
          <w:tcPr>
            <w:tcW w:w="6447" w:type="dxa"/>
          </w:tcPr>
          <w:p w14:paraId="4DA4E8AC" w14:textId="77777777" w:rsidR="004966BF" w:rsidRDefault="00C574C2" w:rsidP="00975D85">
            <w:pPr>
              <w:pStyle w:val="ListBullet"/>
              <w:spacing w:before="60" w:after="60"/>
              <w:ind w:left="714" w:hanging="357"/>
              <w:contextualSpacing w:val="0"/>
              <w:rPr>
                <w:rStyle w:val="checkbox"/>
                <w:rFonts w:ascii="Arial" w:hAnsi="Arial" w:cs="Arial"/>
              </w:rPr>
            </w:pPr>
            <w:r>
              <w:rPr>
                <w:rStyle w:val="checkbox"/>
                <w:rFonts w:ascii="Arial" w:hAnsi="Arial" w:cs="Arial"/>
              </w:rPr>
              <w:t>Not a direct acting mutagen</w:t>
            </w:r>
          </w:p>
          <w:p w14:paraId="284FACEC" w14:textId="66D1D896" w:rsidR="00C574C2" w:rsidRDefault="00C574C2" w:rsidP="00975D85">
            <w:pPr>
              <w:pStyle w:val="ListBullet"/>
              <w:spacing w:before="60" w:after="60"/>
              <w:ind w:left="714" w:hanging="357"/>
              <w:contextualSpacing w:val="0"/>
              <w:rPr>
                <w:rStyle w:val="checkbox"/>
                <w:rFonts w:ascii="Arial" w:hAnsi="Arial" w:cs="Arial"/>
              </w:rPr>
            </w:pPr>
            <w:r>
              <w:rPr>
                <w:rStyle w:val="checkbox"/>
                <w:rFonts w:ascii="Arial" w:hAnsi="Arial" w:cs="Arial"/>
              </w:rPr>
              <w:t>Inadequate human carcinogenicity data</w:t>
            </w:r>
          </w:p>
          <w:p w14:paraId="14DAD5D3" w14:textId="644AE94E" w:rsidR="00C574C2" w:rsidRPr="00C574C2" w:rsidRDefault="00C574C2" w:rsidP="00975D85">
            <w:pPr>
              <w:pStyle w:val="ListBullet"/>
              <w:spacing w:before="60" w:after="60"/>
              <w:ind w:left="714" w:hanging="357"/>
              <w:contextualSpacing w:val="0"/>
              <w:rPr>
                <w:rStyle w:val="checkbox"/>
                <w:rFonts w:ascii="Arial" w:hAnsi="Arial" w:cs="Arial"/>
              </w:rPr>
            </w:pPr>
            <w:r>
              <w:rPr>
                <w:rStyle w:val="checkbox"/>
                <w:rFonts w:ascii="Arial" w:hAnsi="Arial" w:cs="Arial"/>
              </w:rPr>
              <w:t xml:space="preserve">103 </w:t>
            </w:r>
            <w:proofErr w:type="spellStart"/>
            <w:r>
              <w:rPr>
                <w:rStyle w:val="checkbox"/>
                <w:rFonts w:ascii="Arial" w:hAnsi="Arial" w:cs="Arial"/>
              </w:rPr>
              <w:t>wk</w:t>
            </w:r>
            <w:proofErr w:type="spellEnd"/>
            <w:r>
              <w:rPr>
                <w:rStyle w:val="checkbox"/>
                <w:rFonts w:ascii="Arial" w:hAnsi="Arial" w:cs="Arial"/>
              </w:rPr>
              <w:t xml:space="preserve"> diet study:</w:t>
            </w:r>
            <w:r w:rsidR="0046492A">
              <w:rPr>
                <w:rStyle w:val="checkbox"/>
                <w:rFonts w:ascii="Arial" w:hAnsi="Arial" w:cs="Arial"/>
              </w:rPr>
              <w:t xml:space="preserve"> </w:t>
            </w:r>
            <w:r w:rsidRPr="00C574C2">
              <w:rPr>
                <w:rStyle w:val="checkbox"/>
                <w:rFonts w:ascii="Arial" w:hAnsi="Arial" w:cs="Arial"/>
              </w:rPr>
              <w:t>statistically significant increase in the</w:t>
            </w:r>
            <w:r>
              <w:rPr>
                <w:rStyle w:val="checkbox"/>
                <w:rFonts w:ascii="Arial" w:hAnsi="Arial" w:cs="Arial"/>
              </w:rPr>
              <w:t xml:space="preserve"> </w:t>
            </w:r>
            <w:r w:rsidRPr="00C574C2">
              <w:rPr>
                <w:rStyle w:val="checkbox"/>
                <w:rFonts w:ascii="Arial" w:hAnsi="Arial" w:cs="Arial"/>
              </w:rPr>
              <w:t>incidence of hepatocellular carcinomas and combined inci</w:t>
            </w:r>
            <w:r>
              <w:rPr>
                <w:rStyle w:val="checkbox"/>
                <w:rFonts w:ascii="Arial" w:hAnsi="Arial" w:cs="Arial"/>
              </w:rPr>
              <w:t xml:space="preserve">dence of carcinomas and adenoma </w:t>
            </w:r>
            <w:r w:rsidRPr="00C574C2">
              <w:rPr>
                <w:rStyle w:val="checkbox"/>
                <w:rFonts w:ascii="Arial" w:hAnsi="Arial" w:cs="Arial"/>
              </w:rPr>
              <w:t>were observed in female rats and both sexes of mice</w:t>
            </w:r>
            <w:r w:rsidR="001756A3">
              <w:rPr>
                <w:rStyle w:val="checkbox"/>
                <w:rFonts w:ascii="Arial" w:hAnsi="Arial" w:cs="Arial"/>
              </w:rPr>
              <w:t>.</w:t>
            </w:r>
          </w:p>
        </w:tc>
      </w:tr>
    </w:tbl>
    <w:bookmarkEnd w:id="0"/>
    <w:p w14:paraId="7A437E3D" w14:textId="77777777" w:rsidR="007E2A4B" w:rsidRDefault="007E2A4B" w:rsidP="008B5661">
      <w:pPr>
        <w:pStyle w:val="Heading3"/>
        <w:keepNext w:val="0"/>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0CF048FD" w14:textId="77777777" w:rsidTr="0046492A">
        <w:trPr>
          <w:trHeight w:val="454"/>
          <w:tblHeader/>
        </w:trPr>
        <w:tc>
          <w:tcPr>
            <w:tcW w:w="6603" w:type="dxa"/>
            <w:vAlign w:val="center"/>
          </w:tcPr>
          <w:p w14:paraId="0A4ED84F" w14:textId="77777777" w:rsidR="002E0D61" w:rsidRDefault="00B1422A" w:rsidP="008B5661">
            <w:pPr>
              <w:pStyle w:val="Tablefon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0DCD02C7" w14:textId="4F6D428E" w:rsidR="002E0D61" w:rsidRDefault="0046492A" w:rsidP="008B5661">
                <w:pPr>
                  <w:pStyle w:val="Tablefont"/>
                  <w:keepLines/>
                  <w:spacing w:before="40" w:after="40"/>
                </w:pPr>
                <w:r>
                  <w:t>No</w:t>
                </w:r>
              </w:p>
            </w:tc>
          </w:sdtContent>
        </w:sdt>
      </w:tr>
      <w:tr w:rsidR="008A36CF" w14:paraId="636AA57B" w14:textId="77777777" w:rsidTr="0046492A">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5C881BEA" w14:textId="4664A838" w:rsidR="008A36CF" w:rsidRPr="006901A2" w:rsidRDefault="0046492A" w:rsidP="008B5661">
                <w:pPr>
                  <w:pStyle w:val="Tablefont"/>
                  <w:keepLines/>
                  <w:spacing w:before="40" w:after="40"/>
                  <w:rPr>
                    <w:b/>
                  </w:rPr>
                </w:pPr>
                <w:r>
                  <w:rPr>
                    <w:b/>
                  </w:rPr>
                  <w:t>The chemical is not a non-threshold based genotoxic carcinogen.</w:t>
                </w:r>
              </w:p>
            </w:tc>
          </w:sdtContent>
        </w:sdt>
        <w:tc>
          <w:tcPr>
            <w:tcW w:w="2423" w:type="dxa"/>
            <w:vAlign w:val="center"/>
          </w:tcPr>
          <w:p w14:paraId="6CA3CFE0" w14:textId="77777777" w:rsidR="008A36CF" w:rsidRDefault="008A36CF" w:rsidP="008B5661">
            <w:pPr>
              <w:pStyle w:val="Tablefont"/>
              <w:keepLines/>
              <w:spacing w:before="40" w:after="40"/>
            </w:pPr>
          </w:p>
        </w:tc>
      </w:tr>
    </w:tbl>
    <w:bookmarkEnd w:id="1"/>
    <w:p w14:paraId="464B7145" w14:textId="77777777" w:rsidR="00687890" w:rsidRPr="004C23F4" w:rsidRDefault="00B479A9" w:rsidP="001756A3">
      <w:pPr>
        <w:pStyle w:val="Heading2"/>
      </w:pPr>
      <w:r w:rsidRPr="004C23F4">
        <w:lastRenderedPageBreak/>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044E20DB" w14:textId="77777777" w:rsidTr="00812887">
        <w:trPr>
          <w:cantSplit/>
          <w:tblHeader/>
        </w:trPr>
        <w:tc>
          <w:tcPr>
            <w:tcW w:w="3227" w:type="dxa"/>
            <w:shd w:val="clear" w:color="auto" w:fill="BFBFBF" w:themeFill="background1" w:themeFillShade="BF"/>
            <w:vAlign w:val="center"/>
          </w:tcPr>
          <w:p w14:paraId="57454DCA" w14:textId="77777777" w:rsidR="00687890" w:rsidRPr="004C23F4" w:rsidRDefault="00687890" w:rsidP="008B5661">
            <w:pPr>
              <w:pStyle w:val="Tableheader"/>
              <w:keepNext/>
            </w:pPr>
            <w:bookmarkStart w:id="2" w:name="Notations"/>
            <w:r w:rsidRPr="004C23F4">
              <w:t>Source</w:t>
            </w:r>
          </w:p>
        </w:tc>
        <w:tc>
          <w:tcPr>
            <w:tcW w:w="6015" w:type="dxa"/>
            <w:shd w:val="clear" w:color="auto" w:fill="BFBFBF" w:themeFill="background1" w:themeFillShade="BF"/>
            <w:vAlign w:val="center"/>
          </w:tcPr>
          <w:p w14:paraId="18C6238A" w14:textId="77777777" w:rsidR="00687890" w:rsidRPr="004C23F4" w:rsidRDefault="00687890" w:rsidP="008B5661">
            <w:pPr>
              <w:pStyle w:val="Tableheader"/>
              <w:keepNext/>
              <w:tabs>
                <w:tab w:val="right" w:pos="5272"/>
              </w:tabs>
            </w:pPr>
            <w:r w:rsidRPr="004C23F4">
              <w:t>Notations</w:t>
            </w:r>
            <w:r w:rsidR="003A2B94">
              <w:tab/>
            </w:r>
          </w:p>
        </w:tc>
      </w:tr>
      <w:tr w:rsidR="00687890" w:rsidRPr="004C23F4" w14:paraId="724C0CF3" w14:textId="77777777" w:rsidTr="00812887">
        <w:trPr>
          <w:cantSplit/>
        </w:trPr>
        <w:tc>
          <w:tcPr>
            <w:tcW w:w="3227" w:type="dxa"/>
          </w:tcPr>
          <w:p w14:paraId="444F1C1E" w14:textId="77777777" w:rsidR="004079B4" w:rsidRPr="004C23F4" w:rsidRDefault="00084513" w:rsidP="008B5661">
            <w:pPr>
              <w:pStyle w:val="Tablefont"/>
              <w:keepNext/>
            </w:pPr>
            <w:r w:rsidRPr="004C23F4">
              <w:t>SWA</w:t>
            </w:r>
          </w:p>
        </w:tc>
        <w:tc>
          <w:tcPr>
            <w:tcW w:w="6015" w:type="dxa"/>
          </w:tcPr>
          <w:p w14:paraId="29F68B55" w14:textId="12974676" w:rsidR="00687890" w:rsidRPr="00DD2F9B" w:rsidRDefault="002F3DD7" w:rsidP="008B5661">
            <w:pPr>
              <w:pStyle w:val="Tablefont"/>
              <w:keepNext/>
            </w:pPr>
            <w:r>
              <w:t>—</w:t>
            </w:r>
          </w:p>
        </w:tc>
      </w:tr>
      <w:tr w:rsidR="007925F0" w:rsidRPr="004C23F4" w14:paraId="076BA058" w14:textId="77777777" w:rsidTr="00812887">
        <w:trPr>
          <w:cantSplit/>
        </w:trPr>
        <w:tc>
          <w:tcPr>
            <w:tcW w:w="3227" w:type="dxa"/>
          </w:tcPr>
          <w:p w14:paraId="6A99B4A5" w14:textId="77777777" w:rsidR="004079B4" w:rsidRPr="004C23F4" w:rsidRDefault="007925F0" w:rsidP="008B5661">
            <w:pPr>
              <w:pStyle w:val="Tablefont"/>
              <w:keepNext/>
            </w:pPr>
            <w:r>
              <w:t>HCIS</w:t>
            </w:r>
          </w:p>
        </w:tc>
        <w:tc>
          <w:tcPr>
            <w:tcW w:w="6015" w:type="dxa"/>
          </w:tcPr>
          <w:p w14:paraId="25B40D36" w14:textId="72CD6042" w:rsidR="007925F0" w:rsidRPr="00DD2F9B" w:rsidRDefault="00BC2A4C" w:rsidP="008B5661">
            <w:pPr>
              <w:pStyle w:val="Tablefont"/>
              <w:keepNext/>
            </w:pPr>
            <w:r w:rsidRPr="00BC2A4C">
              <w:t>Carcinogenicity – category 1B</w:t>
            </w:r>
          </w:p>
        </w:tc>
      </w:tr>
      <w:tr w:rsidR="00AF483F" w:rsidRPr="004C23F4" w14:paraId="55A3AC83" w14:textId="77777777" w:rsidTr="00812887">
        <w:trPr>
          <w:cantSplit/>
        </w:trPr>
        <w:tc>
          <w:tcPr>
            <w:tcW w:w="3227" w:type="dxa"/>
          </w:tcPr>
          <w:p w14:paraId="46F30DA2" w14:textId="77777777" w:rsidR="00AF483F" w:rsidRPr="004C23F4" w:rsidRDefault="00AF483F" w:rsidP="008B5661">
            <w:pPr>
              <w:pStyle w:val="Tablefont"/>
              <w:keepNext/>
            </w:pPr>
            <w:r>
              <w:t>NICNAS</w:t>
            </w:r>
          </w:p>
        </w:tc>
        <w:tc>
          <w:tcPr>
            <w:tcW w:w="6015" w:type="dxa"/>
          </w:tcPr>
          <w:p w14:paraId="755EEC7F" w14:textId="68514E27" w:rsidR="00AF483F" w:rsidRPr="00DD2F9B" w:rsidRDefault="00BC2A4C" w:rsidP="008B5661">
            <w:pPr>
              <w:pStyle w:val="Tablefont"/>
              <w:keepNext/>
            </w:pPr>
            <w:proofErr w:type="spellStart"/>
            <w:r w:rsidRPr="00BC2A4C">
              <w:t>Carc</w:t>
            </w:r>
            <w:proofErr w:type="spellEnd"/>
            <w:r w:rsidRPr="00BC2A4C">
              <w:t>. Cat 2</w:t>
            </w:r>
          </w:p>
        </w:tc>
      </w:tr>
      <w:tr w:rsidR="00687890" w:rsidRPr="004C23F4" w14:paraId="30F3D2B7" w14:textId="77777777" w:rsidTr="00812887">
        <w:trPr>
          <w:cantSplit/>
        </w:trPr>
        <w:tc>
          <w:tcPr>
            <w:tcW w:w="3227" w:type="dxa"/>
          </w:tcPr>
          <w:p w14:paraId="031DF87B" w14:textId="77777777" w:rsidR="004079B4" w:rsidRPr="004C23F4" w:rsidRDefault="00687890" w:rsidP="008B5661">
            <w:pPr>
              <w:pStyle w:val="Tablefont"/>
              <w:keepNext/>
            </w:pPr>
            <w:r w:rsidRPr="004C23F4">
              <w:t>EU Annex</w:t>
            </w:r>
          </w:p>
        </w:tc>
        <w:tc>
          <w:tcPr>
            <w:tcW w:w="6015" w:type="dxa"/>
          </w:tcPr>
          <w:p w14:paraId="2FD246D3" w14:textId="2DF7E780" w:rsidR="00687890" w:rsidRPr="00DD2F9B" w:rsidRDefault="00BC2A4C" w:rsidP="008B5661">
            <w:pPr>
              <w:pStyle w:val="Tablefont"/>
              <w:keepNext/>
            </w:pPr>
            <w:r>
              <w:t>NA</w:t>
            </w:r>
          </w:p>
        </w:tc>
      </w:tr>
      <w:tr w:rsidR="00E41A26" w:rsidRPr="004C23F4" w14:paraId="109B72F8" w14:textId="77777777" w:rsidTr="00812887">
        <w:trPr>
          <w:cantSplit/>
        </w:trPr>
        <w:tc>
          <w:tcPr>
            <w:tcW w:w="3227" w:type="dxa"/>
          </w:tcPr>
          <w:p w14:paraId="14E77A98" w14:textId="77777777" w:rsidR="00E41A26" w:rsidRDefault="00E41A26" w:rsidP="008B5661">
            <w:pPr>
              <w:pStyle w:val="Tablefont"/>
              <w:keepNext/>
            </w:pPr>
            <w:r>
              <w:t>ECHA</w:t>
            </w:r>
          </w:p>
        </w:tc>
        <w:tc>
          <w:tcPr>
            <w:tcW w:w="6015" w:type="dxa"/>
          </w:tcPr>
          <w:p w14:paraId="0F56D0F8" w14:textId="4BBA9C99" w:rsidR="00E41A26" w:rsidRPr="00DD2F9B" w:rsidRDefault="00BC2A4C" w:rsidP="008B5661">
            <w:pPr>
              <w:pStyle w:val="Tablefont"/>
              <w:keepNext/>
            </w:pPr>
            <w:r>
              <w:t>NA</w:t>
            </w:r>
          </w:p>
        </w:tc>
      </w:tr>
      <w:tr w:rsidR="002E0D61" w:rsidRPr="004C23F4" w14:paraId="2B9CFE0D" w14:textId="77777777" w:rsidTr="00812887">
        <w:trPr>
          <w:cantSplit/>
        </w:trPr>
        <w:tc>
          <w:tcPr>
            <w:tcW w:w="3227" w:type="dxa"/>
          </w:tcPr>
          <w:p w14:paraId="36964266" w14:textId="77777777" w:rsidR="004079B4" w:rsidRPr="004C23F4" w:rsidRDefault="002E0D61" w:rsidP="008B5661">
            <w:pPr>
              <w:pStyle w:val="Tablefont"/>
              <w:keepNext/>
            </w:pPr>
            <w:r>
              <w:t>ACGIH</w:t>
            </w:r>
          </w:p>
        </w:tc>
        <w:tc>
          <w:tcPr>
            <w:tcW w:w="6015" w:type="dxa"/>
          </w:tcPr>
          <w:p w14:paraId="3D7E26A3" w14:textId="7FBAAC9F" w:rsidR="002E0D61" w:rsidRPr="00DD2F9B" w:rsidRDefault="00BC2A4C" w:rsidP="008B5661">
            <w:pPr>
              <w:pStyle w:val="Tablefont"/>
              <w:keepNext/>
            </w:pPr>
            <w:r w:rsidRPr="00BC2A4C">
              <w:t>Carcinogenicity – A3</w:t>
            </w:r>
          </w:p>
        </w:tc>
      </w:tr>
      <w:tr w:rsidR="002E0D61" w:rsidRPr="004C23F4" w14:paraId="76B7669F" w14:textId="77777777" w:rsidTr="00812887">
        <w:trPr>
          <w:cantSplit/>
        </w:trPr>
        <w:tc>
          <w:tcPr>
            <w:tcW w:w="3227" w:type="dxa"/>
          </w:tcPr>
          <w:p w14:paraId="40CB1376" w14:textId="77777777" w:rsidR="004079B4" w:rsidRPr="004C23F4" w:rsidRDefault="002E0D61" w:rsidP="008B5661">
            <w:pPr>
              <w:pStyle w:val="Tablefont"/>
              <w:keepNext/>
            </w:pPr>
            <w:r>
              <w:t>DFG</w:t>
            </w:r>
          </w:p>
        </w:tc>
        <w:tc>
          <w:tcPr>
            <w:tcW w:w="6015" w:type="dxa"/>
          </w:tcPr>
          <w:p w14:paraId="49B66E6F" w14:textId="05C82407" w:rsidR="002E0D61" w:rsidRPr="00DD2F9B" w:rsidRDefault="00BC2A4C" w:rsidP="008B5661">
            <w:pPr>
              <w:pStyle w:val="Tablefont"/>
              <w:keepNext/>
            </w:pPr>
            <w:r w:rsidRPr="00BC2A4C">
              <w:t>Carcinogenicity – 4</w:t>
            </w:r>
            <w:r>
              <w:t xml:space="preserve">, </w:t>
            </w:r>
            <w:r w:rsidRPr="00BC2A4C">
              <w:t>H (skin)</w:t>
            </w:r>
          </w:p>
        </w:tc>
      </w:tr>
      <w:tr w:rsidR="002E0D61" w:rsidRPr="004C23F4" w14:paraId="0DA90746" w14:textId="77777777" w:rsidTr="00812887">
        <w:trPr>
          <w:cantSplit/>
        </w:trPr>
        <w:tc>
          <w:tcPr>
            <w:tcW w:w="3227" w:type="dxa"/>
          </w:tcPr>
          <w:p w14:paraId="74E8DAD8" w14:textId="77777777" w:rsidR="004079B4" w:rsidRPr="004C23F4" w:rsidRDefault="002E0D61" w:rsidP="008B5661">
            <w:pPr>
              <w:pStyle w:val="Tablefont"/>
              <w:keepNext/>
            </w:pPr>
            <w:r>
              <w:t>SCOEL</w:t>
            </w:r>
          </w:p>
        </w:tc>
        <w:tc>
          <w:tcPr>
            <w:tcW w:w="6015" w:type="dxa"/>
          </w:tcPr>
          <w:p w14:paraId="24207EB1" w14:textId="3EE2C1F5" w:rsidR="002E0D61" w:rsidRPr="00DD2F9B" w:rsidRDefault="00BC2A4C" w:rsidP="008B5661">
            <w:pPr>
              <w:pStyle w:val="Tablefont"/>
              <w:keepNext/>
            </w:pPr>
            <w:r>
              <w:t>NA</w:t>
            </w:r>
          </w:p>
        </w:tc>
      </w:tr>
      <w:tr w:rsidR="002E0D61" w:rsidRPr="004C23F4" w14:paraId="112206C4" w14:textId="77777777" w:rsidTr="00812887">
        <w:trPr>
          <w:cantSplit/>
        </w:trPr>
        <w:tc>
          <w:tcPr>
            <w:tcW w:w="3227" w:type="dxa"/>
          </w:tcPr>
          <w:p w14:paraId="2888BA09" w14:textId="77777777" w:rsidR="004079B4" w:rsidRDefault="002E0D61" w:rsidP="008B5661">
            <w:pPr>
              <w:pStyle w:val="Tablefont"/>
              <w:keepNext/>
            </w:pPr>
            <w:r>
              <w:t>HCOTN</w:t>
            </w:r>
          </w:p>
        </w:tc>
        <w:tc>
          <w:tcPr>
            <w:tcW w:w="6015" w:type="dxa"/>
          </w:tcPr>
          <w:p w14:paraId="2055A830" w14:textId="31C16D0E" w:rsidR="002E0D61" w:rsidRPr="00DD2F9B" w:rsidRDefault="00BC2A4C" w:rsidP="008B5661">
            <w:pPr>
              <w:pStyle w:val="Tablefont"/>
              <w:keepNext/>
            </w:pPr>
            <w:r>
              <w:t>NA</w:t>
            </w:r>
          </w:p>
        </w:tc>
      </w:tr>
      <w:tr w:rsidR="00386093" w:rsidRPr="004C23F4" w14:paraId="5BA3C220" w14:textId="77777777" w:rsidTr="00812887">
        <w:trPr>
          <w:cantSplit/>
        </w:trPr>
        <w:tc>
          <w:tcPr>
            <w:tcW w:w="3227" w:type="dxa"/>
          </w:tcPr>
          <w:p w14:paraId="616A520F" w14:textId="77777777" w:rsidR="004079B4" w:rsidRDefault="00386093" w:rsidP="008B5661">
            <w:pPr>
              <w:pStyle w:val="Tablefont"/>
              <w:keepNext/>
            </w:pPr>
            <w:r>
              <w:t>IARC</w:t>
            </w:r>
          </w:p>
        </w:tc>
        <w:tc>
          <w:tcPr>
            <w:tcW w:w="6015" w:type="dxa"/>
          </w:tcPr>
          <w:p w14:paraId="46DB06E1" w14:textId="017734F9" w:rsidR="00386093" w:rsidRPr="00DD2F9B" w:rsidRDefault="00BC2A4C" w:rsidP="008B5661">
            <w:pPr>
              <w:pStyle w:val="Tablefont"/>
              <w:keepNext/>
            </w:pPr>
            <w:r w:rsidRPr="00BC2A4C">
              <w:t>Carcinogenicity – Group 2B</w:t>
            </w:r>
          </w:p>
        </w:tc>
      </w:tr>
      <w:tr w:rsidR="00386093" w:rsidRPr="004C23F4" w14:paraId="552A4062" w14:textId="77777777" w:rsidTr="00812887">
        <w:trPr>
          <w:cantSplit/>
        </w:trPr>
        <w:tc>
          <w:tcPr>
            <w:tcW w:w="3227" w:type="dxa"/>
          </w:tcPr>
          <w:p w14:paraId="345B1E0B" w14:textId="77777777" w:rsidR="004079B4" w:rsidRDefault="00386093" w:rsidP="001756A3">
            <w:pPr>
              <w:pStyle w:val="Tablefont"/>
              <w:keepNext/>
            </w:pPr>
            <w:r>
              <w:t>US NIOSH</w:t>
            </w:r>
          </w:p>
        </w:tc>
        <w:tc>
          <w:tcPr>
            <w:tcW w:w="6015" w:type="dxa"/>
          </w:tcPr>
          <w:p w14:paraId="269C4C5D" w14:textId="48155894" w:rsidR="00386093" w:rsidRPr="00DD2F9B" w:rsidRDefault="00BC2A4C">
            <w:pPr>
              <w:pStyle w:val="Tablefont"/>
              <w:keepNext/>
            </w:pPr>
            <w:r>
              <w:t>NA</w:t>
            </w:r>
          </w:p>
        </w:tc>
      </w:tr>
    </w:tbl>
    <w:bookmarkEnd w:id="2"/>
    <w:p w14:paraId="50F4DD12"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5CD1E3D6"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5C9287EE" w14:textId="77777777" w:rsidTr="00EA6243">
        <w:trPr>
          <w:cantSplit/>
          <w:tblHeader/>
        </w:trPr>
        <w:tc>
          <w:tcPr>
            <w:tcW w:w="5000" w:type="pct"/>
            <w:shd w:val="clear" w:color="auto" w:fill="BFBFBF" w:themeFill="background1" w:themeFillShade="BF"/>
            <w:vAlign w:val="center"/>
          </w:tcPr>
          <w:p w14:paraId="7B1E82F2"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4865A7D9" w14:textId="77777777" w:rsidTr="00EA6243">
        <w:trPr>
          <w:cantSplit/>
          <w:tblHeader/>
        </w:trPr>
        <w:tc>
          <w:tcPr>
            <w:tcW w:w="5000" w:type="pct"/>
            <w:vAlign w:val="center"/>
          </w:tcPr>
          <w:tbl>
            <w:tblPr>
              <w:tblW w:w="8880" w:type="dxa"/>
              <w:tblLook w:val="04A0" w:firstRow="1" w:lastRow="0" w:firstColumn="1" w:lastColumn="0" w:noHBand="0" w:noVBand="1"/>
            </w:tblPr>
            <w:tblGrid>
              <w:gridCol w:w="3665"/>
              <w:gridCol w:w="1080"/>
              <w:gridCol w:w="1080"/>
              <w:gridCol w:w="2985"/>
            </w:tblGrid>
            <w:tr w:rsidR="0046492A" w:rsidRPr="0046492A" w14:paraId="4BA7F55B" w14:textId="77777777" w:rsidTr="0046492A">
              <w:trPr>
                <w:trHeight w:val="337"/>
              </w:trPr>
              <w:tc>
                <w:tcPr>
                  <w:tcW w:w="3695" w:type="dxa"/>
                  <w:tcBorders>
                    <w:top w:val="nil"/>
                    <w:left w:val="nil"/>
                    <w:bottom w:val="nil"/>
                    <w:right w:val="nil"/>
                  </w:tcBorders>
                  <w:shd w:val="clear" w:color="000000" w:fill="C5D9F1"/>
                  <w:noWrap/>
                  <w:vAlign w:val="center"/>
                  <w:hideMark/>
                </w:tcPr>
                <w:p w14:paraId="341442A7" w14:textId="77777777" w:rsidR="0046492A" w:rsidRPr="0046492A" w:rsidRDefault="0046492A" w:rsidP="0046492A">
                  <w:pPr>
                    <w:spacing w:after="0" w:line="240" w:lineRule="auto"/>
                    <w:jc w:val="right"/>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Adverse effects in human case study:</w:t>
                  </w:r>
                </w:p>
              </w:tc>
              <w:tc>
                <w:tcPr>
                  <w:tcW w:w="1088" w:type="dxa"/>
                  <w:tcBorders>
                    <w:top w:val="nil"/>
                    <w:left w:val="nil"/>
                    <w:bottom w:val="nil"/>
                    <w:right w:val="nil"/>
                  </w:tcBorders>
                  <w:shd w:val="clear" w:color="000000" w:fill="C5D9F1"/>
                  <w:noWrap/>
                  <w:vAlign w:val="center"/>
                  <w:hideMark/>
                </w:tcPr>
                <w:p w14:paraId="084DCAB3" w14:textId="77777777" w:rsidR="0046492A" w:rsidRPr="0046492A" w:rsidRDefault="0046492A" w:rsidP="0046492A">
                  <w:pPr>
                    <w:spacing w:after="0" w:line="240" w:lineRule="auto"/>
                    <w:jc w:val="center"/>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 </w:t>
                  </w:r>
                </w:p>
              </w:tc>
              <w:tc>
                <w:tcPr>
                  <w:tcW w:w="1088" w:type="dxa"/>
                  <w:tcBorders>
                    <w:top w:val="nil"/>
                    <w:left w:val="nil"/>
                    <w:bottom w:val="nil"/>
                    <w:right w:val="nil"/>
                  </w:tcBorders>
                  <w:shd w:val="clear" w:color="000000" w:fill="C5D9F1"/>
                  <w:noWrap/>
                  <w:vAlign w:val="center"/>
                  <w:hideMark/>
                </w:tcPr>
                <w:p w14:paraId="2B65FA30" w14:textId="77777777" w:rsidR="0046492A" w:rsidRPr="0046492A" w:rsidRDefault="0046492A" w:rsidP="0046492A">
                  <w:pPr>
                    <w:spacing w:after="0" w:line="240" w:lineRule="auto"/>
                    <w:rPr>
                      <w:rFonts w:ascii="Segoe UI" w:eastAsia="Times New Roman" w:hAnsi="Segoe UI" w:cs="Segoe UI"/>
                      <w:color w:val="C5D9F1"/>
                      <w:sz w:val="18"/>
                      <w:szCs w:val="18"/>
                      <w:lang w:eastAsia="en-AU"/>
                    </w:rPr>
                  </w:pPr>
                  <w:r w:rsidRPr="0046492A">
                    <w:rPr>
                      <w:rFonts w:ascii="Segoe UI" w:eastAsia="Times New Roman" w:hAnsi="Segoe UI" w:cs="Segoe UI"/>
                      <w:color w:val="C5D9F1"/>
                      <w:sz w:val="18"/>
                      <w:szCs w:val="18"/>
                      <w:lang w:eastAsia="en-AU"/>
                    </w:rPr>
                    <w:t> </w:t>
                  </w:r>
                </w:p>
              </w:tc>
              <w:tc>
                <w:tcPr>
                  <w:tcW w:w="3009" w:type="dxa"/>
                  <w:tcBorders>
                    <w:top w:val="nil"/>
                    <w:left w:val="nil"/>
                    <w:bottom w:val="nil"/>
                    <w:right w:val="nil"/>
                  </w:tcBorders>
                  <w:shd w:val="clear" w:color="000000" w:fill="C5D9F1"/>
                  <w:noWrap/>
                  <w:vAlign w:val="center"/>
                  <w:hideMark/>
                </w:tcPr>
                <w:p w14:paraId="023BD005" w14:textId="77777777" w:rsidR="0046492A" w:rsidRPr="0046492A" w:rsidRDefault="0046492A" w:rsidP="0046492A">
                  <w:pPr>
                    <w:spacing w:after="0" w:line="240" w:lineRule="auto"/>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 </w:t>
                  </w:r>
                </w:p>
              </w:tc>
            </w:tr>
            <w:tr w:rsidR="0046492A" w:rsidRPr="0046492A" w14:paraId="6C83A716" w14:textId="77777777" w:rsidTr="0046492A">
              <w:trPr>
                <w:trHeight w:val="337"/>
              </w:trPr>
              <w:tc>
                <w:tcPr>
                  <w:tcW w:w="3695" w:type="dxa"/>
                  <w:tcBorders>
                    <w:top w:val="nil"/>
                    <w:left w:val="nil"/>
                    <w:bottom w:val="nil"/>
                    <w:right w:val="nil"/>
                  </w:tcBorders>
                  <w:shd w:val="clear" w:color="000000" w:fill="C5D9F1"/>
                  <w:noWrap/>
                  <w:vAlign w:val="center"/>
                  <w:hideMark/>
                </w:tcPr>
                <w:p w14:paraId="057C7DFB" w14:textId="77777777" w:rsidR="0046492A" w:rsidRPr="0046492A" w:rsidRDefault="0046492A" w:rsidP="0046492A">
                  <w:pPr>
                    <w:spacing w:after="0" w:line="240" w:lineRule="auto"/>
                    <w:jc w:val="right"/>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Dermal LD</w:t>
                  </w:r>
                  <w:r w:rsidRPr="0046492A">
                    <w:rPr>
                      <w:rFonts w:ascii="Segoe UI" w:eastAsia="Times New Roman" w:hAnsi="Segoe UI" w:cs="Segoe UI"/>
                      <w:color w:val="000000"/>
                      <w:sz w:val="18"/>
                      <w:szCs w:val="18"/>
                      <w:vertAlign w:val="subscript"/>
                      <w:lang w:eastAsia="en-AU"/>
                    </w:rPr>
                    <w:t>50</w:t>
                  </w:r>
                  <w:r w:rsidRPr="0046492A">
                    <w:rPr>
                      <w:rFonts w:ascii="Segoe UI" w:eastAsia="Times New Roman" w:hAnsi="Segoe UI" w:cs="Segoe UI"/>
                      <w:color w:val="000000"/>
                      <w:sz w:val="18"/>
                      <w:szCs w:val="18"/>
                      <w:lang w:eastAsia="en-AU"/>
                    </w:rPr>
                    <w:t xml:space="preserve"> ≤1000 mg/kg:</w:t>
                  </w:r>
                </w:p>
              </w:tc>
              <w:tc>
                <w:tcPr>
                  <w:tcW w:w="1088" w:type="dxa"/>
                  <w:tcBorders>
                    <w:top w:val="nil"/>
                    <w:left w:val="nil"/>
                    <w:bottom w:val="nil"/>
                    <w:right w:val="nil"/>
                  </w:tcBorders>
                  <w:shd w:val="clear" w:color="000000" w:fill="C5D9F1"/>
                  <w:noWrap/>
                  <w:vAlign w:val="center"/>
                  <w:hideMark/>
                </w:tcPr>
                <w:p w14:paraId="13F9A91A" w14:textId="77777777" w:rsidR="0046492A" w:rsidRPr="0046492A" w:rsidRDefault="0046492A" w:rsidP="0046492A">
                  <w:pPr>
                    <w:spacing w:after="0" w:line="240" w:lineRule="auto"/>
                    <w:jc w:val="center"/>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 </w:t>
                  </w:r>
                </w:p>
              </w:tc>
              <w:tc>
                <w:tcPr>
                  <w:tcW w:w="1088" w:type="dxa"/>
                  <w:tcBorders>
                    <w:top w:val="nil"/>
                    <w:left w:val="nil"/>
                    <w:bottom w:val="nil"/>
                    <w:right w:val="nil"/>
                  </w:tcBorders>
                  <w:shd w:val="clear" w:color="000000" w:fill="C5D9F1"/>
                  <w:noWrap/>
                  <w:vAlign w:val="center"/>
                  <w:hideMark/>
                </w:tcPr>
                <w:p w14:paraId="6BD916A5" w14:textId="77777777" w:rsidR="0046492A" w:rsidRPr="0046492A" w:rsidRDefault="0046492A" w:rsidP="0046492A">
                  <w:pPr>
                    <w:spacing w:after="0" w:line="240" w:lineRule="auto"/>
                    <w:rPr>
                      <w:rFonts w:ascii="Segoe UI" w:eastAsia="Times New Roman" w:hAnsi="Segoe UI" w:cs="Segoe UI"/>
                      <w:color w:val="C5D9F1"/>
                      <w:sz w:val="18"/>
                      <w:szCs w:val="18"/>
                      <w:lang w:eastAsia="en-AU"/>
                    </w:rPr>
                  </w:pPr>
                  <w:r w:rsidRPr="0046492A">
                    <w:rPr>
                      <w:rFonts w:ascii="Segoe UI" w:eastAsia="Times New Roman" w:hAnsi="Segoe UI" w:cs="Segoe UI"/>
                      <w:color w:val="C5D9F1"/>
                      <w:sz w:val="18"/>
                      <w:szCs w:val="18"/>
                      <w:lang w:eastAsia="en-AU"/>
                    </w:rPr>
                    <w:t> </w:t>
                  </w:r>
                </w:p>
              </w:tc>
              <w:tc>
                <w:tcPr>
                  <w:tcW w:w="3009" w:type="dxa"/>
                  <w:tcBorders>
                    <w:top w:val="nil"/>
                    <w:left w:val="nil"/>
                    <w:bottom w:val="nil"/>
                    <w:right w:val="nil"/>
                  </w:tcBorders>
                  <w:shd w:val="clear" w:color="000000" w:fill="C5D9F1"/>
                  <w:noWrap/>
                  <w:vAlign w:val="center"/>
                  <w:hideMark/>
                </w:tcPr>
                <w:p w14:paraId="0246ADBC" w14:textId="77777777" w:rsidR="0046492A" w:rsidRPr="0046492A" w:rsidRDefault="0046492A" w:rsidP="0046492A">
                  <w:pPr>
                    <w:spacing w:after="0" w:line="240" w:lineRule="auto"/>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 </w:t>
                  </w:r>
                </w:p>
              </w:tc>
            </w:tr>
            <w:tr w:rsidR="0046492A" w:rsidRPr="0046492A" w14:paraId="251E3CD8" w14:textId="77777777" w:rsidTr="0046492A">
              <w:trPr>
                <w:trHeight w:val="337"/>
              </w:trPr>
              <w:tc>
                <w:tcPr>
                  <w:tcW w:w="3695" w:type="dxa"/>
                  <w:tcBorders>
                    <w:top w:val="nil"/>
                    <w:left w:val="nil"/>
                    <w:bottom w:val="nil"/>
                    <w:right w:val="nil"/>
                  </w:tcBorders>
                  <w:shd w:val="clear" w:color="000000" w:fill="C5D9F1"/>
                  <w:noWrap/>
                  <w:vAlign w:val="center"/>
                  <w:hideMark/>
                </w:tcPr>
                <w:p w14:paraId="11ADF421" w14:textId="77777777" w:rsidR="0046492A" w:rsidRPr="0046492A" w:rsidRDefault="0046492A" w:rsidP="0046492A">
                  <w:pPr>
                    <w:spacing w:after="0" w:line="240" w:lineRule="auto"/>
                    <w:jc w:val="right"/>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Dermal repeat-dose NOAEL ≤200 mg/kg:</w:t>
                  </w:r>
                </w:p>
              </w:tc>
              <w:tc>
                <w:tcPr>
                  <w:tcW w:w="1088" w:type="dxa"/>
                  <w:tcBorders>
                    <w:top w:val="nil"/>
                    <w:left w:val="nil"/>
                    <w:bottom w:val="nil"/>
                    <w:right w:val="nil"/>
                  </w:tcBorders>
                  <w:shd w:val="clear" w:color="000000" w:fill="C5D9F1"/>
                  <w:noWrap/>
                  <w:vAlign w:val="center"/>
                  <w:hideMark/>
                </w:tcPr>
                <w:p w14:paraId="597B4737" w14:textId="77777777" w:rsidR="0046492A" w:rsidRPr="0046492A" w:rsidRDefault="0046492A" w:rsidP="0046492A">
                  <w:pPr>
                    <w:spacing w:after="0" w:line="240" w:lineRule="auto"/>
                    <w:jc w:val="center"/>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no</w:t>
                  </w:r>
                </w:p>
              </w:tc>
              <w:tc>
                <w:tcPr>
                  <w:tcW w:w="1088" w:type="dxa"/>
                  <w:tcBorders>
                    <w:top w:val="nil"/>
                    <w:left w:val="nil"/>
                    <w:bottom w:val="nil"/>
                    <w:right w:val="nil"/>
                  </w:tcBorders>
                  <w:shd w:val="clear" w:color="000000" w:fill="C5D9F1"/>
                  <w:noWrap/>
                  <w:vAlign w:val="center"/>
                  <w:hideMark/>
                </w:tcPr>
                <w:p w14:paraId="6967EFC8" w14:textId="77777777" w:rsidR="0046492A" w:rsidRPr="0046492A" w:rsidRDefault="0046492A" w:rsidP="0046492A">
                  <w:pPr>
                    <w:spacing w:after="0" w:line="240" w:lineRule="auto"/>
                    <w:jc w:val="right"/>
                    <w:rPr>
                      <w:rFonts w:ascii="Segoe UI" w:eastAsia="Times New Roman" w:hAnsi="Segoe UI" w:cs="Segoe UI"/>
                      <w:color w:val="C5D9F1"/>
                      <w:sz w:val="18"/>
                      <w:szCs w:val="18"/>
                      <w:lang w:eastAsia="en-AU"/>
                    </w:rPr>
                  </w:pPr>
                  <w:r w:rsidRPr="0046492A">
                    <w:rPr>
                      <w:rFonts w:ascii="Segoe UI" w:eastAsia="Times New Roman" w:hAnsi="Segoe UI" w:cs="Segoe UI"/>
                      <w:color w:val="C5D9F1"/>
                      <w:sz w:val="18"/>
                      <w:szCs w:val="18"/>
                      <w:lang w:eastAsia="en-AU"/>
                    </w:rPr>
                    <w:t>-3.00</w:t>
                  </w:r>
                </w:p>
              </w:tc>
              <w:tc>
                <w:tcPr>
                  <w:tcW w:w="3009" w:type="dxa"/>
                  <w:tcBorders>
                    <w:top w:val="nil"/>
                    <w:left w:val="nil"/>
                    <w:bottom w:val="nil"/>
                    <w:right w:val="nil"/>
                  </w:tcBorders>
                  <w:shd w:val="clear" w:color="000000" w:fill="C5D9F1"/>
                  <w:noWrap/>
                  <w:vAlign w:val="center"/>
                  <w:hideMark/>
                </w:tcPr>
                <w:p w14:paraId="5366AD96" w14:textId="77777777" w:rsidR="0046492A" w:rsidRPr="0046492A" w:rsidRDefault="0046492A" w:rsidP="0046492A">
                  <w:pPr>
                    <w:spacing w:after="0" w:line="240" w:lineRule="auto"/>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 </w:t>
                  </w:r>
                </w:p>
              </w:tc>
            </w:tr>
            <w:tr w:rsidR="0046492A" w:rsidRPr="0046492A" w14:paraId="530C7254" w14:textId="77777777" w:rsidTr="0046492A">
              <w:trPr>
                <w:trHeight w:val="337"/>
              </w:trPr>
              <w:tc>
                <w:tcPr>
                  <w:tcW w:w="3695" w:type="dxa"/>
                  <w:tcBorders>
                    <w:top w:val="nil"/>
                    <w:left w:val="nil"/>
                    <w:bottom w:val="nil"/>
                    <w:right w:val="nil"/>
                  </w:tcBorders>
                  <w:shd w:val="clear" w:color="000000" w:fill="C5D9F1"/>
                  <w:noWrap/>
                  <w:vAlign w:val="center"/>
                  <w:hideMark/>
                </w:tcPr>
                <w:p w14:paraId="1410ECC9" w14:textId="77777777" w:rsidR="0046492A" w:rsidRPr="0046492A" w:rsidRDefault="0046492A" w:rsidP="0046492A">
                  <w:pPr>
                    <w:spacing w:after="0" w:line="240" w:lineRule="auto"/>
                    <w:jc w:val="right"/>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Dermal LD</w:t>
                  </w:r>
                  <w:r w:rsidRPr="0046492A">
                    <w:rPr>
                      <w:rFonts w:ascii="Segoe UI" w:eastAsia="Times New Roman" w:hAnsi="Segoe UI" w:cs="Segoe UI"/>
                      <w:color w:val="000000"/>
                      <w:sz w:val="18"/>
                      <w:szCs w:val="18"/>
                      <w:vertAlign w:val="subscript"/>
                      <w:lang w:eastAsia="en-AU"/>
                    </w:rPr>
                    <w:t>50</w:t>
                  </w:r>
                  <w:r w:rsidRPr="0046492A">
                    <w:rPr>
                      <w:rFonts w:ascii="Segoe UI" w:eastAsia="Times New Roman" w:hAnsi="Segoe UI" w:cs="Segoe UI"/>
                      <w:color w:val="000000"/>
                      <w:sz w:val="18"/>
                      <w:szCs w:val="18"/>
                      <w:lang w:eastAsia="en-AU"/>
                    </w:rPr>
                    <w:t>/Inhalation LD</w:t>
                  </w:r>
                  <w:r w:rsidRPr="0046492A">
                    <w:rPr>
                      <w:rFonts w:ascii="Segoe UI" w:eastAsia="Times New Roman" w:hAnsi="Segoe UI" w:cs="Segoe UI"/>
                      <w:color w:val="000000"/>
                      <w:sz w:val="18"/>
                      <w:szCs w:val="18"/>
                      <w:vertAlign w:val="subscript"/>
                      <w:lang w:eastAsia="en-AU"/>
                    </w:rPr>
                    <w:t>50</w:t>
                  </w:r>
                  <w:r w:rsidRPr="0046492A">
                    <w:rPr>
                      <w:rFonts w:ascii="Segoe UI" w:eastAsia="Times New Roman" w:hAnsi="Segoe UI" w:cs="Segoe UI"/>
                      <w:color w:val="000000"/>
                      <w:sz w:val="18"/>
                      <w:szCs w:val="18"/>
                      <w:lang w:eastAsia="en-AU"/>
                    </w:rPr>
                    <w:t xml:space="preserve"> &lt;10:</w:t>
                  </w:r>
                </w:p>
              </w:tc>
              <w:tc>
                <w:tcPr>
                  <w:tcW w:w="1088" w:type="dxa"/>
                  <w:tcBorders>
                    <w:top w:val="nil"/>
                    <w:left w:val="nil"/>
                    <w:bottom w:val="nil"/>
                    <w:right w:val="nil"/>
                  </w:tcBorders>
                  <w:shd w:val="clear" w:color="000000" w:fill="C5D9F1"/>
                  <w:noWrap/>
                  <w:vAlign w:val="center"/>
                  <w:hideMark/>
                </w:tcPr>
                <w:p w14:paraId="685884FA" w14:textId="77777777" w:rsidR="0046492A" w:rsidRPr="0046492A" w:rsidRDefault="0046492A" w:rsidP="0046492A">
                  <w:pPr>
                    <w:spacing w:after="0" w:line="240" w:lineRule="auto"/>
                    <w:jc w:val="center"/>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 </w:t>
                  </w:r>
                </w:p>
              </w:tc>
              <w:tc>
                <w:tcPr>
                  <w:tcW w:w="1088" w:type="dxa"/>
                  <w:tcBorders>
                    <w:top w:val="nil"/>
                    <w:left w:val="nil"/>
                    <w:bottom w:val="nil"/>
                    <w:right w:val="nil"/>
                  </w:tcBorders>
                  <w:shd w:val="clear" w:color="000000" w:fill="C5D9F1"/>
                  <w:noWrap/>
                  <w:vAlign w:val="center"/>
                  <w:hideMark/>
                </w:tcPr>
                <w:p w14:paraId="26F2603C" w14:textId="77777777" w:rsidR="0046492A" w:rsidRPr="0046492A" w:rsidRDefault="0046492A" w:rsidP="0046492A">
                  <w:pPr>
                    <w:spacing w:after="0" w:line="240" w:lineRule="auto"/>
                    <w:rPr>
                      <w:rFonts w:ascii="Segoe UI" w:eastAsia="Times New Roman" w:hAnsi="Segoe UI" w:cs="Segoe UI"/>
                      <w:color w:val="C5D9F1"/>
                      <w:sz w:val="18"/>
                      <w:szCs w:val="18"/>
                      <w:lang w:eastAsia="en-AU"/>
                    </w:rPr>
                  </w:pPr>
                  <w:r w:rsidRPr="0046492A">
                    <w:rPr>
                      <w:rFonts w:ascii="Segoe UI" w:eastAsia="Times New Roman" w:hAnsi="Segoe UI" w:cs="Segoe UI"/>
                      <w:color w:val="C5D9F1"/>
                      <w:sz w:val="18"/>
                      <w:szCs w:val="18"/>
                      <w:lang w:eastAsia="en-AU"/>
                    </w:rPr>
                    <w:t> </w:t>
                  </w:r>
                </w:p>
              </w:tc>
              <w:tc>
                <w:tcPr>
                  <w:tcW w:w="3009" w:type="dxa"/>
                  <w:tcBorders>
                    <w:top w:val="nil"/>
                    <w:left w:val="nil"/>
                    <w:bottom w:val="nil"/>
                    <w:right w:val="nil"/>
                  </w:tcBorders>
                  <w:shd w:val="clear" w:color="000000" w:fill="C5D9F1"/>
                  <w:noWrap/>
                  <w:vAlign w:val="center"/>
                  <w:hideMark/>
                </w:tcPr>
                <w:p w14:paraId="3B62A97A" w14:textId="77777777" w:rsidR="0046492A" w:rsidRPr="0046492A" w:rsidRDefault="0046492A" w:rsidP="0046492A">
                  <w:pPr>
                    <w:spacing w:after="0" w:line="240" w:lineRule="auto"/>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 </w:t>
                  </w:r>
                </w:p>
              </w:tc>
            </w:tr>
            <w:tr w:rsidR="0046492A" w:rsidRPr="0046492A" w14:paraId="1B088A0C" w14:textId="77777777" w:rsidTr="0046492A">
              <w:trPr>
                <w:trHeight w:val="337"/>
              </w:trPr>
              <w:tc>
                <w:tcPr>
                  <w:tcW w:w="3695" w:type="dxa"/>
                  <w:tcBorders>
                    <w:top w:val="nil"/>
                    <w:left w:val="nil"/>
                    <w:bottom w:val="nil"/>
                    <w:right w:val="nil"/>
                  </w:tcBorders>
                  <w:shd w:val="clear" w:color="000000" w:fill="C5D9F1"/>
                  <w:noWrap/>
                  <w:vAlign w:val="center"/>
                  <w:hideMark/>
                </w:tcPr>
                <w:p w14:paraId="1F8AE585" w14:textId="77777777" w:rsidR="0046492A" w:rsidRPr="0046492A" w:rsidRDefault="0046492A" w:rsidP="0046492A">
                  <w:pPr>
                    <w:spacing w:after="0" w:line="240" w:lineRule="auto"/>
                    <w:jc w:val="right"/>
                    <w:rPr>
                      <w:rFonts w:ascii="Segoe UI" w:eastAsia="Times New Roman" w:hAnsi="Segoe UI" w:cs="Segoe UI"/>
                      <w:i/>
                      <w:iCs/>
                      <w:color w:val="000000"/>
                      <w:sz w:val="18"/>
                      <w:szCs w:val="18"/>
                      <w:lang w:eastAsia="en-AU"/>
                    </w:rPr>
                  </w:pPr>
                  <w:r w:rsidRPr="0046492A">
                    <w:rPr>
                      <w:rFonts w:ascii="Segoe UI" w:eastAsia="Times New Roman" w:hAnsi="Segoe UI" w:cs="Segoe UI"/>
                      <w:i/>
                      <w:iCs/>
                      <w:color w:val="000000"/>
                      <w:sz w:val="18"/>
                      <w:szCs w:val="18"/>
                      <w:lang w:eastAsia="en-AU"/>
                    </w:rPr>
                    <w:t>In vivo</w:t>
                  </w:r>
                  <w:r w:rsidRPr="0046492A">
                    <w:rPr>
                      <w:rFonts w:ascii="Segoe UI" w:eastAsia="Times New Roman" w:hAnsi="Segoe UI" w:cs="Segoe UI"/>
                      <w:color w:val="000000"/>
                      <w:sz w:val="18"/>
                      <w:szCs w:val="18"/>
                      <w:lang w:eastAsia="en-AU"/>
                    </w:rPr>
                    <w:t xml:space="preserve"> dermal absorption rate &gt;10%:</w:t>
                  </w:r>
                </w:p>
              </w:tc>
              <w:tc>
                <w:tcPr>
                  <w:tcW w:w="1088" w:type="dxa"/>
                  <w:tcBorders>
                    <w:top w:val="nil"/>
                    <w:left w:val="nil"/>
                    <w:bottom w:val="nil"/>
                    <w:right w:val="nil"/>
                  </w:tcBorders>
                  <w:shd w:val="clear" w:color="000000" w:fill="C5D9F1"/>
                  <w:noWrap/>
                  <w:vAlign w:val="center"/>
                  <w:hideMark/>
                </w:tcPr>
                <w:p w14:paraId="2E93F376" w14:textId="77777777" w:rsidR="0046492A" w:rsidRPr="0046492A" w:rsidRDefault="0046492A" w:rsidP="0046492A">
                  <w:pPr>
                    <w:spacing w:after="0" w:line="240" w:lineRule="auto"/>
                    <w:jc w:val="center"/>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 </w:t>
                  </w:r>
                </w:p>
              </w:tc>
              <w:tc>
                <w:tcPr>
                  <w:tcW w:w="1088" w:type="dxa"/>
                  <w:tcBorders>
                    <w:top w:val="nil"/>
                    <w:left w:val="nil"/>
                    <w:bottom w:val="nil"/>
                    <w:right w:val="nil"/>
                  </w:tcBorders>
                  <w:shd w:val="clear" w:color="000000" w:fill="C5D9F1"/>
                  <w:noWrap/>
                  <w:vAlign w:val="center"/>
                  <w:hideMark/>
                </w:tcPr>
                <w:p w14:paraId="7CEFCF07" w14:textId="77777777" w:rsidR="0046492A" w:rsidRPr="0046492A" w:rsidRDefault="0046492A" w:rsidP="0046492A">
                  <w:pPr>
                    <w:spacing w:after="0" w:line="240" w:lineRule="auto"/>
                    <w:rPr>
                      <w:rFonts w:ascii="Segoe UI" w:eastAsia="Times New Roman" w:hAnsi="Segoe UI" w:cs="Segoe UI"/>
                      <w:color w:val="C5D9F1"/>
                      <w:sz w:val="18"/>
                      <w:szCs w:val="18"/>
                      <w:lang w:eastAsia="en-AU"/>
                    </w:rPr>
                  </w:pPr>
                  <w:r w:rsidRPr="0046492A">
                    <w:rPr>
                      <w:rFonts w:ascii="Segoe UI" w:eastAsia="Times New Roman" w:hAnsi="Segoe UI" w:cs="Segoe UI"/>
                      <w:color w:val="C5D9F1"/>
                      <w:sz w:val="18"/>
                      <w:szCs w:val="18"/>
                      <w:lang w:eastAsia="en-AU"/>
                    </w:rPr>
                    <w:t> </w:t>
                  </w:r>
                </w:p>
              </w:tc>
              <w:tc>
                <w:tcPr>
                  <w:tcW w:w="3009" w:type="dxa"/>
                  <w:tcBorders>
                    <w:top w:val="nil"/>
                    <w:left w:val="nil"/>
                    <w:bottom w:val="nil"/>
                    <w:right w:val="nil"/>
                  </w:tcBorders>
                  <w:shd w:val="clear" w:color="000000" w:fill="C5D9F1"/>
                  <w:noWrap/>
                  <w:vAlign w:val="center"/>
                  <w:hideMark/>
                </w:tcPr>
                <w:p w14:paraId="16E64598" w14:textId="77777777" w:rsidR="0046492A" w:rsidRPr="0046492A" w:rsidRDefault="0046492A" w:rsidP="0046492A">
                  <w:pPr>
                    <w:spacing w:after="0" w:line="240" w:lineRule="auto"/>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 </w:t>
                  </w:r>
                </w:p>
              </w:tc>
            </w:tr>
            <w:tr w:rsidR="0046492A" w:rsidRPr="0046492A" w14:paraId="170E40DB" w14:textId="77777777" w:rsidTr="0046492A">
              <w:trPr>
                <w:trHeight w:val="337"/>
              </w:trPr>
              <w:tc>
                <w:tcPr>
                  <w:tcW w:w="3695" w:type="dxa"/>
                  <w:tcBorders>
                    <w:top w:val="nil"/>
                    <w:left w:val="nil"/>
                    <w:bottom w:val="nil"/>
                    <w:right w:val="nil"/>
                  </w:tcBorders>
                  <w:shd w:val="clear" w:color="000000" w:fill="C5D9F1"/>
                  <w:noWrap/>
                  <w:vAlign w:val="center"/>
                  <w:hideMark/>
                </w:tcPr>
                <w:p w14:paraId="31A4C02F" w14:textId="77777777" w:rsidR="0046492A" w:rsidRPr="0046492A" w:rsidRDefault="0046492A" w:rsidP="0046492A">
                  <w:pPr>
                    <w:spacing w:after="0" w:line="240" w:lineRule="auto"/>
                    <w:jc w:val="right"/>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Estimated dermal exposure at WES &gt;10%:</w:t>
                  </w:r>
                </w:p>
              </w:tc>
              <w:tc>
                <w:tcPr>
                  <w:tcW w:w="1088" w:type="dxa"/>
                  <w:tcBorders>
                    <w:top w:val="nil"/>
                    <w:left w:val="nil"/>
                    <w:bottom w:val="nil"/>
                    <w:right w:val="nil"/>
                  </w:tcBorders>
                  <w:shd w:val="clear" w:color="000000" w:fill="C5D9F1"/>
                  <w:noWrap/>
                  <w:vAlign w:val="center"/>
                  <w:hideMark/>
                </w:tcPr>
                <w:p w14:paraId="186D8C0A" w14:textId="77777777" w:rsidR="0046492A" w:rsidRPr="0046492A" w:rsidRDefault="0046492A" w:rsidP="0046492A">
                  <w:pPr>
                    <w:spacing w:after="0" w:line="240" w:lineRule="auto"/>
                    <w:jc w:val="center"/>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 </w:t>
                  </w:r>
                </w:p>
              </w:tc>
              <w:tc>
                <w:tcPr>
                  <w:tcW w:w="1088" w:type="dxa"/>
                  <w:tcBorders>
                    <w:top w:val="nil"/>
                    <w:left w:val="nil"/>
                    <w:bottom w:val="nil"/>
                    <w:right w:val="nil"/>
                  </w:tcBorders>
                  <w:shd w:val="clear" w:color="000000" w:fill="C5D9F1"/>
                  <w:noWrap/>
                  <w:vAlign w:val="center"/>
                  <w:hideMark/>
                </w:tcPr>
                <w:p w14:paraId="3DA2219E" w14:textId="77777777" w:rsidR="0046492A" w:rsidRPr="0046492A" w:rsidRDefault="0046492A" w:rsidP="0046492A">
                  <w:pPr>
                    <w:spacing w:after="0" w:line="240" w:lineRule="auto"/>
                    <w:rPr>
                      <w:rFonts w:ascii="Segoe UI" w:eastAsia="Times New Roman" w:hAnsi="Segoe UI" w:cs="Segoe UI"/>
                      <w:color w:val="C5D9F1"/>
                      <w:sz w:val="18"/>
                      <w:szCs w:val="18"/>
                      <w:lang w:eastAsia="en-AU"/>
                    </w:rPr>
                  </w:pPr>
                  <w:r w:rsidRPr="0046492A">
                    <w:rPr>
                      <w:rFonts w:ascii="Segoe UI" w:eastAsia="Times New Roman" w:hAnsi="Segoe UI" w:cs="Segoe UI"/>
                      <w:color w:val="C5D9F1"/>
                      <w:sz w:val="18"/>
                      <w:szCs w:val="18"/>
                      <w:lang w:eastAsia="en-AU"/>
                    </w:rPr>
                    <w:t> </w:t>
                  </w:r>
                </w:p>
              </w:tc>
              <w:tc>
                <w:tcPr>
                  <w:tcW w:w="3009" w:type="dxa"/>
                  <w:tcBorders>
                    <w:top w:val="nil"/>
                    <w:left w:val="nil"/>
                    <w:bottom w:val="nil"/>
                    <w:right w:val="nil"/>
                  </w:tcBorders>
                  <w:shd w:val="clear" w:color="000000" w:fill="C5D9F1"/>
                  <w:noWrap/>
                  <w:vAlign w:val="center"/>
                  <w:hideMark/>
                </w:tcPr>
                <w:p w14:paraId="0FF076E7" w14:textId="77777777" w:rsidR="0046492A" w:rsidRPr="0046492A" w:rsidRDefault="0046492A" w:rsidP="0046492A">
                  <w:pPr>
                    <w:spacing w:after="0" w:line="240" w:lineRule="auto"/>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 </w:t>
                  </w:r>
                </w:p>
              </w:tc>
            </w:tr>
            <w:tr w:rsidR="0046492A" w:rsidRPr="0046492A" w14:paraId="6104E6B5" w14:textId="77777777" w:rsidTr="0046492A">
              <w:trPr>
                <w:trHeight w:val="337"/>
              </w:trPr>
              <w:tc>
                <w:tcPr>
                  <w:tcW w:w="3695" w:type="dxa"/>
                  <w:tcBorders>
                    <w:top w:val="nil"/>
                    <w:left w:val="nil"/>
                    <w:bottom w:val="nil"/>
                    <w:right w:val="nil"/>
                  </w:tcBorders>
                  <w:shd w:val="clear" w:color="000000" w:fill="C5D9F1"/>
                  <w:noWrap/>
                  <w:vAlign w:val="center"/>
                  <w:hideMark/>
                </w:tcPr>
                <w:p w14:paraId="18DAC93C" w14:textId="77777777" w:rsidR="0046492A" w:rsidRPr="0046492A" w:rsidRDefault="0046492A" w:rsidP="0046492A">
                  <w:pPr>
                    <w:spacing w:after="0" w:line="240" w:lineRule="auto"/>
                    <w:jc w:val="right"/>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 </w:t>
                  </w:r>
                </w:p>
              </w:tc>
              <w:tc>
                <w:tcPr>
                  <w:tcW w:w="1088" w:type="dxa"/>
                  <w:tcBorders>
                    <w:top w:val="nil"/>
                    <w:left w:val="nil"/>
                    <w:bottom w:val="nil"/>
                    <w:right w:val="nil"/>
                  </w:tcBorders>
                  <w:shd w:val="clear" w:color="000000" w:fill="C5D9F1"/>
                  <w:noWrap/>
                  <w:vAlign w:val="center"/>
                  <w:hideMark/>
                </w:tcPr>
                <w:p w14:paraId="1C66B4B4" w14:textId="77777777" w:rsidR="0046492A" w:rsidRPr="0046492A" w:rsidRDefault="0046492A" w:rsidP="0046492A">
                  <w:pPr>
                    <w:spacing w:after="0" w:line="240" w:lineRule="auto"/>
                    <w:jc w:val="center"/>
                    <w:rPr>
                      <w:rFonts w:ascii="Segoe UI" w:eastAsia="Times New Roman" w:hAnsi="Segoe UI" w:cs="Segoe UI"/>
                      <w:color w:val="000000"/>
                      <w:sz w:val="18"/>
                      <w:szCs w:val="18"/>
                      <w:lang w:eastAsia="en-AU"/>
                    </w:rPr>
                  </w:pPr>
                  <w:r w:rsidRPr="0046492A">
                    <w:rPr>
                      <w:rFonts w:ascii="Segoe UI" w:eastAsia="Times New Roman" w:hAnsi="Segoe UI" w:cs="Segoe UI"/>
                      <w:color w:val="000000"/>
                      <w:sz w:val="18"/>
                      <w:szCs w:val="18"/>
                      <w:lang w:eastAsia="en-AU"/>
                    </w:rPr>
                    <w:t> </w:t>
                  </w:r>
                </w:p>
              </w:tc>
              <w:tc>
                <w:tcPr>
                  <w:tcW w:w="1088" w:type="dxa"/>
                  <w:tcBorders>
                    <w:top w:val="nil"/>
                    <w:left w:val="nil"/>
                    <w:bottom w:val="nil"/>
                    <w:right w:val="nil"/>
                  </w:tcBorders>
                  <w:shd w:val="clear" w:color="000000" w:fill="C5D9F1"/>
                  <w:noWrap/>
                  <w:vAlign w:val="center"/>
                  <w:hideMark/>
                </w:tcPr>
                <w:p w14:paraId="2B2F0FD2" w14:textId="77777777" w:rsidR="0046492A" w:rsidRPr="0046492A" w:rsidRDefault="0046492A" w:rsidP="0046492A">
                  <w:pPr>
                    <w:spacing w:after="0" w:line="240" w:lineRule="auto"/>
                    <w:jc w:val="right"/>
                    <w:rPr>
                      <w:rFonts w:ascii="Segoe UI" w:eastAsia="Times New Roman" w:hAnsi="Segoe UI" w:cs="Segoe UI"/>
                      <w:color w:val="C5D9F1"/>
                      <w:sz w:val="18"/>
                      <w:szCs w:val="18"/>
                      <w:lang w:eastAsia="en-AU"/>
                    </w:rPr>
                  </w:pPr>
                  <w:r w:rsidRPr="0046492A">
                    <w:rPr>
                      <w:rFonts w:ascii="Segoe UI" w:eastAsia="Times New Roman" w:hAnsi="Segoe UI" w:cs="Segoe UI"/>
                      <w:color w:val="C5D9F1"/>
                      <w:sz w:val="18"/>
                      <w:szCs w:val="18"/>
                      <w:lang w:eastAsia="en-AU"/>
                    </w:rPr>
                    <w:t>-3</w:t>
                  </w:r>
                </w:p>
              </w:tc>
              <w:tc>
                <w:tcPr>
                  <w:tcW w:w="3009" w:type="dxa"/>
                  <w:tcBorders>
                    <w:top w:val="nil"/>
                    <w:left w:val="nil"/>
                    <w:bottom w:val="nil"/>
                    <w:right w:val="nil"/>
                  </w:tcBorders>
                  <w:shd w:val="clear" w:color="000000" w:fill="C5D9F1"/>
                  <w:noWrap/>
                  <w:vAlign w:val="center"/>
                  <w:hideMark/>
                </w:tcPr>
                <w:p w14:paraId="477EA821" w14:textId="77777777" w:rsidR="0046492A" w:rsidRPr="0046492A" w:rsidRDefault="0046492A" w:rsidP="0046492A">
                  <w:pPr>
                    <w:spacing w:after="0" w:line="240" w:lineRule="auto"/>
                    <w:rPr>
                      <w:rFonts w:ascii="Segoe UI" w:eastAsia="Times New Roman" w:hAnsi="Segoe UI" w:cs="Segoe UI"/>
                      <w:b/>
                      <w:bCs/>
                      <w:color w:val="000000"/>
                      <w:sz w:val="18"/>
                      <w:szCs w:val="18"/>
                      <w:lang w:eastAsia="en-AU"/>
                    </w:rPr>
                  </w:pPr>
                  <w:r w:rsidRPr="0046492A">
                    <w:rPr>
                      <w:rFonts w:ascii="Segoe UI" w:eastAsia="Times New Roman" w:hAnsi="Segoe UI" w:cs="Segoe UI"/>
                      <w:b/>
                      <w:bCs/>
                      <w:color w:val="000000"/>
                      <w:sz w:val="18"/>
                      <w:szCs w:val="18"/>
                      <w:lang w:eastAsia="en-AU"/>
                    </w:rPr>
                    <w:t>a skin notation is not warranted</w:t>
                  </w:r>
                </w:p>
              </w:tc>
            </w:tr>
          </w:tbl>
          <w:p w14:paraId="7C75A5C6" w14:textId="77777777" w:rsidR="00932DCE" w:rsidRPr="004C23F4" w:rsidRDefault="00932DCE" w:rsidP="00F9496B">
            <w:pPr>
              <w:pStyle w:val="Tablefont"/>
            </w:pPr>
          </w:p>
        </w:tc>
      </w:tr>
    </w:tbl>
    <w:bookmarkEnd w:id="3"/>
    <w:p w14:paraId="7EE500AD"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3D38F35F" w14:textId="77777777" w:rsidTr="00610F2E">
        <w:trPr>
          <w:trHeight w:val="454"/>
          <w:tblHeader/>
        </w:trPr>
        <w:tc>
          <w:tcPr>
            <w:tcW w:w="4361" w:type="dxa"/>
            <w:vAlign w:val="center"/>
          </w:tcPr>
          <w:p w14:paraId="3257ECAD"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721F7E30" w14:textId="0084D000" w:rsidR="00EB3D1B" w:rsidRDefault="00BC2A4C" w:rsidP="00EB3D1B">
                <w:pPr>
                  <w:pStyle w:val="Tablefont"/>
                </w:pPr>
                <w:r>
                  <w:t>Yes</w:t>
                </w:r>
              </w:p>
            </w:tc>
          </w:sdtContent>
        </w:sdt>
      </w:tr>
    </w:tbl>
    <w:p w14:paraId="4CDD47C5" w14:textId="77777777" w:rsidR="00687890" w:rsidRPr="004C23F4" w:rsidRDefault="00B479A9" w:rsidP="00013277">
      <w:pPr>
        <w:pStyle w:val="Heading2"/>
        <w:keepNext w:val="0"/>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3AC223F6" w14:textId="77777777" w:rsidTr="000876AC">
        <w:trPr>
          <w:cantSplit/>
          <w:tblHeader/>
        </w:trPr>
        <w:tc>
          <w:tcPr>
            <w:tcW w:w="4077" w:type="dxa"/>
            <w:vAlign w:val="center"/>
          </w:tcPr>
          <w:p w14:paraId="60173C9D" w14:textId="77777777" w:rsidR="001B79E5" w:rsidRDefault="001B79E5" w:rsidP="00013277">
            <w:pPr>
              <w:pStyle w:val="Tablefont"/>
            </w:pPr>
            <w:r>
              <w:t>Molecular weight:</w:t>
            </w:r>
          </w:p>
        </w:tc>
        <w:sdt>
          <w:sdtPr>
            <w:id w:val="2058126578"/>
            <w:placeholder>
              <w:docPart w:val="0DAD3FB9ACEF4778B961F088737E2361"/>
            </w:placeholder>
          </w:sdtPr>
          <w:sdtEndPr/>
          <w:sdtContent>
            <w:tc>
              <w:tcPr>
                <w:tcW w:w="5165" w:type="dxa"/>
                <w:vAlign w:val="center"/>
              </w:tcPr>
              <w:p w14:paraId="767D2A06" w14:textId="67792483" w:rsidR="001B79E5" w:rsidRDefault="00BC2A4C" w:rsidP="00013277">
                <w:pPr>
                  <w:pStyle w:val="Tablefont"/>
                </w:pPr>
                <w:r w:rsidRPr="00BC2A4C">
                  <w:t>390.6</w:t>
                </w:r>
              </w:p>
            </w:tc>
          </w:sdtContent>
        </w:sdt>
      </w:tr>
      <w:tr w:rsidR="00A31D99" w:rsidRPr="004C23F4" w14:paraId="49B4198D" w14:textId="77777777" w:rsidTr="00013277">
        <w:trPr>
          <w:cantSplit/>
        </w:trPr>
        <w:tc>
          <w:tcPr>
            <w:tcW w:w="4077" w:type="dxa"/>
            <w:vAlign w:val="center"/>
          </w:tcPr>
          <w:p w14:paraId="44EA70E7" w14:textId="77777777" w:rsidR="00A31D99" w:rsidRPr="00263255" w:rsidRDefault="00A31D99" w:rsidP="00013277">
            <w:pPr>
              <w:pStyle w:val="Tablefont"/>
            </w:pPr>
            <w:r>
              <w:t>Conversion factors at 25</w:t>
            </w:r>
            <w:r>
              <w:rPr>
                <w:rFonts w:cs="Arial"/>
              </w:rPr>
              <w:t>°</w:t>
            </w:r>
            <w:r>
              <w:t xml:space="preserve">C and 101.3 kPa: </w:t>
            </w:r>
          </w:p>
        </w:tc>
        <w:tc>
          <w:tcPr>
            <w:tcW w:w="5165" w:type="dxa"/>
            <w:vAlign w:val="center"/>
          </w:tcPr>
          <w:p w14:paraId="70FA3444" w14:textId="1C3A5896" w:rsidR="00A31D99" w:rsidRDefault="00A0643F" w:rsidP="00013277">
            <w:pPr>
              <w:pStyle w:val="Tablefont"/>
            </w:pPr>
            <w:r>
              <w:t xml:space="preserve">1 ppm = </w:t>
            </w:r>
            <w:sdt>
              <w:sdtPr>
                <w:id w:val="-371151491"/>
                <w:placeholder>
                  <w:docPart w:val="A7231FB73EFF4B2B92EB3BD21C0CEA01"/>
                </w:placeholder>
              </w:sdtPr>
              <w:sdtEndPr/>
              <w:sdtContent>
                <w:r w:rsidR="00BC2A4C">
                  <w:t>15.99</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BC2A4C">
                  <w:t>0.06</w:t>
                </w:r>
              </w:sdtContent>
            </w:sdt>
            <w:r>
              <w:t xml:space="preserve"> ppm</w:t>
            </w:r>
          </w:p>
        </w:tc>
      </w:tr>
      <w:tr w:rsidR="00687890" w:rsidRPr="004C23F4" w14:paraId="4D00BA98" w14:textId="77777777" w:rsidTr="00013277">
        <w:trPr>
          <w:cantSplit/>
        </w:trPr>
        <w:tc>
          <w:tcPr>
            <w:tcW w:w="4077" w:type="dxa"/>
            <w:vAlign w:val="center"/>
          </w:tcPr>
          <w:p w14:paraId="1D451203" w14:textId="77777777" w:rsidR="00687890" w:rsidRPr="00263255" w:rsidRDefault="00687890" w:rsidP="00013277">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7DD0C41E" w14:textId="77777777" w:rsidR="00687890" w:rsidRPr="004C23F4" w:rsidRDefault="00E46BCB" w:rsidP="00013277">
                <w:pPr>
                  <w:pStyle w:val="Tablefont"/>
                </w:pPr>
                <w:r w:rsidRPr="004C23F4">
                  <w:rPr>
                    <w:rFonts w:ascii="MS Gothic" w:eastAsia="MS Gothic" w:hAnsi="MS Gothic" w:cs="MS Gothic" w:hint="eastAsia"/>
                  </w:rPr>
                  <w:t>☐</w:t>
                </w:r>
              </w:p>
            </w:tc>
          </w:sdtContent>
        </w:sdt>
      </w:tr>
      <w:tr w:rsidR="00687890" w:rsidRPr="004C23F4" w14:paraId="71A0C946" w14:textId="77777777" w:rsidTr="00013277">
        <w:trPr>
          <w:cantSplit/>
        </w:trPr>
        <w:tc>
          <w:tcPr>
            <w:tcW w:w="4077" w:type="dxa"/>
            <w:vAlign w:val="center"/>
          </w:tcPr>
          <w:p w14:paraId="30033143" w14:textId="77777777" w:rsidR="00687890" w:rsidRPr="00263255" w:rsidRDefault="00687890" w:rsidP="00013277">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05859B3B" w14:textId="77777777" w:rsidR="00687890" w:rsidRPr="004C23F4" w:rsidRDefault="00A20751" w:rsidP="00013277">
                <w:pPr>
                  <w:pStyle w:val="Tablefont"/>
                </w:pPr>
                <w:r w:rsidRPr="004C23F4">
                  <w:rPr>
                    <w:rFonts w:ascii="MS Gothic" w:eastAsia="MS Gothic" w:hAnsi="MS Gothic" w:cs="MS Gothic" w:hint="eastAsia"/>
                  </w:rPr>
                  <w:t>☐</w:t>
                </w:r>
              </w:p>
            </w:tc>
          </w:sdtContent>
        </w:sdt>
      </w:tr>
      <w:tr w:rsidR="00687890" w:rsidRPr="004C23F4" w14:paraId="636CF823" w14:textId="77777777" w:rsidTr="00013277">
        <w:trPr>
          <w:cantSplit/>
        </w:trPr>
        <w:tc>
          <w:tcPr>
            <w:tcW w:w="4077" w:type="dxa"/>
            <w:vAlign w:val="center"/>
          </w:tcPr>
          <w:p w14:paraId="40566E07" w14:textId="77777777" w:rsidR="00687890" w:rsidRPr="00263255" w:rsidRDefault="00687890" w:rsidP="00013277">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4EC7D616" w14:textId="77777777" w:rsidR="00687890" w:rsidRPr="004C23F4" w:rsidRDefault="00687890" w:rsidP="00013277">
                <w:pPr>
                  <w:pStyle w:val="Tablefont"/>
                </w:pPr>
                <w:r w:rsidRPr="004C23F4">
                  <w:rPr>
                    <w:rFonts w:ascii="MS Gothic" w:eastAsia="MS Gothic" w:hAnsi="MS Gothic" w:cs="MS Gothic" w:hint="eastAsia"/>
                  </w:rPr>
                  <w:t>☐</w:t>
                </w:r>
              </w:p>
            </w:tc>
          </w:sdtContent>
        </w:sdt>
      </w:tr>
      <w:tr w:rsidR="00E06F40" w:rsidRPr="004C23F4" w14:paraId="1BA3FDB6" w14:textId="77777777" w:rsidTr="00013277">
        <w:trPr>
          <w:cantSplit/>
        </w:trPr>
        <w:tc>
          <w:tcPr>
            <w:tcW w:w="4077" w:type="dxa"/>
            <w:vAlign w:val="center"/>
          </w:tcPr>
          <w:p w14:paraId="66783100" w14:textId="77777777" w:rsidR="00E06F40" w:rsidRPr="00263255" w:rsidRDefault="00E06F40" w:rsidP="00013277">
            <w:pPr>
              <w:pStyle w:val="Tablefont"/>
            </w:pPr>
            <w:r w:rsidRPr="00263255">
              <w:lastRenderedPageBreak/>
              <w:t xml:space="preserve">A biological exposure index has been recommended by </w:t>
            </w:r>
            <w:r w:rsidR="00084513">
              <w:t>these agencies</w:t>
            </w:r>
            <w:r w:rsidRPr="00263255">
              <w:t>:</w:t>
            </w:r>
          </w:p>
        </w:tc>
        <w:tc>
          <w:tcPr>
            <w:tcW w:w="5165" w:type="dxa"/>
            <w:vAlign w:val="center"/>
          </w:tcPr>
          <w:p w14:paraId="2BFCC87C" w14:textId="77777777" w:rsidR="00E06F40" w:rsidRPr="00A006A0" w:rsidRDefault="00051F11" w:rsidP="00013277">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7D48FF96"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94886FD" w14:textId="77777777" w:rsidTr="00F053FA">
        <w:trPr>
          <w:tblHeader/>
        </w:trPr>
        <w:tc>
          <w:tcPr>
            <w:tcW w:w="4077" w:type="dxa"/>
            <w:shd w:val="clear" w:color="auto" w:fill="BFBFBF" w:themeFill="background1" w:themeFillShade="BF"/>
            <w:vAlign w:val="center"/>
          </w:tcPr>
          <w:p w14:paraId="748220D7"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3F32C1FB" w14:textId="77777777" w:rsidR="00224EE2" w:rsidRPr="004C23F4" w:rsidRDefault="00224EE2" w:rsidP="00EB3D1B">
            <w:pPr>
              <w:pStyle w:val="Tableheader"/>
              <w:keepNext/>
              <w:keepLines/>
            </w:pPr>
            <w:r>
              <w:t>Standard</w:t>
            </w:r>
          </w:p>
        </w:tc>
      </w:tr>
      <w:tr w:rsidR="007F1005" w:rsidRPr="004C23F4" w14:paraId="13504C70" w14:textId="77777777" w:rsidTr="00F053FA">
        <w:trPr>
          <w:tblHeader/>
        </w:trPr>
        <w:sdt>
          <w:sdtPr>
            <w:id w:val="-25557549"/>
            <w:placeholder>
              <w:docPart w:val="2BF891C0AB704CDAB9BC6E80D556473F"/>
            </w:placeholder>
            <w:showingPlcHdr/>
            <w:text/>
          </w:sdtPr>
          <w:sdtEndPr/>
          <w:sdtContent>
            <w:tc>
              <w:tcPr>
                <w:tcW w:w="4077" w:type="dxa"/>
                <w:vAlign w:val="center"/>
              </w:tcPr>
              <w:p w14:paraId="0E6F525C"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5FB73A9C" w14:textId="77777777" w:rsidR="007F1005" w:rsidRPr="004C23F4" w:rsidRDefault="007F1005" w:rsidP="00EB3D1B">
            <w:pPr>
              <w:pStyle w:val="Tablefont"/>
              <w:keepLines/>
            </w:pPr>
          </w:p>
        </w:tc>
      </w:tr>
    </w:tbl>
    <w:bookmarkEnd w:id="4"/>
    <w:p w14:paraId="0A912F65" w14:textId="77777777" w:rsidR="00F87D92" w:rsidRDefault="00F87D92" w:rsidP="00EF7F78">
      <w:pPr>
        <w:pStyle w:val="Heading2"/>
        <w:tabs>
          <w:tab w:val="right" w:pos="8505"/>
        </w:tabs>
      </w:pPr>
      <w:r>
        <w:t>References</w:t>
      </w:r>
      <w:r w:rsidR="00EF7F78">
        <w:tab/>
      </w:r>
    </w:p>
    <w:p w14:paraId="7ED3ECD6" w14:textId="5EAC8E0F"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64358DCF" w14:textId="5ECD2B7F" w:rsidR="001756A3" w:rsidRDefault="001756A3" w:rsidP="001756A3">
      <w:r>
        <w:t xml:space="preserve">Deutsche </w:t>
      </w:r>
      <w:proofErr w:type="spellStart"/>
      <w:r>
        <w:t>Forschungsgemeinschaft</w:t>
      </w:r>
      <w:proofErr w:type="spellEnd"/>
      <w:r>
        <w:t xml:space="preserve"> (</w:t>
      </w:r>
      <w:proofErr w:type="spellStart"/>
      <w:r>
        <w:t>DFG</w:t>
      </w:r>
      <w:proofErr w:type="spellEnd"/>
      <w:r>
        <w:t>) (</w:t>
      </w:r>
      <w:r w:rsidR="00436684">
        <w:t>2016</w:t>
      </w:r>
      <w:r>
        <w:t xml:space="preserve">) </w:t>
      </w:r>
      <w:r w:rsidRPr="00BC2A4C">
        <w:t>Di(2</w:t>
      </w:r>
      <w:r w:rsidRPr="00BC2A4C">
        <w:rPr>
          <w:rFonts w:ascii="Cambria Math" w:hAnsi="Cambria Math" w:cs="Cambria Math"/>
        </w:rPr>
        <w:t>‐</w:t>
      </w:r>
      <w:proofErr w:type="spellStart"/>
      <w:r w:rsidRPr="00BC2A4C">
        <w:t>ethylhexyl</w:t>
      </w:r>
      <w:proofErr w:type="spellEnd"/>
      <w:r w:rsidRPr="00BC2A4C">
        <w:t>) phthalate (DEHP)</w:t>
      </w:r>
      <w:r>
        <w:t xml:space="preserve"> – MAK value documentation.</w:t>
      </w:r>
    </w:p>
    <w:p w14:paraId="758E1C75" w14:textId="77777777" w:rsidR="001756A3" w:rsidRPr="00351FE0" w:rsidRDefault="001756A3" w:rsidP="001756A3">
      <w:r>
        <w:t>International Agency for Research on Cancer (IARC) (</w:t>
      </w:r>
      <w:r w:rsidRPr="00BC2A4C">
        <w:t>2013</w:t>
      </w:r>
      <w:r>
        <w:t xml:space="preserve">) </w:t>
      </w:r>
      <w:r w:rsidRPr="00BC2A4C">
        <w:t>Di(2-</w:t>
      </w:r>
      <w:proofErr w:type="gramStart"/>
      <w:r w:rsidRPr="00BC2A4C">
        <w:t>ethylhexyl)phthalate</w:t>
      </w:r>
      <w:proofErr w:type="gramEnd"/>
      <w:r>
        <w:t>. IARC Monographs on the evaluation of the carcinogenic risk to humans.</w:t>
      </w:r>
    </w:p>
    <w:p w14:paraId="1CD2C7A4" w14:textId="301D3D79" w:rsidR="00BC2A4C" w:rsidRDefault="00BC2A4C" w:rsidP="00084859">
      <w:r>
        <w:t xml:space="preserve">National Industrial Chemicals Notification and Assessment Scheme (NICNAS) (2013) </w:t>
      </w:r>
      <w:r w:rsidRPr="00BC2A4C">
        <w:t>1,2-Benzenedicarboxylic acid, bis(2-ethylhexyl) ester</w:t>
      </w:r>
      <w:r>
        <w:t>: Human health tier II assessment – IMAP report.</w:t>
      </w:r>
    </w:p>
    <w:p w14:paraId="238A5D4E" w14:textId="2986A56C" w:rsidR="008B5661" w:rsidRDefault="008B5661" w:rsidP="008B5661">
      <w:r>
        <w:t xml:space="preserve">US Environmental Protection Authority (US EPA) (1987) </w:t>
      </w:r>
      <w:r w:rsidRPr="003448DD">
        <w:t>Integrated R</w:t>
      </w:r>
      <w:r>
        <w:t xml:space="preserve">isk Information System (IRIS) </w:t>
      </w:r>
      <w:r w:rsidRPr="003448DD">
        <w:t>Chemical Assessment Summary</w:t>
      </w:r>
      <w:r>
        <w:t xml:space="preserve"> – </w:t>
      </w:r>
      <w:r w:rsidRPr="008B5661">
        <w:t>Di(2-</w:t>
      </w:r>
      <w:proofErr w:type="gramStart"/>
      <w:r w:rsidRPr="008B5661">
        <w:t>ethylhexyl)phthalate</w:t>
      </w:r>
      <w:proofErr w:type="gramEnd"/>
      <w:r w:rsidRPr="008B5661">
        <w:t xml:space="preserve"> (DEHP)</w:t>
      </w:r>
      <w:r>
        <w:t>.</w:t>
      </w:r>
    </w:p>
    <w:p w14:paraId="7E730BD9" w14:textId="52BAEE75" w:rsidR="008B5661" w:rsidRDefault="008B5661" w:rsidP="008B5661">
      <w:r>
        <w:t>US National Institute for Occupational Safety and Health (NIOSH) (1994) Immediately dangerous to life or health concentrations – Di-sec octyl phthalate.</w:t>
      </w:r>
    </w:p>
    <w:p w14:paraId="2D84FC3F" w14:textId="77777777" w:rsidR="008B5661" w:rsidRDefault="008B5661" w:rsidP="008B5661"/>
    <w:p w14:paraId="5DD37B86" w14:textId="48BD65E9" w:rsidR="00BC2A4C" w:rsidRPr="00351FE0" w:rsidRDefault="00BC2A4C" w:rsidP="00084859"/>
    <w:sectPr w:rsidR="00BC2A4C" w:rsidRPr="00351FE0" w:rsidSect="00B87D4C">
      <w:headerReference w:type="even" r:id="rId18"/>
      <w:headerReference w:type="default" r:id="rId19"/>
      <w:headerReference w:type="first" r:id="rId20"/>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838F2" w14:textId="77777777" w:rsidR="001E2EBE" w:rsidRDefault="001E2EBE" w:rsidP="00F43AD5">
      <w:pPr>
        <w:spacing w:after="0" w:line="240" w:lineRule="auto"/>
      </w:pPr>
      <w:r>
        <w:separator/>
      </w:r>
    </w:p>
  </w:endnote>
  <w:endnote w:type="continuationSeparator" w:id="0">
    <w:p w14:paraId="647CF623" w14:textId="77777777" w:rsidR="001E2EBE" w:rsidRDefault="001E2EBE"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99A9F" w14:textId="77777777" w:rsidR="000B2F52" w:rsidRDefault="000B2F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7B983033" w14:textId="77777777" w:rsidR="002F3DD7" w:rsidRPr="002F3DD7" w:rsidRDefault="002F3DD7" w:rsidP="002F3DD7">
        <w:pPr>
          <w:pStyle w:val="Footer"/>
          <w:rPr>
            <w:b/>
            <w:sz w:val="18"/>
            <w:szCs w:val="18"/>
          </w:rPr>
        </w:pPr>
      </w:p>
      <w:p w14:paraId="30D9E63F" w14:textId="187DFCAE" w:rsidR="008A36CF" w:rsidRDefault="002F3DD7" w:rsidP="002F3DD7">
        <w:pPr>
          <w:pStyle w:val="Footer"/>
          <w:rPr>
            <w:sz w:val="18"/>
            <w:szCs w:val="18"/>
          </w:rPr>
        </w:pPr>
        <w:r w:rsidRPr="002F3DD7">
          <w:rPr>
            <w:b/>
            <w:sz w:val="18"/>
            <w:szCs w:val="18"/>
          </w:rPr>
          <w:t>Di-sec-octyl phthalate</w:t>
        </w:r>
        <w:r w:rsidR="008A36CF">
          <w:rPr>
            <w:b/>
            <w:sz w:val="18"/>
            <w:szCs w:val="18"/>
          </w:rPr>
          <w:t xml:space="preserve"> (</w:t>
        </w:r>
        <w:r w:rsidRPr="002F3DD7">
          <w:rPr>
            <w:b/>
            <w:sz w:val="18"/>
            <w:szCs w:val="18"/>
          </w:rPr>
          <w:t>117-81-7</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3262D594" w14:textId="2BB8AE7D"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C275A0">
          <w:rPr>
            <w:noProof/>
            <w:sz w:val="18"/>
            <w:szCs w:val="18"/>
          </w:rPr>
          <w:t>4</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111D4" w14:textId="77777777" w:rsidR="000B2F52" w:rsidRDefault="000B2F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EAEB4" w14:textId="77777777" w:rsidR="001E2EBE" w:rsidRDefault="001E2EBE" w:rsidP="00F43AD5">
      <w:pPr>
        <w:spacing w:after="0" w:line="240" w:lineRule="auto"/>
      </w:pPr>
      <w:r>
        <w:separator/>
      </w:r>
    </w:p>
  </w:footnote>
  <w:footnote w:type="continuationSeparator" w:id="0">
    <w:p w14:paraId="661FF67E" w14:textId="77777777" w:rsidR="001E2EBE" w:rsidRDefault="001E2EBE"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0204A" w14:textId="245DE0B8" w:rsidR="000B2F52" w:rsidRDefault="000B2F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24318" w14:textId="4082B5C1" w:rsidR="008A36CF" w:rsidRDefault="008A36CF" w:rsidP="00F43AD5">
    <w:pPr>
      <w:pStyle w:val="Header"/>
      <w:jc w:val="right"/>
    </w:pPr>
    <w:r>
      <w:rPr>
        <w:noProof/>
        <w:lang w:eastAsia="en-AU"/>
      </w:rPr>
      <w:drawing>
        <wp:inline distT="0" distB="0" distL="0" distR="0" wp14:anchorId="1F50867D" wp14:editId="6F441983">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3379E" w14:textId="4CF66A6E" w:rsidR="000B2F52" w:rsidRDefault="000B2F5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3FC74" w14:textId="5F0AE2BB" w:rsidR="00C275A0" w:rsidRDefault="00C275A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AA35A" w14:textId="3FA9150C" w:rsidR="008A36CF" w:rsidRDefault="008A36CF" w:rsidP="00F43AD5">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3C6B0" w14:textId="71838ED1" w:rsidR="00C275A0" w:rsidRDefault="00C275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408EEF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DEA5A14"/>
    <w:multiLevelType w:val="hybridMultilevel"/>
    <w:tmpl w:val="07EE901E"/>
    <w:lvl w:ilvl="0" w:tplc="0C090003">
      <w:start w:val="1"/>
      <w:numFmt w:val="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 w15:restartNumberingAfterBreak="0">
    <w:nsid w:val="1F942483"/>
    <w:multiLevelType w:val="hybridMultilevel"/>
    <w:tmpl w:val="D3E804A8"/>
    <w:lvl w:ilvl="0" w:tplc="04090003">
      <w:start w:val="1"/>
      <w:numFmt w:val="bullet"/>
      <w:lvlText w:val="o"/>
      <w:lvlJc w:val="left"/>
      <w:pPr>
        <w:ind w:left="1074" w:hanging="360"/>
      </w:pPr>
      <w:rPr>
        <w:rFonts w:ascii="Courier New" w:hAnsi="Courier New" w:cs="Courier New" w:hint="default"/>
      </w:rPr>
    </w:lvl>
    <w:lvl w:ilvl="1" w:tplc="0C090003" w:tentative="1">
      <w:start w:val="1"/>
      <w:numFmt w:val="bullet"/>
      <w:lvlText w:val="o"/>
      <w:lvlJc w:val="left"/>
      <w:pPr>
        <w:ind w:left="1794" w:hanging="360"/>
      </w:pPr>
      <w:rPr>
        <w:rFonts w:ascii="Courier New" w:hAnsi="Courier New" w:cs="Courier New" w:hint="default"/>
      </w:rPr>
    </w:lvl>
    <w:lvl w:ilvl="2" w:tplc="0C090005" w:tentative="1">
      <w:start w:val="1"/>
      <w:numFmt w:val="bullet"/>
      <w:lvlText w:val=""/>
      <w:lvlJc w:val="left"/>
      <w:pPr>
        <w:ind w:left="2514" w:hanging="360"/>
      </w:pPr>
      <w:rPr>
        <w:rFonts w:ascii="Wingdings" w:hAnsi="Wingdings" w:hint="default"/>
      </w:rPr>
    </w:lvl>
    <w:lvl w:ilvl="3" w:tplc="0C090001" w:tentative="1">
      <w:start w:val="1"/>
      <w:numFmt w:val="bullet"/>
      <w:lvlText w:val=""/>
      <w:lvlJc w:val="left"/>
      <w:pPr>
        <w:ind w:left="3234" w:hanging="360"/>
      </w:pPr>
      <w:rPr>
        <w:rFonts w:ascii="Symbol" w:hAnsi="Symbol" w:hint="default"/>
      </w:rPr>
    </w:lvl>
    <w:lvl w:ilvl="4" w:tplc="0C090003" w:tentative="1">
      <w:start w:val="1"/>
      <w:numFmt w:val="bullet"/>
      <w:lvlText w:val="o"/>
      <w:lvlJc w:val="left"/>
      <w:pPr>
        <w:ind w:left="3954" w:hanging="360"/>
      </w:pPr>
      <w:rPr>
        <w:rFonts w:ascii="Courier New" w:hAnsi="Courier New" w:cs="Courier New" w:hint="default"/>
      </w:rPr>
    </w:lvl>
    <w:lvl w:ilvl="5" w:tplc="0C090005" w:tentative="1">
      <w:start w:val="1"/>
      <w:numFmt w:val="bullet"/>
      <w:lvlText w:val=""/>
      <w:lvlJc w:val="left"/>
      <w:pPr>
        <w:ind w:left="4674" w:hanging="360"/>
      </w:pPr>
      <w:rPr>
        <w:rFonts w:ascii="Wingdings" w:hAnsi="Wingdings" w:hint="default"/>
      </w:rPr>
    </w:lvl>
    <w:lvl w:ilvl="6" w:tplc="0C090001" w:tentative="1">
      <w:start w:val="1"/>
      <w:numFmt w:val="bullet"/>
      <w:lvlText w:val=""/>
      <w:lvlJc w:val="left"/>
      <w:pPr>
        <w:ind w:left="5394" w:hanging="360"/>
      </w:pPr>
      <w:rPr>
        <w:rFonts w:ascii="Symbol" w:hAnsi="Symbol" w:hint="default"/>
      </w:rPr>
    </w:lvl>
    <w:lvl w:ilvl="7" w:tplc="0C090003" w:tentative="1">
      <w:start w:val="1"/>
      <w:numFmt w:val="bullet"/>
      <w:lvlText w:val="o"/>
      <w:lvlJc w:val="left"/>
      <w:pPr>
        <w:ind w:left="6114" w:hanging="360"/>
      </w:pPr>
      <w:rPr>
        <w:rFonts w:ascii="Courier New" w:hAnsi="Courier New" w:cs="Courier New" w:hint="default"/>
      </w:rPr>
    </w:lvl>
    <w:lvl w:ilvl="8" w:tplc="0C090005" w:tentative="1">
      <w:start w:val="1"/>
      <w:numFmt w:val="bullet"/>
      <w:lvlText w:val=""/>
      <w:lvlJc w:val="left"/>
      <w:pPr>
        <w:ind w:left="6834" w:hanging="360"/>
      </w:pPr>
      <w:rPr>
        <w:rFonts w:ascii="Wingdings" w:hAnsi="Wingdings" w:hint="default"/>
      </w:rPr>
    </w:lvl>
  </w:abstractNum>
  <w:abstractNum w:abstractNumId="3" w15:restartNumberingAfterBreak="0">
    <w:nsid w:val="373E0CE5"/>
    <w:multiLevelType w:val="hybridMultilevel"/>
    <w:tmpl w:val="A740CB6A"/>
    <w:lvl w:ilvl="0" w:tplc="0C090001">
      <w:start w:val="1"/>
      <w:numFmt w:val="bullet"/>
      <w:lvlText w:val=""/>
      <w:lvlJc w:val="left"/>
      <w:pPr>
        <w:ind w:left="1434" w:hanging="360"/>
      </w:pPr>
      <w:rPr>
        <w:rFonts w:ascii="Symbol" w:hAnsi="Symbol" w:hint="default"/>
      </w:rPr>
    </w:lvl>
    <w:lvl w:ilvl="1" w:tplc="0C090003" w:tentative="1">
      <w:start w:val="1"/>
      <w:numFmt w:val="bullet"/>
      <w:lvlText w:val="o"/>
      <w:lvlJc w:val="left"/>
      <w:pPr>
        <w:ind w:left="2154" w:hanging="360"/>
      </w:pPr>
      <w:rPr>
        <w:rFonts w:ascii="Courier New" w:hAnsi="Courier New" w:cs="Courier New" w:hint="default"/>
      </w:rPr>
    </w:lvl>
    <w:lvl w:ilvl="2" w:tplc="0C090005" w:tentative="1">
      <w:start w:val="1"/>
      <w:numFmt w:val="bullet"/>
      <w:lvlText w:val=""/>
      <w:lvlJc w:val="left"/>
      <w:pPr>
        <w:ind w:left="2874" w:hanging="360"/>
      </w:pPr>
      <w:rPr>
        <w:rFonts w:ascii="Wingdings" w:hAnsi="Wingdings" w:hint="default"/>
      </w:rPr>
    </w:lvl>
    <w:lvl w:ilvl="3" w:tplc="0C090001" w:tentative="1">
      <w:start w:val="1"/>
      <w:numFmt w:val="bullet"/>
      <w:lvlText w:val=""/>
      <w:lvlJc w:val="left"/>
      <w:pPr>
        <w:ind w:left="3594" w:hanging="360"/>
      </w:pPr>
      <w:rPr>
        <w:rFonts w:ascii="Symbol" w:hAnsi="Symbol" w:hint="default"/>
      </w:rPr>
    </w:lvl>
    <w:lvl w:ilvl="4" w:tplc="0C090003" w:tentative="1">
      <w:start w:val="1"/>
      <w:numFmt w:val="bullet"/>
      <w:lvlText w:val="o"/>
      <w:lvlJc w:val="left"/>
      <w:pPr>
        <w:ind w:left="4314" w:hanging="360"/>
      </w:pPr>
      <w:rPr>
        <w:rFonts w:ascii="Courier New" w:hAnsi="Courier New" w:cs="Courier New" w:hint="default"/>
      </w:rPr>
    </w:lvl>
    <w:lvl w:ilvl="5" w:tplc="0C090005" w:tentative="1">
      <w:start w:val="1"/>
      <w:numFmt w:val="bullet"/>
      <w:lvlText w:val=""/>
      <w:lvlJc w:val="left"/>
      <w:pPr>
        <w:ind w:left="5034" w:hanging="360"/>
      </w:pPr>
      <w:rPr>
        <w:rFonts w:ascii="Wingdings" w:hAnsi="Wingdings" w:hint="default"/>
      </w:rPr>
    </w:lvl>
    <w:lvl w:ilvl="6" w:tplc="0C090001" w:tentative="1">
      <w:start w:val="1"/>
      <w:numFmt w:val="bullet"/>
      <w:lvlText w:val=""/>
      <w:lvlJc w:val="left"/>
      <w:pPr>
        <w:ind w:left="5754" w:hanging="360"/>
      </w:pPr>
      <w:rPr>
        <w:rFonts w:ascii="Symbol" w:hAnsi="Symbol" w:hint="default"/>
      </w:rPr>
    </w:lvl>
    <w:lvl w:ilvl="7" w:tplc="0C090003" w:tentative="1">
      <w:start w:val="1"/>
      <w:numFmt w:val="bullet"/>
      <w:lvlText w:val="o"/>
      <w:lvlJc w:val="left"/>
      <w:pPr>
        <w:ind w:left="6474" w:hanging="360"/>
      </w:pPr>
      <w:rPr>
        <w:rFonts w:ascii="Courier New" w:hAnsi="Courier New" w:cs="Courier New" w:hint="default"/>
      </w:rPr>
    </w:lvl>
    <w:lvl w:ilvl="8" w:tplc="0C090005" w:tentative="1">
      <w:start w:val="1"/>
      <w:numFmt w:val="bullet"/>
      <w:lvlText w:val=""/>
      <w:lvlJc w:val="left"/>
      <w:pPr>
        <w:ind w:left="7194" w:hanging="360"/>
      </w:pPr>
      <w:rPr>
        <w:rFonts w:ascii="Wingdings" w:hAnsi="Wingdings" w:hint="default"/>
      </w:rPr>
    </w:lvl>
  </w:abstractNum>
  <w:num w:numId="1" w16cid:durableId="880938103">
    <w:abstractNumId w:val="0"/>
  </w:num>
  <w:num w:numId="2" w16cid:durableId="68843598">
    <w:abstractNumId w:val="2"/>
  </w:num>
  <w:num w:numId="3" w16cid:durableId="1533765492">
    <w:abstractNumId w:val="0"/>
  </w:num>
  <w:num w:numId="4" w16cid:durableId="489562658">
    <w:abstractNumId w:val="0"/>
  </w:num>
  <w:num w:numId="5" w16cid:durableId="555511207">
    <w:abstractNumId w:val="0"/>
  </w:num>
  <w:num w:numId="6" w16cid:durableId="845899148">
    <w:abstractNumId w:val="1"/>
  </w:num>
  <w:num w:numId="7" w16cid:durableId="2080668652">
    <w:abstractNumId w:val="0"/>
  </w:num>
  <w:num w:numId="8" w16cid:durableId="1156728734">
    <w:abstractNumId w:val="0"/>
  </w:num>
  <w:num w:numId="9" w16cid:durableId="452990066">
    <w:abstractNumId w:val="3"/>
  </w:num>
  <w:num w:numId="10" w16cid:durableId="675115394">
    <w:abstractNumId w:val="0"/>
  </w:num>
  <w:num w:numId="11" w16cid:durableId="1208224154">
    <w:abstractNumId w:val="0"/>
  </w:num>
  <w:num w:numId="12" w16cid:durableId="17200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0CEA"/>
    <w:rsid w:val="00007B80"/>
    <w:rsid w:val="00013277"/>
    <w:rsid w:val="00013A22"/>
    <w:rsid w:val="00014C3F"/>
    <w:rsid w:val="00017C82"/>
    <w:rsid w:val="00032B88"/>
    <w:rsid w:val="00046DF5"/>
    <w:rsid w:val="00051F11"/>
    <w:rsid w:val="00052060"/>
    <w:rsid w:val="0005574A"/>
    <w:rsid w:val="00055FE1"/>
    <w:rsid w:val="00056EC2"/>
    <w:rsid w:val="00060443"/>
    <w:rsid w:val="00060B48"/>
    <w:rsid w:val="00067F32"/>
    <w:rsid w:val="00071807"/>
    <w:rsid w:val="00074ABC"/>
    <w:rsid w:val="000803E1"/>
    <w:rsid w:val="00084513"/>
    <w:rsid w:val="00084859"/>
    <w:rsid w:val="000876AC"/>
    <w:rsid w:val="00092D94"/>
    <w:rsid w:val="000B0868"/>
    <w:rsid w:val="000B2F52"/>
    <w:rsid w:val="000B3E12"/>
    <w:rsid w:val="000B3E78"/>
    <w:rsid w:val="000B7B48"/>
    <w:rsid w:val="000C096D"/>
    <w:rsid w:val="000C139A"/>
    <w:rsid w:val="000C2053"/>
    <w:rsid w:val="000C248C"/>
    <w:rsid w:val="000D291C"/>
    <w:rsid w:val="000E5A54"/>
    <w:rsid w:val="000E63D3"/>
    <w:rsid w:val="000E67CF"/>
    <w:rsid w:val="00101714"/>
    <w:rsid w:val="0010461E"/>
    <w:rsid w:val="00106FAA"/>
    <w:rsid w:val="00113443"/>
    <w:rsid w:val="001269A7"/>
    <w:rsid w:val="00131092"/>
    <w:rsid w:val="00140E6A"/>
    <w:rsid w:val="00146545"/>
    <w:rsid w:val="00146B75"/>
    <w:rsid w:val="0015266D"/>
    <w:rsid w:val="0015288A"/>
    <w:rsid w:val="00154211"/>
    <w:rsid w:val="00160F47"/>
    <w:rsid w:val="001756A3"/>
    <w:rsid w:val="00177CA1"/>
    <w:rsid w:val="00183823"/>
    <w:rsid w:val="00183942"/>
    <w:rsid w:val="001A009E"/>
    <w:rsid w:val="001A1287"/>
    <w:rsid w:val="001A1422"/>
    <w:rsid w:val="001A3859"/>
    <w:rsid w:val="001A3C9D"/>
    <w:rsid w:val="001A43F8"/>
    <w:rsid w:val="001B79E5"/>
    <w:rsid w:val="001D2F0E"/>
    <w:rsid w:val="001D56F0"/>
    <w:rsid w:val="001D663B"/>
    <w:rsid w:val="001D7B41"/>
    <w:rsid w:val="001E2EBE"/>
    <w:rsid w:val="001E46DA"/>
    <w:rsid w:val="001E7D80"/>
    <w:rsid w:val="001F4B6C"/>
    <w:rsid w:val="001F62CB"/>
    <w:rsid w:val="001F6ED0"/>
    <w:rsid w:val="001F72E6"/>
    <w:rsid w:val="001F73C5"/>
    <w:rsid w:val="002046A6"/>
    <w:rsid w:val="00204956"/>
    <w:rsid w:val="00210629"/>
    <w:rsid w:val="00213640"/>
    <w:rsid w:val="00221547"/>
    <w:rsid w:val="002216FC"/>
    <w:rsid w:val="00222533"/>
    <w:rsid w:val="00222F30"/>
    <w:rsid w:val="00224EE2"/>
    <w:rsid w:val="00227EC7"/>
    <w:rsid w:val="00244AD1"/>
    <w:rsid w:val="002463BC"/>
    <w:rsid w:val="002465CE"/>
    <w:rsid w:val="00247B8E"/>
    <w:rsid w:val="0025734A"/>
    <w:rsid w:val="00263255"/>
    <w:rsid w:val="00276494"/>
    <w:rsid w:val="00277B0C"/>
    <w:rsid w:val="0029244B"/>
    <w:rsid w:val="002B1A2C"/>
    <w:rsid w:val="002C34F2"/>
    <w:rsid w:val="002C58FF"/>
    <w:rsid w:val="002C7AFE"/>
    <w:rsid w:val="002D05D2"/>
    <w:rsid w:val="002E0D61"/>
    <w:rsid w:val="002E4C7B"/>
    <w:rsid w:val="002E5567"/>
    <w:rsid w:val="002F3DD7"/>
    <w:rsid w:val="003000A0"/>
    <w:rsid w:val="0030740C"/>
    <w:rsid w:val="00312120"/>
    <w:rsid w:val="003123E9"/>
    <w:rsid w:val="00313AAF"/>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53D2"/>
    <w:rsid w:val="003567A8"/>
    <w:rsid w:val="00362895"/>
    <w:rsid w:val="00363134"/>
    <w:rsid w:val="00370DBF"/>
    <w:rsid w:val="0037586D"/>
    <w:rsid w:val="00386093"/>
    <w:rsid w:val="003904A4"/>
    <w:rsid w:val="00391841"/>
    <w:rsid w:val="00391B6D"/>
    <w:rsid w:val="00394922"/>
    <w:rsid w:val="003A0E32"/>
    <w:rsid w:val="003A2B94"/>
    <w:rsid w:val="003B387D"/>
    <w:rsid w:val="003C0D58"/>
    <w:rsid w:val="003C5CDC"/>
    <w:rsid w:val="003D4FA3"/>
    <w:rsid w:val="003D5CB5"/>
    <w:rsid w:val="003E0807"/>
    <w:rsid w:val="003E51FB"/>
    <w:rsid w:val="003E6B39"/>
    <w:rsid w:val="003F07E1"/>
    <w:rsid w:val="004030BC"/>
    <w:rsid w:val="00403F7D"/>
    <w:rsid w:val="00406785"/>
    <w:rsid w:val="004079B4"/>
    <w:rsid w:val="00417A56"/>
    <w:rsid w:val="00420957"/>
    <w:rsid w:val="00422A10"/>
    <w:rsid w:val="00430179"/>
    <w:rsid w:val="00436684"/>
    <w:rsid w:val="004414B5"/>
    <w:rsid w:val="00444482"/>
    <w:rsid w:val="00444B42"/>
    <w:rsid w:val="00444E67"/>
    <w:rsid w:val="00445E44"/>
    <w:rsid w:val="004509E2"/>
    <w:rsid w:val="004515EE"/>
    <w:rsid w:val="004529F0"/>
    <w:rsid w:val="00460A03"/>
    <w:rsid w:val="0046492A"/>
    <w:rsid w:val="00472A11"/>
    <w:rsid w:val="00472AAD"/>
    <w:rsid w:val="00474E33"/>
    <w:rsid w:val="0047642C"/>
    <w:rsid w:val="00476803"/>
    <w:rsid w:val="00485BFD"/>
    <w:rsid w:val="004867A2"/>
    <w:rsid w:val="004873F2"/>
    <w:rsid w:val="00490D4C"/>
    <w:rsid w:val="00493A35"/>
    <w:rsid w:val="0049527A"/>
    <w:rsid w:val="004966BF"/>
    <w:rsid w:val="00497984"/>
    <w:rsid w:val="004A5088"/>
    <w:rsid w:val="004C1E3F"/>
    <w:rsid w:val="004C23F4"/>
    <w:rsid w:val="004C3475"/>
    <w:rsid w:val="004C401B"/>
    <w:rsid w:val="004C58B6"/>
    <w:rsid w:val="004D16A3"/>
    <w:rsid w:val="004D4AA1"/>
    <w:rsid w:val="004D6D68"/>
    <w:rsid w:val="004E5EDD"/>
    <w:rsid w:val="004F448A"/>
    <w:rsid w:val="004F493D"/>
    <w:rsid w:val="004F65E8"/>
    <w:rsid w:val="0050005E"/>
    <w:rsid w:val="00502B88"/>
    <w:rsid w:val="005142C4"/>
    <w:rsid w:val="0051509C"/>
    <w:rsid w:val="005272E2"/>
    <w:rsid w:val="00527BCC"/>
    <w:rsid w:val="0053108F"/>
    <w:rsid w:val="00532B56"/>
    <w:rsid w:val="00534B10"/>
    <w:rsid w:val="005446A2"/>
    <w:rsid w:val="00544D2F"/>
    <w:rsid w:val="0054630C"/>
    <w:rsid w:val="00551BD8"/>
    <w:rsid w:val="00581055"/>
    <w:rsid w:val="00581D44"/>
    <w:rsid w:val="00591E38"/>
    <w:rsid w:val="005A19C5"/>
    <w:rsid w:val="005A1CE3"/>
    <w:rsid w:val="005A3034"/>
    <w:rsid w:val="005A462D"/>
    <w:rsid w:val="005B253B"/>
    <w:rsid w:val="005B771D"/>
    <w:rsid w:val="005C414C"/>
    <w:rsid w:val="005C5D16"/>
    <w:rsid w:val="005D15E2"/>
    <w:rsid w:val="005D3193"/>
    <w:rsid w:val="005D4A6E"/>
    <w:rsid w:val="005E6979"/>
    <w:rsid w:val="005E75CB"/>
    <w:rsid w:val="006013C1"/>
    <w:rsid w:val="00606682"/>
    <w:rsid w:val="0060669E"/>
    <w:rsid w:val="00610F2E"/>
    <w:rsid w:val="00611399"/>
    <w:rsid w:val="00624C4E"/>
    <w:rsid w:val="00625200"/>
    <w:rsid w:val="006363A8"/>
    <w:rsid w:val="00636DB7"/>
    <w:rsid w:val="00645D9F"/>
    <w:rsid w:val="00650905"/>
    <w:rsid w:val="006532ED"/>
    <w:rsid w:val="006549F2"/>
    <w:rsid w:val="006567B7"/>
    <w:rsid w:val="00657BFB"/>
    <w:rsid w:val="0066333C"/>
    <w:rsid w:val="006639B4"/>
    <w:rsid w:val="006650FE"/>
    <w:rsid w:val="0067305D"/>
    <w:rsid w:val="006746AE"/>
    <w:rsid w:val="00677D9B"/>
    <w:rsid w:val="006867F3"/>
    <w:rsid w:val="00687890"/>
    <w:rsid w:val="006901A2"/>
    <w:rsid w:val="00690368"/>
    <w:rsid w:val="0069079C"/>
    <w:rsid w:val="00690B53"/>
    <w:rsid w:val="00695B72"/>
    <w:rsid w:val="006A6EFD"/>
    <w:rsid w:val="006B160A"/>
    <w:rsid w:val="006B4E6C"/>
    <w:rsid w:val="006B50B6"/>
    <w:rsid w:val="006C0B79"/>
    <w:rsid w:val="006D79EA"/>
    <w:rsid w:val="006E0BBD"/>
    <w:rsid w:val="006E5D05"/>
    <w:rsid w:val="00701053"/>
    <w:rsid w:val="00701507"/>
    <w:rsid w:val="0071336E"/>
    <w:rsid w:val="00714021"/>
    <w:rsid w:val="00716A0F"/>
    <w:rsid w:val="00717D45"/>
    <w:rsid w:val="007208F7"/>
    <w:rsid w:val="007218AF"/>
    <w:rsid w:val="007365D1"/>
    <w:rsid w:val="0074025E"/>
    <w:rsid w:val="00740431"/>
    <w:rsid w:val="00740E0E"/>
    <w:rsid w:val="00750212"/>
    <w:rsid w:val="00754779"/>
    <w:rsid w:val="0075716D"/>
    <w:rsid w:val="00765F14"/>
    <w:rsid w:val="00770E31"/>
    <w:rsid w:val="007770F1"/>
    <w:rsid w:val="00783FB1"/>
    <w:rsid w:val="00785CDD"/>
    <w:rsid w:val="007917C4"/>
    <w:rsid w:val="00791847"/>
    <w:rsid w:val="007925F0"/>
    <w:rsid w:val="007939B3"/>
    <w:rsid w:val="0079509C"/>
    <w:rsid w:val="00796708"/>
    <w:rsid w:val="007A2419"/>
    <w:rsid w:val="007A2C18"/>
    <w:rsid w:val="007B1B42"/>
    <w:rsid w:val="007C30EB"/>
    <w:rsid w:val="007E063C"/>
    <w:rsid w:val="007E2A4B"/>
    <w:rsid w:val="007E307D"/>
    <w:rsid w:val="007E6A4E"/>
    <w:rsid w:val="007E6C94"/>
    <w:rsid w:val="007F1005"/>
    <w:rsid w:val="007F25E0"/>
    <w:rsid w:val="007F3081"/>
    <w:rsid w:val="007F5328"/>
    <w:rsid w:val="00804F5A"/>
    <w:rsid w:val="00810C6D"/>
    <w:rsid w:val="00812887"/>
    <w:rsid w:val="00826F21"/>
    <w:rsid w:val="00834CC8"/>
    <w:rsid w:val="00835E00"/>
    <w:rsid w:val="00837113"/>
    <w:rsid w:val="008414E4"/>
    <w:rsid w:val="00843E21"/>
    <w:rsid w:val="0084508E"/>
    <w:rsid w:val="00857771"/>
    <w:rsid w:val="00857A8A"/>
    <w:rsid w:val="008630EE"/>
    <w:rsid w:val="00864D13"/>
    <w:rsid w:val="00871CD5"/>
    <w:rsid w:val="008745A2"/>
    <w:rsid w:val="008768A8"/>
    <w:rsid w:val="008859D9"/>
    <w:rsid w:val="0088798F"/>
    <w:rsid w:val="00887E4B"/>
    <w:rsid w:val="008915C8"/>
    <w:rsid w:val="008A36CF"/>
    <w:rsid w:val="008A3BBE"/>
    <w:rsid w:val="008A3BC4"/>
    <w:rsid w:val="008B403C"/>
    <w:rsid w:val="008B5661"/>
    <w:rsid w:val="008B7983"/>
    <w:rsid w:val="008C2511"/>
    <w:rsid w:val="008D026D"/>
    <w:rsid w:val="008D23AB"/>
    <w:rsid w:val="008D3D4A"/>
    <w:rsid w:val="008D4B8B"/>
    <w:rsid w:val="008D5A78"/>
    <w:rsid w:val="008E0B4A"/>
    <w:rsid w:val="008E7B64"/>
    <w:rsid w:val="008F5DCD"/>
    <w:rsid w:val="008F5E57"/>
    <w:rsid w:val="00900951"/>
    <w:rsid w:val="009118A6"/>
    <w:rsid w:val="00916909"/>
    <w:rsid w:val="00916EC0"/>
    <w:rsid w:val="0092043A"/>
    <w:rsid w:val="00920467"/>
    <w:rsid w:val="00921DE7"/>
    <w:rsid w:val="0093041A"/>
    <w:rsid w:val="00930714"/>
    <w:rsid w:val="00931B03"/>
    <w:rsid w:val="009323B9"/>
    <w:rsid w:val="00932DCE"/>
    <w:rsid w:val="0093327E"/>
    <w:rsid w:val="00934028"/>
    <w:rsid w:val="0093760E"/>
    <w:rsid w:val="00946044"/>
    <w:rsid w:val="0094660B"/>
    <w:rsid w:val="00946A33"/>
    <w:rsid w:val="009516CF"/>
    <w:rsid w:val="0095260E"/>
    <w:rsid w:val="009578DD"/>
    <w:rsid w:val="00961124"/>
    <w:rsid w:val="009621B6"/>
    <w:rsid w:val="00974F2D"/>
    <w:rsid w:val="00975D85"/>
    <w:rsid w:val="00977524"/>
    <w:rsid w:val="00977E88"/>
    <w:rsid w:val="00983E12"/>
    <w:rsid w:val="00984920"/>
    <w:rsid w:val="0099303A"/>
    <w:rsid w:val="009971C2"/>
    <w:rsid w:val="009A1254"/>
    <w:rsid w:val="009A7C00"/>
    <w:rsid w:val="009B2FF2"/>
    <w:rsid w:val="009B380C"/>
    <w:rsid w:val="009B4843"/>
    <w:rsid w:val="009B5CE0"/>
    <w:rsid w:val="009B6543"/>
    <w:rsid w:val="009C199D"/>
    <w:rsid w:val="009C278F"/>
    <w:rsid w:val="009C2B94"/>
    <w:rsid w:val="009C5874"/>
    <w:rsid w:val="009C756F"/>
    <w:rsid w:val="009D2450"/>
    <w:rsid w:val="009D3B5A"/>
    <w:rsid w:val="009E0226"/>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53681"/>
    <w:rsid w:val="00A633D4"/>
    <w:rsid w:val="00A645AD"/>
    <w:rsid w:val="00A6461A"/>
    <w:rsid w:val="00A77A2B"/>
    <w:rsid w:val="00A84504"/>
    <w:rsid w:val="00A8672F"/>
    <w:rsid w:val="00A93057"/>
    <w:rsid w:val="00A968B0"/>
    <w:rsid w:val="00AB2672"/>
    <w:rsid w:val="00AB2817"/>
    <w:rsid w:val="00AB43C4"/>
    <w:rsid w:val="00AC32E7"/>
    <w:rsid w:val="00AC3A9F"/>
    <w:rsid w:val="00AC6D2F"/>
    <w:rsid w:val="00AD628D"/>
    <w:rsid w:val="00AE2745"/>
    <w:rsid w:val="00AE2F64"/>
    <w:rsid w:val="00AF42CB"/>
    <w:rsid w:val="00AF483F"/>
    <w:rsid w:val="00AF5E07"/>
    <w:rsid w:val="00AF5F06"/>
    <w:rsid w:val="00B00A25"/>
    <w:rsid w:val="00B10B73"/>
    <w:rsid w:val="00B10FE8"/>
    <w:rsid w:val="00B1422A"/>
    <w:rsid w:val="00B1466D"/>
    <w:rsid w:val="00B1765C"/>
    <w:rsid w:val="00B213C4"/>
    <w:rsid w:val="00B40C60"/>
    <w:rsid w:val="00B40ECF"/>
    <w:rsid w:val="00B479A9"/>
    <w:rsid w:val="00B52EDF"/>
    <w:rsid w:val="00B70CBB"/>
    <w:rsid w:val="00B71188"/>
    <w:rsid w:val="00B76A41"/>
    <w:rsid w:val="00B872ED"/>
    <w:rsid w:val="00B87D4C"/>
    <w:rsid w:val="00B93646"/>
    <w:rsid w:val="00BA0B38"/>
    <w:rsid w:val="00BA1DBB"/>
    <w:rsid w:val="00BA4510"/>
    <w:rsid w:val="00BA529A"/>
    <w:rsid w:val="00BB612A"/>
    <w:rsid w:val="00BC2A4C"/>
    <w:rsid w:val="00BD499F"/>
    <w:rsid w:val="00BD56DE"/>
    <w:rsid w:val="00BF2406"/>
    <w:rsid w:val="00C06E43"/>
    <w:rsid w:val="00C16315"/>
    <w:rsid w:val="00C275A0"/>
    <w:rsid w:val="00C3091E"/>
    <w:rsid w:val="00C40FF1"/>
    <w:rsid w:val="00C41166"/>
    <w:rsid w:val="00C419E2"/>
    <w:rsid w:val="00C470E5"/>
    <w:rsid w:val="00C5020E"/>
    <w:rsid w:val="00C57452"/>
    <w:rsid w:val="00C574C2"/>
    <w:rsid w:val="00C61EDF"/>
    <w:rsid w:val="00C6239D"/>
    <w:rsid w:val="00C63A64"/>
    <w:rsid w:val="00C6594B"/>
    <w:rsid w:val="00C67FFB"/>
    <w:rsid w:val="00C7155E"/>
    <w:rsid w:val="00C71D1E"/>
    <w:rsid w:val="00C71D7D"/>
    <w:rsid w:val="00C74833"/>
    <w:rsid w:val="00C850A0"/>
    <w:rsid w:val="00C85A86"/>
    <w:rsid w:val="00C978F0"/>
    <w:rsid w:val="00CA58FE"/>
    <w:rsid w:val="00CB1CB1"/>
    <w:rsid w:val="00CB6BC1"/>
    <w:rsid w:val="00CB6CB8"/>
    <w:rsid w:val="00CC1A68"/>
    <w:rsid w:val="00CC2123"/>
    <w:rsid w:val="00CD2BFD"/>
    <w:rsid w:val="00CE5AD6"/>
    <w:rsid w:val="00CE617F"/>
    <w:rsid w:val="00CE78EF"/>
    <w:rsid w:val="00D048F7"/>
    <w:rsid w:val="00D0517E"/>
    <w:rsid w:val="00D05E1F"/>
    <w:rsid w:val="00D140FC"/>
    <w:rsid w:val="00D21D8C"/>
    <w:rsid w:val="00D31357"/>
    <w:rsid w:val="00D33220"/>
    <w:rsid w:val="00D334D1"/>
    <w:rsid w:val="00D44C89"/>
    <w:rsid w:val="00D516CD"/>
    <w:rsid w:val="00D668E6"/>
    <w:rsid w:val="00D70670"/>
    <w:rsid w:val="00D74D80"/>
    <w:rsid w:val="00D76624"/>
    <w:rsid w:val="00D87570"/>
    <w:rsid w:val="00D91CB9"/>
    <w:rsid w:val="00D97989"/>
    <w:rsid w:val="00D97D8D"/>
    <w:rsid w:val="00DA352E"/>
    <w:rsid w:val="00DC7694"/>
    <w:rsid w:val="00DD1BF6"/>
    <w:rsid w:val="00DD2F9B"/>
    <w:rsid w:val="00DD4601"/>
    <w:rsid w:val="00DE2513"/>
    <w:rsid w:val="00DE26E8"/>
    <w:rsid w:val="00DE6AEA"/>
    <w:rsid w:val="00DF6F36"/>
    <w:rsid w:val="00DF7DF1"/>
    <w:rsid w:val="00E0084C"/>
    <w:rsid w:val="00E025AB"/>
    <w:rsid w:val="00E02B23"/>
    <w:rsid w:val="00E06F40"/>
    <w:rsid w:val="00E07CE8"/>
    <w:rsid w:val="00E16F6F"/>
    <w:rsid w:val="00E26A07"/>
    <w:rsid w:val="00E32595"/>
    <w:rsid w:val="00E37CFD"/>
    <w:rsid w:val="00E41A26"/>
    <w:rsid w:val="00E46BCB"/>
    <w:rsid w:val="00E51CAF"/>
    <w:rsid w:val="00E54D33"/>
    <w:rsid w:val="00E60F04"/>
    <w:rsid w:val="00E62AAC"/>
    <w:rsid w:val="00E6431E"/>
    <w:rsid w:val="00E67C2F"/>
    <w:rsid w:val="00E67EF5"/>
    <w:rsid w:val="00E804EA"/>
    <w:rsid w:val="00E80A71"/>
    <w:rsid w:val="00E8153F"/>
    <w:rsid w:val="00E82337"/>
    <w:rsid w:val="00E92499"/>
    <w:rsid w:val="00E9359A"/>
    <w:rsid w:val="00E949AF"/>
    <w:rsid w:val="00E96077"/>
    <w:rsid w:val="00EA0A06"/>
    <w:rsid w:val="00EA4CE0"/>
    <w:rsid w:val="00EA6243"/>
    <w:rsid w:val="00EA74AB"/>
    <w:rsid w:val="00EB3D1B"/>
    <w:rsid w:val="00EB46BE"/>
    <w:rsid w:val="00ED1D89"/>
    <w:rsid w:val="00ED66BC"/>
    <w:rsid w:val="00EF233A"/>
    <w:rsid w:val="00EF303E"/>
    <w:rsid w:val="00EF3A40"/>
    <w:rsid w:val="00EF7F78"/>
    <w:rsid w:val="00F01B08"/>
    <w:rsid w:val="00F01C4D"/>
    <w:rsid w:val="00F053FA"/>
    <w:rsid w:val="00F10C97"/>
    <w:rsid w:val="00F11C71"/>
    <w:rsid w:val="00F16019"/>
    <w:rsid w:val="00F20E68"/>
    <w:rsid w:val="00F22093"/>
    <w:rsid w:val="00F236DF"/>
    <w:rsid w:val="00F25B73"/>
    <w:rsid w:val="00F278D5"/>
    <w:rsid w:val="00F30B81"/>
    <w:rsid w:val="00F37012"/>
    <w:rsid w:val="00F43AD5"/>
    <w:rsid w:val="00F4402E"/>
    <w:rsid w:val="00F56DD0"/>
    <w:rsid w:val="00F6491C"/>
    <w:rsid w:val="00F67BBB"/>
    <w:rsid w:val="00F82B51"/>
    <w:rsid w:val="00F87D92"/>
    <w:rsid w:val="00F90AA7"/>
    <w:rsid w:val="00F92498"/>
    <w:rsid w:val="00F92808"/>
    <w:rsid w:val="00F9496B"/>
    <w:rsid w:val="00F970C9"/>
    <w:rsid w:val="00FA06A8"/>
    <w:rsid w:val="00FA3DF5"/>
    <w:rsid w:val="00FA741F"/>
    <w:rsid w:val="00FB4E07"/>
    <w:rsid w:val="00FB755A"/>
    <w:rsid w:val="00FC60A2"/>
    <w:rsid w:val="00FD16AE"/>
    <w:rsid w:val="00FD1871"/>
    <w:rsid w:val="00FD3110"/>
    <w:rsid w:val="00FD54FC"/>
    <w:rsid w:val="00FF5C3D"/>
    <w:rsid w:val="00FF7E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90CA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Bullet">
    <w:name w:val="List Bullet"/>
    <w:basedOn w:val="Normal"/>
    <w:uiPriority w:val="99"/>
    <w:unhideWhenUsed/>
    <w:rsid w:val="00E16F6F"/>
    <w:pPr>
      <w:numPr>
        <w:numId w:val="1"/>
      </w:numPr>
      <w:contextualSpacing/>
    </w:pPr>
  </w:style>
  <w:style w:type="character" w:styleId="CommentReference">
    <w:name w:val="annotation reference"/>
    <w:basedOn w:val="DefaultParagraphFont"/>
    <w:uiPriority w:val="99"/>
    <w:semiHidden/>
    <w:unhideWhenUsed/>
    <w:rsid w:val="00C63A64"/>
    <w:rPr>
      <w:sz w:val="16"/>
      <w:szCs w:val="16"/>
    </w:rPr>
  </w:style>
  <w:style w:type="paragraph" w:styleId="CommentText">
    <w:name w:val="annotation text"/>
    <w:basedOn w:val="Normal"/>
    <w:link w:val="CommentTextChar"/>
    <w:uiPriority w:val="99"/>
    <w:semiHidden/>
    <w:unhideWhenUsed/>
    <w:rsid w:val="00C63A64"/>
    <w:pPr>
      <w:spacing w:line="240" w:lineRule="auto"/>
    </w:pPr>
    <w:rPr>
      <w:szCs w:val="20"/>
    </w:rPr>
  </w:style>
  <w:style w:type="character" w:customStyle="1" w:styleId="CommentTextChar">
    <w:name w:val="Comment Text Char"/>
    <w:basedOn w:val="DefaultParagraphFont"/>
    <w:link w:val="CommentText"/>
    <w:uiPriority w:val="99"/>
    <w:semiHidden/>
    <w:rsid w:val="00C63A64"/>
    <w:rPr>
      <w:szCs w:val="20"/>
    </w:rPr>
  </w:style>
  <w:style w:type="paragraph" w:styleId="CommentSubject">
    <w:name w:val="annotation subject"/>
    <w:basedOn w:val="CommentText"/>
    <w:next w:val="CommentText"/>
    <w:link w:val="CommentSubjectChar"/>
    <w:uiPriority w:val="99"/>
    <w:semiHidden/>
    <w:unhideWhenUsed/>
    <w:rsid w:val="00C63A64"/>
    <w:rPr>
      <w:b/>
      <w:bCs/>
    </w:rPr>
  </w:style>
  <w:style w:type="character" w:customStyle="1" w:styleId="CommentSubjectChar">
    <w:name w:val="Comment Subject Char"/>
    <w:basedOn w:val="CommentTextChar"/>
    <w:link w:val="CommentSubject"/>
    <w:uiPriority w:val="99"/>
    <w:semiHidden/>
    <w:rsid w:val="00C63A64"/>
    <w:rPr>
      <w:b/>
      <w:bCs/>
      <w:szCs w:val="20"/>
    </w:rPr>
  </w:style>
  <w:style w:type="paragraph" w:styleId="Revision">
    <w:name w:val="Revision"/>
    <w:hidden/>
    <w:uiPriority w:val="99"/>
    <w:semiHidden/>
    <w:rsid w:val="00E643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552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3729C42BD90A4B7FB922FA362742FAC6"/>
        <w:category>
          <w:name w:val="General"/>
          <w:gallery w:val="placeholder"/>
        </w:category>
        <w:types>
          <w:type w:val="bbPlcHdr"/>
        </w:types>
        <w:behaviors>
          <w:behavior w:val="content"/>
        </w:behaviors>
        <w:guid w:val="{F574134C-23D8-4FC7-B2A4-6CB40F3E7323}"/>
      </w:docPartPr>
      <w:docPartBody>
        <w:p w:rsidR="005C4A6B" w:rsidRDefault="009F2F92" w:rsidP="009F2F92">
          <w:pPr>
            <w:pStyle w:val="3729C42BD90A4B7FB922FA362742FAC6"/>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2F196C"/>
    <w:rsid w:val="00363134"/>
    <w:rsid w:val="003E613A"/>
    <w:rsid w:val="005C4A6B"/>
    <w:rsid w:val="00940F9D"/>
    <w:rsid w:val="009F2F92"/>
    <w:rsid w:val="00D21A9F"/>
    <w:rsid w:val="00FD16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2F92"/>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CFFDE270CB50461B826B0194984892C5">
    <w:name w:val="CFFDE270CB50461B826B0194984892C5"/>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3729C42BD90A4B7FB922FA362742FAC6">
    <w:name w:val="3729C42BD90A4B7FB922FA362742FAC6"/>
    <w:rsid w:val="009F2F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D45158-CD7F-4483-B1A3-DAFC6399AF91}">
  <ds:schemaRefs>
    <ds:schemaRef ds:uri="http://schemas.microsoft.com/sharepoint/v3/contenttype/forms"/>
  </ds:schemaRefs>
</ds:datastoreItem>
</file>

<file path=customXml/itemProps2.xml><?xml version="1.0" encoding="utf-8"?>
<ds:datastoreItem xmlns:ds="http://schemas.openxmlformats.org/officeDocument/2006/customXml" ds:itemID="{6D90B6D8-0377-46F6-9609-0272ACCF14F4}">
  <ds:schemaRefs>
    <ds:schemaRef ds:uri="1c567317-0c4d-4a62-8516-c22afd1b5354"/>
    <ds:schemaRef ds:uri="http://purl.org/dc/elements/1.1/"/>
    <ds:schemaRef ds:uri="http://purl.org/dc/dcmitype/"/>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a0509f21-ed56-4150-9955-96be669e5f2d"/>
    <ds:schemaRef ds:uri="http://purl.org/dc/terms/"/>
  </ds:schemaRefs>
</ds:datastoreItem>
</file>

<file path=customXml/itemProps3.xml><?xml version="1.0" encoding="utf-8"?>
<ds:datastoreItem xmlns:ds="http://schemas.openxmlformats.org/officeDocument/2006/customXml" ds:itemID="{A0A69485-16A8-4AE4-980C-6053EED8B9A0}">
  <ds:schemaRefs>
    <ds:schemaRef ds:uri="http://schemas.openxmlformats.org/officeDocument/2006/bibliography"/>
  </ds:schemaRefs>
</ds:datastoreItem>
</file>

<file path=customXml/itemProps4.xml><?xml version="1.0" encoding="utf-8"?>
<ds:datastoreItem xmlns:ds="http://schemas.openxmlformats.org/officeDocument/2006/customXml" ds:itemID="{C0AC2C20-C8B0-4948-AFF2-842852146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1300</Words>
  <Characters>7867</Characters>
  <Application>Microsoft Office Word</Application>
  <DocSecurity>0</DocSecurity>
  <Lines>271</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2019-11-15T05:17:00Z</dcterms:created>
  <dcterms:modified xsi:type="dcterms:W3CDTF">2026-01-08T23:36:00Z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2025-12-23T00:29:55Z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9332bce8-7a74-46b3-a82f-4391e36ed9f2</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