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27D3558" w14:textId="4DB77BBE" w:rsidR="00BD499F" w:rsidRPr="004C23F4" w:rsidRDefault="00E008F9" w:rsidP="00B40C60">
          <w:pPr>
            <w:pStyle w:val="Heading1"/>
            <w:jc w:val="center"/>
            <w:rPr>
              <w:rFonts w:ascii="Arial" w:hAnsi="Arial" w:cs="Arial"/>
            </w:rPr>
          </w:pPr>
          <w:r w:rsidRPr="00E008F9">
            <w:rPr>
              <w:rFonts w:ascii="Arial" w:hAnsi="Arial" w:cs="Arial"/>
            </w:rPr>
            <w:t>2,6-Di-tert-butyl-p-cresol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4CEC2349" w14:textId="77777777" w:rsidTr="00B76A41">
        <w:trPr>
          <w:cantSplit/>
          <w:tblHeader/>
        </w:trPr>
        <w:tc>
          <w:tcPr>
            <w:tcW w:w="4077" w:type="dxa"/>
          </w:tcPr>
          <w:p w14:paraId="187416C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89BD2A0" w14:textId="490D6931" w:rsidR="00F43AD5" w:rsidRPr="00717D45" w:rsidRDefault="00E008F9" w:rsidP="00B76A41">
            <w:pPr>
              <w:pStyle w:val="Tablefont"/>
            </w:pPr>
            <w:r w:rsidRPr="00E008F9">
              <w:t>128-37-0</w:t>
            </w:r>
          </w:p>
        </w:tc>
      </w:tr>
      <w:tr w:rsidR="00F43AD5" w:rsidRPr="004C23F4" w14:paraId="7EF207D1" w14:textId="77777777" w:rsidTr="00B76A41">
        <w:trPr>
          <w:cantSplit/>
        </w:trPr>
        <w:tc>
          <w:tcPr>
            <w:tcW w:w="4077" w:type="dxa"/>
          </w:tcPr>
          <w:p w14:paraId="1A12753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127CD0B" w14:textId="1C483FF8" w:rsidR="00F43AD5" w:rsidRPr="00717D45" w:rsidRDefault="00E008F9" w:rsidP="00B76A41">
            <w:pPr>
              <w:pStyle w:val="Tablefont"/>
            </w:pPr>
            <w:proofErr w:type="spellStart"/>
            <w:r>
              <w:t>BHT</w:t>
            </w:r>
            <w:proofErr w:type="spellEnd"/>
            <w:r>
              <w:t xml:space="preserve">, </w:t>
            </w:r>
            <w:proofErr w:type="spellStart"/>
            <w:r>
              <w:t>DBPD</w:t>
            </w:r>
            <w:proofErr w:type="spellEnd"/>
            <w:r>
              <w:t>, 2,6-bis(1,1-</w:t>
            </w:r>
            <w:proofErr w:type="spellStart"/>
            <w:r>
              <w:t>Dimethylethyl</w:t>
            </w:r>
            <w:proofErr w:type="spellEnd"/>
            <w:r>
              <w:t>)-4-</w:t>
            </w:r>
            <w:proofErr w:type="spellStart"/>
            <w:r>
              <w:t>methylphenol</w:t>
            </w:r>
            <w:proofErr w:type="spellEnd"/>
            <w:r>
              <w:t xml:space="preserve">, </w:t>
            </w:r>
            <w:r w:rsidR="004724B1">
              <w:t>b</w:t>
            </w:r>
            <w:r w:rsidR="004724B1" w:rsidRPr="00E008F9">
              <w:t xml:space="preserve">utylated </w:t>
            </w:r>
            <w:r w:rsidRPr="00E008F9">
              <w:t>hydroxytoluene</w:t>
            </w:r>
          </w:p>
        </w:tc>
      </w:tr>
      <w:tr w:rsidR="00F43AD5" w:rsidRPr="004C23F4" w14:paraId="0F54B014" w14:textId="77777777" w:rsidTr="00B76A41">
        <w:trPr>
          <w:cantSplit/>
        </w:trPr>
        <w:tc>
          <w:tcPr>
            <w:tcW w:w="4077" w:type="dxa"/>
          </w:tcPr>
          <w:p w14:paraId="2622E18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333A52F" w14:textId="4B62B181" w:rsidR="00F43AD5" w:rsidRPr="00717D45" w:rsidRDefault="00E008F9" w:rsidP="00B76A41">
            <w:pPr>
              <w:pStyle w:val="Tablefont"/>
            </w:pPr>
            <w:proofErr w:type="spellStart"/>
            <w:r>
              <w:t>C</w:t>
            </w:r>
            <w:r w:rsidRPr="00E008F9">
              <w:rPr>
                <w:vertAlign w:val="subscript"/>
              </w:rPr>
              <w:t>15</w:t>
            </w:r>
            <w:r>
              <w:t>H</w:t>
            </w:r>
            <w:r w:rsidRPr="00E008F9">
              <w:rPr>
                <w:vertAlign w:val="subscript"/>
              </w:rPr>
              <w:t>24</w:t>
            </w:r>
            <w:r>
              <w:t>O</w:t>
            </w:r>
            <w:proofErr w:type="spellEnd"/>
          </w:p>
        </w:tc>
      </w:tr>
      <w:tr w:rsidR="00F43AD5" w:rsidRPr="004C23F4" w14:paraId="304802C6" w14:textId="77777777" w:rsidTr="00B76A41">
        <w:trPr>
          <w:cantSplit/>
        </w:trPr>
        <w:tc>
          <w:tcPr>
            <w:tcW w:w="4077" w:type="dxa"/>
          </w:tcPr>
          <w:p w14:paraId="3EF3A4F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40D60D1" w14:textId="568CFE98" w:rsidR="00F43AD5" w:rsidRPr="00B40C60" w:rsidRDefault="00E008F9" w:rsidP="00B76A41">
            <w:pPr>
              <w:pStyle w:val="Tablerowheading"/>
              <w:rPr>
                <w:b w:val="0"/>
              </w:rPr>
            </w:pPr>
            <w:r w:rsidRPr="00E008F9">
              <w:rPr>
                <w:b w:val="0"/>
              </w:rPr>
              <w:t>—</w:t>
            </w:r>
          </w:p>
        </w:tc>
      </w:tr>
    </w:tbl>
    <w:p w14:paraId="559F3F65" w14:textId="5B2FC45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726DA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6FCD170" w14:textId="77777777" w:rsidTr="0099183E">
        <w:trPr>
          <w:cantSplit/>
          <w:tblHeader/>
        </w:trPr>
        <w:tc>
          <w:tcPr>
            <w:tcW w:w="4005" w:type="dxa"/>
            <w:vAlign w:val="center"/>
          </w:tcPr>
          <w:p w14:paraId="594FDAE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78CFE18" w14:textId="13136BA2" w:rsidR="002C7AFE" w:rsidRPr="00B976DC" w:rsidRDefault="00B726DA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 xml:space="preserve">10 </w:t>
            </w:r>
            <w:r w:rsidR="00B976DC">
              <w:rPr>
                <w:b/>
              </w:rPr>
              <w:t>mg/</w:t>
            </w:r>
            <w:proofErr w:type="spellStart"/>
            <w:r w:rsidR="00B976DC">
              <w:rPr>
                <w:b/>
              </w:rPr>
              <w:t>m</w:t>
            </w:r>
            <w:r w:rsidR="00B976DC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222191B7" w14:textId="77777777" w:rsidTr="0099183E">
        <w:trPr>
          <w:cantSplit/>
        </w:trPr>
        <w:tc>
          <w:tcPr>
            <w:tcW w:w="4005" w:type="dxa"/>
            <w:vAlign w:val="center"/>
          </w:tcPr>
          <w:p w14:paraId="4BFB6CA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7855BDB" w14:textId="0D5DE3D3" w:rsidR="002C7AFE" w:rsidRPr="00EB3D1B" w:rsidRDefault="004724B1" w:rsidP="00017C82">
            <w:pPr>
              <w:pStyle w:val="Tablefont"/>
              <w:rPr>
                <w:b/>
              </w:rPr>
            </w:pPr>
            <w:r w:rsidRPr="00DA54B2">
              <w:rPr>
                <w:b/>
              </w:rPr>
              <w:t>—</w:t>
            </w:r>
          </w:p>
        </w:tc>
      </w:tr>
      <w:tr w:rsidR="002C7AFE" w:rsidRPr="004C23F4" w14:paraId="45A971A4" w14:textId="77777777" w:rsidTr="0099183E">
        <w:trPr>
          <w:cantSplit/>
        </w:trPr>
        <w:tc>
          <w:tcPr>
            <w:tcW w:w="4005" w:type="dxa"/>
            <w:vAlign w:val="center"/>
          </w:tcPr>
          <w:p w14:paraId="7CDFD2F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1AC9A55" w14:textId="65F9BD24" w:rsidR="002C7AFE" w:rsidRPr="00EB3D1B" w:rsidRDefault="004724B1" w:rsidP="00017C82">
            <w:pPr>
              <w:pStyle w:val="Tablefont"/>
              <w:rPr>
                <w:b/>
              </w:rPr>
            </w:pPr>
            <w:r w:rsidRPr="00DA54B2">
              <w:rPr>
                <w:b/>
              </w:rPr>
              <w:t>—</w:t>
            </w:r>
          </w:p>
        </w:tc>
      </w:tr>
      <w:tr w:rsidR="002C7AFE" w:rsidRPr="004C23F4" w14:paraId="7D2428BD" w14:textId="77777777" w:rsidTr="0099183E">
        <w:trPr>
          <w:cantSplit/>
        </w:trPr>
        <w:tc>
          <w:tcPr>
            <w:tcW w:w="4005" w:type="dxa"/>
          </w:tcPr>
          <w:p w14:paraId="1079745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E715705" w14:textId="610DF40C" w:rsidR="002C7AFE" w:rsidRPr="00EB3D1B" w:rsidRDefault="00CC6F4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4B1A9296" w14:textId="77777777" w:rsidTr="0099183E">
        <w:trPr>
          <w:cantSplit/>
        </w:trPr>
        <w:tc>
          <w:tcPr>
            <w:tcW w:w="4005" w:type="dxa"/>
            <w:vAlign w:val="center"/>
          </w:tcPr>
          <w:p w14:paraId="6F3BD743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65BE283D" w14:textId="7F1AF163" w:rsidR="002C7AFE" w:rsidRPr="004724B1" w:rsidRDefault="00E008F9" w:rsidP="00017C82">
            <w:pPr>
              <w:pStyle w:val="Tablefont"/>
              <w:rPr>
                <w:b/>
              </w:rPr>
            </w:pPr>
            <w:r w:rsidRPr="0099183E">
              <w:rPr>
                <w:b/>
              </w:rPr>
              <w:t>—</w:t>
            </w:r>
          </w:p>
        </w:tc>
      </w:tr>
      <w:tr w:rsidR="0099183E" w:rsidRPr="004C23F4" w14:paraId="22767BAB" w14:textId="77777777" w:rsidTr="003C6614">
        <w:trPr>
          <w:cantSplit/>
        </w:trPr>
        <w:tc>
          <w:tcPr>
            <w:tcW w:w="9026" w:type="dxa"/>
            <w:gridSpan w:val="2"/>
            <w:vAlign w:val="center"/>
          </w:tcPr>
          <w:p w14:paraId="3ACB4082" w14:textId="02C34A2E" w:rsidR="0099183E" w:rsidRPr="00EB3D1B" w:rsidRDefault="0099183E" w:rsidP="0099183E">
            <w:pPr>
              <w:pStyle w:val="Tablefont"/>
              <w:rPr>
                <w:b/>
              </w:rPr>
            </w:pPr>
            <w:r w:rsidRPr="002F5D53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34B1AB178BA4BEA9D12FF49CAB7655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2F5D5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6730AB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66DEB49" w14:textId="28DA909A" w:rsidR="006639B4" w:rsidRDefault="00B976DC" w:rsidP="000C139A">
      <w:pPr>
        <w:rPr>
          <w:rFonts w:cs="Arial"/>
        </w:rPr>
      </w:pPr>
      <w:r>
        <w:rPr>
          <w:rFonts w:cs="Arial"/>
        </w:rPr>
        <w:t>A</w:t>
      </w:r>
      <w:r w:rsidR="00B00CAC">
        <w:rPr>
          <w:rFonts w:cs="Arial"/>
        </w:rPr>
        <w:t>n interim</w:t>
      </w:r>
      <w:r>
        <w:rPr>
          <w:rFonts w:cs="Arial"/>
        </w:rPr>
        <w:t xml:space="preserve"> TWA of </w:t>
      </w:r>
      <w:r w:rsidR="00B726DA">
        <w:rPr>
          <w:rFonts w:cs="Arial"/>
        </w:rPr>
        <w:t>10</w:t>
      </w:r>
      <w:r>
        <w:rPr>
          <w:rFonts w:cs="Arial"/>
        </w:rPr>
        <w:t xml:space="preserve">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is recommended to protect for</w:t>
      </w:r>
      <w:r w:rsidR="00C43F8E">
        <w:rPr>
          <w:rFonts w:cs="Arial"/>
        </w:rPr>
        <w:t xml:space="preserve"> </w:t>
      </w:r>
      <w:r w:rsidR="00A14241">
        <w:rPr>
          <w:rFonts w:cs="Arial"/>
        </w:rPr>
        <w:t xml:space="preserve">adverse </w:t>
      </w:r>
      <w:r w:rsidR="00B726DA">
        <w:rPr>
          <w:rFonts w:cs="Arial"/>
        </w:rPr>
        <w:t>effects on the liver in</w:t>
      </w:r>
      <w:r>
        <w:rPr>
          <w:rFonts w:cs="Arial"/>
        </w:rPr>
        <w:t xml:space="preserve"> exposed workers.</w:t>
      </w:r>
    </w:p>
    <w:p w14:paraId="7599D438" w14:textId="77777777" w:rsidR="00EF5008" w:rsidRDefault="00EF5008" w:rsidP="00EF5008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71E8383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B43A070" w14:textId="68E1E281" w:rsidR="00EF7E48" w:rsidRDefault="005E6265" w:rsidP="00B976DC">
      <w:r>
        <w:t>2,6-Di-tert-butyl-</w:t>
      </w:r>
      <w:r w:rsidRPr="005E6265">
        <w:rPr>
          <w:i/>
        </w:rPr>
        <w:t>p</w:t>
      </w:r>
      <w:r>
        <w:t>-cresol (</w:t>
      </w:r>
      <w:proofErr w:type="spellStart"/>
      <w:r>
        <w:t>BHT</w:t>
      </w:r>
      <w:proofErr w:type="spellEnd"/>
      <w:r>
        <w:t>) is used in ground vehicle and aviation fuels</w:t>
      </w:r>
      <w:r w:rsidR="00EF7E48">
        <w:t>,</w:t>
      </w:r>
      <w:r>
        <w:t xml:space="preserve"> lubrica</w:t>
      </w:r>
      <w:r w:rsidR="00C43F8E">
        <w:t>nts</w:t>
      </w:r>
      <w:r>
        <w:t>, tu</w:t>
      </w:r>
      <w:r w:rsidR="006909D2">
        <w:t>rbine</w:t>
      </w:r>
      <w:r w:rsidR="00C43F8E">
        <w:t>s</w:t>
      </w:r>
      <w:r w:rsidR="006909D2">
        <w:t xml:space="preserve"> and insulating oils. </w:t>
      </w:r>
      <w:proofErr w:type="spellStart"/>
      <w:r w:rsidR="006909D2">
        <w:t>BHT</w:t>
      </w:r>
      <w:proofErr w:type="spellEnd"/>
      <w:r w:rsidR="006909D2">
        <w:t xml:space="preserve"> is also used as a food antioxidant and in </w:t>
      </w:r>
      <w:r>
        <w:t>food packaging materials.</w:t>
      </w:r>
      <w:r w:rsidR="00B976DC">
        <w:t xml:space="preserve"> </w:t>
      </w:r>
    </w:p>
    <w:p w14:paraId="089D08D8" w14:textId="36CA9869" w:rsidR="00B976DC" w:rsidRDefault="000875AC" w:rsidP="00B976DC">
      <w:r w:rsidRPr="00451876">
        <w:rPr>
          <w:color w:val="000000" w:themeColor="text1"/>
        </w:rPr>
        <w:t xml:space="preserve">Critical </w:t>
      </w:r>
      <w:r w:rsidR="00646411" w:rsidRPr="00451876">
        <w:rPr>
          <w:color w:val="000000" w:themeColor="text1"/>
        </w:rPr>
        <w:t>effects</w:t>
      </w:r>
      <w:r w:rsidR="002E5A3D" w:rsidRPr="00451876">
        <w:rPr>
          <w:color w:val="000000" w:themeColor="text1"/>
        </w:rPr>
        <w:t xml:space="preserve"> of exposure</w:t>
      </w:r>
      <w:r w:rsidR="00646411" w:rsidRPr="00451876">
        <w:rPr>
          <w:color w:val="000000" w:themeColor="text1"/>
        </w:rPr>
        <w:t xml:space="preserve"> include respiratory irritation and </w:t>
      </w:r>
      <w:r w:rsidR="007D4900" w:rsidRPr="00451876">
        <w:rPr>
          <w:color w:val="000000" w:themeColor="text1"/>
        </w:rPr>
        <w:t>effects of the liver</w:t>
      </w:r>
      <w:r w:rsidR="00B976DC" w:rsidRPr="00451876">
        <w:rPr>
          <w:color w:val="000000" w:themeColor="text1"/>
        </w:rPr>
        <w:t xml:space="preserve">. </w:t>
      </w:r>
      <w:r w:rsidR="00B00CAC" w:rsidRPr="00451876">
        <w:rPr>
          <w:color w:val="000000" w:themeColor="text1"/>
        </w:rPr>
        <w:t xml:space="preserve">Limited </w:t>
      </w:r>
      <w:r w:rsidR="00B00CAC">
        <w:rPr>
          <w:color w:val="000000" w:themeColor="text1"/>
        </w:rPr>
        <w:t xml:space="preserve">human </w:t>
      </w:r>
      <w:r w:rsidR="00B00CAC" w:rsidRPr="00451876">
        <w:rPr>
          <w:color w:val="000000" w:themeColor="text1"/>
        </w:rPr>
        <w:t xml:space="preserve">toxicological data </w:t>
      </w:r>
      <w:r w:rsidR="00B00CAC">
        <w:rPr>
          <w:color w:val="000000" w:themeColor="text1"/>
        </w:rPr>
        <w:t xml:space="preserve">are </w:t>
      </w:r>
      <w:r w:rsidR="00B00CAC" w:rsidRPr="00451876">
        <w:rPr>
          <w:color w:val="000000" w:themeColor="text1"/>
        </w:rPr>
        <w:t xml:space="preserve">available. </w:t>
      </w:r>
      <w:r w:rsidR="002E3BC3" w:rsidRPr="00451876">
        <w:rPr>
          <w:color w:val="000000" w:themeColor="text1"/>
        </w:rPr>
        <w:t xml:space="preserve">The </w:t>
      </w:r>
      <w:proofErr w:type="spellStart"/>
      <w:r w:rsidR="002E3BC3" w:rsidRPr="00451876">
        <w:rPr>
          <w:color w:val="000000" w:themeColor="text1"/>
        </w:rPr>
        <w:t>ACGIH</w:t>
      </w:r>
      <w:proofErr w:type="spellEnd"/>
      <w:r w:rsidR="002E5A3D" w:rsidRPr="00451876">
        <w:rPr>
          <w:color w:val="000000" w:themeColor="text1"/>
        </w:rPr>
        <w:t xml:space="preserve"> </w:t>
      </w:r>
      <w:r w:rsidR="00451876" w:rsidRPr="00451876">
        <w:rPr>
          <w:color w:val="000000" w:themeColor="text1"/>
        </w:rPr>
        <w:t xml:space="preserve">(2018) </w:t>
      </w:r>
      <w:r w:rsidR="002E5A3D" w:rsidRPr="00451876">
        <w:rPr>
          <w:color w:val="000000" w:themeColor="text1"/>
        </w:rPr>
        <w:t>report</w:t>
      </w:r>
      <w:r w:rsidR="00B00CAC">
        <w:rPr>
          <w:color w:val="000000" w:themeColor="text1"/>
        </w:rPr>
        <w:t>s</w:t>
      </w:r>
      <w:r w:rsidR="002E5A3D" w:rsidRPr="00451876">
        <w:rPr>
          <w:color w:val="000000" w:themeColor="text1"/>
        </w:rPr>
        <w:t xml:space="preserve"> a</w:t>
      </w:r>
      <w:r w:rsidR="00B976DC" w:rsidRPr="00451876">
        <w:rPr>
          <w:color w:val="000000" w:themeColor="text1"/>
        </w:rPr>
        <w:t xml:space="preserve"> calculated</w:t>
      </w:r>
      <w:r w:rsidR="00800387" w:rsidRPr="00451876">
        <w:rPr>
          <w:color w:val="000000" w:themeColor="text1"/>
        </w:rPr>
        <w:t xml:space="preserve"> </w:t>
      </w:r>
      <w:r w:rsidR="00800387" w:rsidRPr="00451876">
        <w:rPr>
          <w:rStyle w:val="st1"/>
          <w:rFonts w:cs="Arial"/>
          <w:color w:val="000000" w:themeColor="text1"/>
          <w:szCs w:val="20"/>
        </w:rPr>
        <w:t xml:space="preserve">exposure concentration </w:t>
      </w:r>
      <w:r w:rsidR="00B00CAC">
        <w:rPr>
          <w:rStyle w:val="st1"/>
          <w:rFonts w:cs="Arial"/>
          <w:color w:val="000000" w:themeColor="text1"/>
          <w:szCs w:val="20"/>
        </w:rPr>
        <w:t>that</w:t>
      </w:r>
      <w:r w:rsidR="00800387" w:rsidRPr="00451876">
        <w:rPr>
          <w:rStyle w:val="st1"/>
          <w:rFonts w:cs="Arial"/>
          <w:color w:val="000000" w:themeColor="text1"/>
          <w:szCs w:val="20"/>
        </w:rPr>
        <w:t xml:space="preserve"> produces a 50% respiratory rate decrease</w:t>
      </w:r>
      <w:r w:rsidR="00800387" w:rsidRPr="00451876">
        <w:rPr>
          <w:color w:val="000000" w:themeColor="text1"/>
        </w:rPr>
        <w:t xml:space="preserve"> (</w:t>
      </w:r>
      <w:proofErr w:type="spellStart"/>
      <w:r w:rsidR="00B976DC" w:rsidRPr="00451876">
        <w:rPr>
          <w:color w:val="000000" w:themeColor="text1"/>
        </w:rPr>
        <w:t>RD</w:t>
      </w:r>
      <w:r w:rsidR="00B976DC" w:rsidRPr="00451876">
        <w:rPr>
          <w:color w:val="000000" w:themeColor="text1"/>
          <w:vertAlign w:val="subscript"/>
        </w:rPr>
        <w:t>50</w:t>
      </w:r>
      <w:proofErr w:type="spellEnd"/>
      <w:r w:rsidR="00800387" w:rsidRPr="00451876">
        <w:rPr>
          <w:color w:val="000000" w:themeColor="text1"/>
        </w:rPr>
        <w:t>)</w:t>
      </w:r>
      <w:r w:rsidR="00B976DC" w:rsidRPr="00451876">
        <w:rPr>
          <w:color w:val="000000" w:themeColor="text1"/>
        </w:rPr>
        <w:t xml:space="preserve"> of 3.6 ppm</w:t>
      </w:r>
      <w:r w:rsidR="002E5A3D" w:rsidRPr="00451876">
        <w:rPr>
          <w:color w:val="000000" w:themeColor="text1"/>
        </w:rPr>
        <w:t xml:space="preserve"> (32.4 mg/</w:t>
      </w:r>
      <w:proofErr w:type="spellStart"/>
      <w:r w:rsidR="002E5A3D" w:rsidRPr="00451876">
        <w:rPr>
          <w:color w:val="000000" w:themeColor="text1"/>
        </w:rPr>
        <w:t>m</w:t>
      </w:r>
      <w:r w:rsidR="002E5A3D" w:rsidRPr="00451876">
        <w:rPr>
          <w:color w:val="000000" w:themeColor="text1"/>
          <w:vertAlign w:val="superscript"/>
        </w:rPr>
        <w:t>3</w:t>
      </w:r>
      <w:proofErr w:type="spellEnd"/>
      <w:r w:rsidR="002E5A3D" w:rsidRPr="00451876">
        <w:rPr>
          <w:color w:val="000000" w:themeColor="text1"/>
        </w:rPr>
        <w:t xml:space="preserve">) </w:t>
      </w:r>
      <w:r w:rsidR="00B976DC" w:rsidRPr="00451876">
        <w:rPr>
          <w:color w:val="000000" w:themeColor="text1"/>
        </w:rPr>
        <w:t>in male mice</w:t>
      </w:r>
      <w:r w:rsidR="002E3BC3" w:rsidRPr="00451876">
        <w:rPr>
          <w:color w:val="000000" w:themeColor="text1"/>
        </w:rPr>
        <w:t xml:space="preserve"> </w:t>
      </w:r>
      <w:r w:rsidR="00800387" w:rsidRPr="00451876">
        <w:rPr>
          <w:color w:val="000000" w:themeColor="text1"/>
        </w:rPr>
        <w:t>and</w:t>
      </w:r>
      <w:r w:rsidR="002E3BC3" w:rsidRPr="00451876">
        <w:rPr>
          <w:color w:val="000000" w:themeColor="text1"/>
        </w:rPr>
        <w:t xml:space="preserve"> use</w:t>
      </w:r>
      <w:r w:rsidR="00B00CAC">
        <w:rPr>
          <w:color w:val="000000" w:themeColor="text1"/>
        </w:rPr>
        <w:t>s</w:t>
      </w:r>
      <w:r w:rsidR="002E3BC3" w:rsidRPr="00451876">
        <w:rPr>
          <w:color w:val="000000" w:themeColor="text1"/>
        </w:rPr>
        <w:t xml:space="preserve"> this figure as part of </w:t>
      </w:r>
      <w:r w:rsidR="00F42BB4" w:rsidRPr="00451876">
        <w:rPr>
          <w:color w:val="000000" w:themeColor="text1"/>
        </w:rPr>
        <w:t>an</w:t>
      </w:r>
      <w:r w:rsidR="002E3BC3" w:rsidRPr="00451876">
        <w:rPr>
          <w:color w:val="000000" w:themeColor="text1"/>
        </w:rPr>
        <w:t xml:space="preserve"> unconvincing basis </w:t>
      </w:r>
      <w:r w:rsidR="00B00CAC">
        <w:rPr>
          <w:color w:val="000000" w:themeColor="text1"/>
        </w:rPr>
        <w:t>to assign a</w:t>
      </w:r>
      <w:r w:rsidR="002E3BC3" w:rsidRPr="00451876">
        <w:rPr>
          <w:color w:val="000000" w:themeColor="text1"/>
        </w:rPr>
        <w:t xml:space="preserve"> </w:t>
      </w:r>
      <w:r w:rsidR="007444EC" w:rsidRPr="00451876">
        <w:rPr>
          <w:color w:val="000000" w:themeColor="text1"/>
        </w:rPr>
        <w:t>TWA of 2 mg/</w:t>
      </w:r>
      <w:proofErr w:type="spellStart"/>
      <w:r w:rsidR="007444EC" w:rsidRPr="00451876">
        <w:rPr>
          <w:color w:val="000000" w:themeColor="text1"/>
        </w:rPr>
        <w:t>m</w:t>
      </w:r>
      <w:r w:rsidR="007444EC" w:rsidRPr="00451876">
        <w:rPr>
          <w:color w:val="000000" w:themeColor="text1"/>
          <w:vertAlign w:val="superscript"/>
        </w:rPr>
        <w:t>3</w:t>
      </w:r>
      <w:proofErr w:type="spellEnd"/>
      <w:r w:rsidR="00B976DC" w:rsidRPr="00451876">
        <w:rPr>
          <w:color w:val="000000" w:themeColor="text1"/>
        </w:rPr>
        <w:t xml:space="preserve">. A </w:t>
      </w:r>
      <w:proofErr w:type="spellStart"/>
      <w:r w:rsidR="00EF7E48" w:rsidRPr="00451876">
        <w:rPr>
          <w:color w:val="000000" w:themeColor="text1"/>
        </w:rPr>
        <w:t>NOAEL</w:t>
      </w:r>
      <w:proofErr w:type="spellEnd"/>
      <w:r w:rsidR="00B976DC" w:rsidRPr="00451876">
        <w:rPr>
          <w:color w:val="000000" w:themeColor="text1"/>
        </w:rPr>
        <w:t xml:space="preserve"> of 10</w:t>
      </w:r>
      <w:r w:rsidR="002F39CA" w:rsidRPr="00451876">
        <w:rPr>
          <w:color w:val="000000" w:themeColor="text1"/>
        </w:rPr>
        <w:t> </w:t>
      </w:r>
      <w:r w:rsidR="00B976DC" w:rsidRPr="00451876">
        <w:rPr>
          <w:color w:val="000000" w:themeColor="text1"/>
        </w:rPr>
        <w:t>mg/kg</w:t>
      </w:r>
      <w:r w:rsidR="00CE6811" w:rsidRPr="00451876">
        <w:rPr>
          <w:color w:val="000000" w:themeColor="text1"/>
        </w:rPr>
        <w:t>/d</w:t>
      </w:r>
      <w:r w:rsidR="0073527F" w:rsidRPr="00451876">
        <w:rPr>
          <w:color w:val="000000" w:themeColor="text1"/>
        </w:rPr>
        <w:t>ay</w:t>
      </w:r>
      <w:r w:rsidR="00B976DC" w:rsidRPr="00451876">
        <w:rPr>
          <w:color w:val="000000" w:themeColor="text1"/>
        </w:rPr>
        <w:t xml:space="preserve"> in rats for</w:t>
      </w:r>
      <w:r w:rsidR="00891B9C" w:rsidRPr="00451876">
        <w:rPr>
          <w:color w:val="000000" w:themeColor="text1"/>
        </w:rPr>
        <w:t xml:space="preserve"> </w:t>
      </w:r>
      <w:r w:rsidR="00B976DC" w:rsidRPr="00451876">
        <w:rPr>
          <w:color w:val="000000" w:themeColor="text1"/>
        </w:rPr>
        <w:t>increase</w:t>
      </w:r>
      <w:r w:rsidR="00EF7E48" w:rsidRPr="00451876">
        <w:rPr>
          <w:color w:val="000000" w:themeColor="text1"/>
        </w:rPr>
        <w:t>d relative</w:t>
      </w:r>
      <w:r w:rsidR="00B976DC" w:rsidRPr="00451876">
        <w:rPr>
          <w:rFonts w:cs="Arial"/>
          <w:color w:val="000000" w:themeColor="text1"/>
          <w:shd w:val="clear" w:color="auto" w:fill="FFFFFF"/>
        </w:rPr>
        <w:t xml:space="preserve"> liver weight and increased </w:t>
      </w:r>
      <w:r w:rsidR="00EF7E48" w:rsidRPr="00451876">
        <w:rPr>
          <w:rFonts w:cs="Arial"/>
          <w:color w:val="000000" w:themeColor="text1"/>
          <w:shd w:val="clear" w:color="auto" w:fill="FFFFFF"/>
        </w:rPr>
        <w:t xml:space="preserve">liver </w:t>
      </w:r>
      <w:r w:rsidR="00B976DC" w:rsidRPr="00451876">
        <w:rPr>
          <w:rFonts w:cs="Arial"/>
          <w:color w:val="000000" w:themeColor="text1"/>
          <w:shd w:val="clear" w:color="auto" w:fill="FFFFFF"/>
        </w:rPr>
        <w:t>enzyme activity</w:t>
      </w:r>
      <w:r w:rsidR="00EF7E48" w:rsidRPr="00451876">
        <w:rPr>
          <w:rFonts w:cs="Arial"/>
          <w:color w:val="000000" w:themeColor="text1"/>
          <w:shd w:val="clear" w:color="auto" w:fill="FFFFFF"/>
        </w:rPr>
        <w:t xml:space="preserve"> is reported</w:t>
      </w:r>
      <w:r w:rsidR="007D4900" w:rsidRPr="00451876">
        <w:rPr>
          <w:rFonts w:cs="Arial"/>
          <w:color w:val="000000" w:themeColor="text1"/>
          <w:shd w:val="clear" w:color="auto" w:fill="FFFFFF"/>
        </w:rPr>
        <w:t xml:space="preserve"> in a </w:t>
      </w:r>
      <w:r w:rsidR="00CE6811" w:rsidRPr="00451876">
        <w:rPr>
          <w:rFonts w:cs="Arial"/>
          <w:color w:val="000000" w:themeColor="text1"/>
          <w:shd w:val="clear" w:color="auto" w:fill="FFFFFF"/>
        </w:rPr>
        <w:t>22-</w:t>
      </w:r>
      <w:r w:rsidR="00B976DC" w:rsidRPr="00451876">
        <w:rPr>
          <w:rFonts w:cs="Arial"/>
          <w:color w:val="000000" w:themeColor="text1"/>
          <w:shd w:val="clear" w:color="auto" w:fill="FFFFFF"/>
        </w:rPr>
        <w:t>month feeding study</w:t>
      </w:r>
      <w:r w:rsidR="0072720D" w:rsidRPr="00451876">
        <w:rPr>
          <w:rFonts w:cs="Arial"/>
          <w:color w:val="000000" w:themeColor="text1"/>
          <w:shd w:val="clear" w:color="auto" w:fill="FFFFFF"/>
        </w:rPr>
        <w:t>. Based on gene</w:t>
      </w:r>
      <w:r w:rsidR="00EF5008" w:rsidRPr="00451876">
        <w:rPr>
          <w:rFonts w:cs="Arial"/>
          <w:color w:val="000000" w:themeColor="text1"/>
          <w:shd w:val="clear" w:color="auto" w:fill="FFFFFF"/>
        </w:rPr>
        <w:t>r</w:t>
      </w:r>
      <w:r w:rsidR="0072720D" w:rsidRPr="00451876">
        <w:rPr>
          <w:rFonts w:cs="Arial"/>
          <w:color w:val="000000" w:themeColor="text1"/>
          <w:shd w:val="clear" w:color="auto" w:fill="FFFFFF"/>
        </w:rPr>
        <w:t xml:space="preserve">ic factors this oral dose is equivalent to </w:t>
      </w:r>
      <w:r w:rsidR="00FF602B" w:rsidRPr="00451876">
        <w:rPr>
          <w:rFonts w:cs="Arial"/>
          <w:color w:val="000000" w:themeColor="text1"/>
          <w:shd w:val="clear" w:color="auto" w:fill="FFFFFF"/>
        </w:rPr>
        <w:t xml:space="preserve">human </w:t>
      </w:r>
      <w:proofErr w:type="spellStart"/>
      <w:r w:rsidR="00FF602B" w:rsidRPr="00451876">
        <w:rPr>
          <w:rFonts w:cs="Arial"/>
          <w:color w:val="000000" w:themeColor="text1"/>
          <w:shd w:val="clear" w:color="auto" w:fill="FFFFFF"/>
        </w:rPr>
        <w:t>NOAEC</w:t>
      </w:r>
      <w:proofErr w:type="spellEnd"/>
      <w:r w:rsidR="00FF602B">
        <w:rPr>
          <w:rFonts w:cs="Arial"/>
          <w:color w:val="000000" w:themeColor="text1"/>
          <w:shd w:val="clear" w:color="auto" w:fill="FFFFFF"/>
        </w:rPr>
        <w:t xml:space="preserve"> of</w:t>
      </w:r>
      <w:r w:rsidR="00FF602B" w:rsidRPr="00451876">
        <w:rPr>
          <w:rFonts w:cs="Arial"/>
          <w:color w:val="000000" w:themeColor="text1"/>
          <w:shd w:val="clear" w:color="auto" w:fill="FFFFFF"/>
        </w:rPr>
        <w:t xml:space="preserve"> </w:t>
      </w:r>
      <w:r w:rsidR="0072720D" w:rsidRPr="00451876">
        <w:rPr>
          <w:rFonts w:cs="Arial"/>
          <w:color w:val="000000" w:themeColor="text1"/>
          <w:shd w:val="clear" w:color="auto" w:fill="FFFFFF"/>
        </w:rPr>
        <w:t>22 mg/</w:t>
      </w:r>
      <w:proofErr w:type="spellStart"/>
      <w:r w:rsidR="0072720D" w:rsidRPr="00451876">
        <w:rPr>
          <w:rFonts w:cs="Arial"/>
          <w:color w:val="000000" w:themeColor="text1"/>
          <w:shd w:val="clear" w:color="auto" w:fill="FFFFFF"/>
        </w:rPr>
        <w:t>m</w:t>
      </w:r>
      <w:r w:rsidR="0072720D" w:rsidRPr="00451876">
        <w:rPr>
          <w:rFonts w:cs="Arial"/>
          <w:color w:val="000000" w:themeColor="text1"/>
          <w:shd w:val="clear" w:color="auto" w:fill="FFFFFF"/>
          <w:vertAlign w:val="superscript"/>
        </w:rPr>
        <w:t>3</w:t>
      </w:r>
      <w:proofErr w:type="spellEnd"/>
      <w:r w:rsidR="00B976DC" w:rsidRPr="00451876">
        <w:rPr>
          <w:rFonts w:cs="Arial"/>
          <w:color w:val="000000" w:themeColor="text1"/>
          <w:shd w:val="clear" w:color="auto" w:fill="FFFFFF"/>
        </w:rPr>
        <w:t xml:space="preserve"> (</w:t>
      </w:r>
      <w:proofErr w:type="spellStart"/>
      <w:r w:rsidR="00B976DC" w:rsidRPr="00451876">
        <w:rPr>
          <w:rFonts w:cs="Arial"/>
          <w:color w:val="000000" w:themeColor="text1"/>
          <w:shd w:val="clear" w:color="auto" w:fill="FFFFFF"/>
        </w:rPr>
        <w:t>DFG</w:t>
      </w:r>
      <w:proofErr w:type="spellEnd"/>
      <w:r w:rsidR="00B976DC" w:rsidRPr="00451876">
        <w:rPr>
          <w:rFonts w:cs="Arial"/>
          <w:color w:val="000000" w:themeColor="text1"/>
          <w:shd w:val="clear" w:color="auto" w:fill="FFFFFF"/>
        </w:rPr>
        <w:t xml:space="preserve">, 2012). A </w:t>
      </w:r>
      <w:r w:rsidR="00CE6811" w:rsidRPr="00451876">
        <w:rPr>
          <w:color w:val="000000" w:themeColor="text1"/>
        </w:rPr>
        <w:t>two-</w:t>
      </w:r>
      <w:r w:rsidR="0099183E" w:rsidRPr="00451876">
        <w:rPr>
          <w:color w:val="000000" w:themeColor="text1"/>
        </w:rPr>
        <w:t>generation</w:t>
      </w:r>
      <w:r w:rsidR="00CC6F41" w:rsidRPr="00451876">
        <w:rPr>
          <w:color w:val="000000" w:themeColor="text1"/>
        </w:rPr>
        <w:t xml:space="preserve"> reproductive study</w:t>
      </w:r>
      <w:r w:rsidR="00CC6F41" w:rsidRPr="00451876">
        <w:rPr>
          <w:rFonts w:cs="Arial"/>
          <w:color w:val="000000" w:themeColor="text1"/>
          <w:shd w:val="clear" w:color="auto" w:fill="FFFFFF"/>
        </w:rPr>
        <w:t xml:space="preserve"> </w:t>
      </w:r>
      <w:r w:rsidR="00EF7E48" w:rsidRPr="00451876">
        <w:rPr>
          <w:rFonts w:cs="Arial"/>
          <w:color w:val="000000" w:themeColor="text1"/>
          <w:shd w:val="clear" w:color="auto" w:fill="FFFFFF"/>
        </w:rPr>
        <w:t xml:space="preserve">reported </w:t>
      </w:r>
      <w:r w:rsidR="00CC6F41" w:rsidRPr="00451876">
        <w:rPr>
          <w:rFonts w:cs="Arial"/>
          <w:color w:val="000000" w:themeColor="text1"/>
          <w:shd w:val="clear" w:color="auto" w:fill="FFFFFF"/>
        </w:rPr>
        <w:t xml:space="preserve">a </w:t>
      </w:r>
      <w:proofErr w:type="spellStart"/>
      <w:r w:rsidR="00B976DC" w:rsidRPr="00451876">
        <w:rPr>
          <w:rFonts w:cs="Arial"/>
          <w:color w:val="000000" w:themeColor="text1"/>
          <w:shd w:val="clear" w:color="auto" w:fill="FFFFFF"/>
        </w:rPr>
        <w:t>NOAEL</w:t>
      </w:r>
      <w:proofErr w:type="spellEnd"/>
      <w:r w:rsidR="00B976DC" w:rsidRPr="00451876">
        <w:rPr>
          <w:rFonts w:cs="Arial"/>
          <w:color w:val="000000" w:themeColor="text1"/>
          <w:shd w:val="clear" w:color="auto" w:fill="FFFFFF"/>
        </w:rPr>
        <w:t xml:space="preserve"> </w:t>
      </w:r>
      <w:r w:rsidR="00B976DC" w:rsidRPr="00451876">
        <w:rPr>
          <w:color w:val="000000" w:themeColor="text1"/>
        </w:rPr>
        <w:t xml:space="preserve">of </w:t>
      </w:r>
      <w:r w:rsidR="00EF7E48" w:rsidRPr="00451876">
        <w:rPr>
          <w:color w:val="000000" w:themeColor="text1"/>
        </w:rPr>
        <w:t>25 </w:t>
      </w:r>
      <w:r w:rsidR="00B976DC" w:rsidRPr="00451876">
        <w:rPr>
          <w:color w:val="000000" w:themeColor="text1"/>
        </w:rPr>
        <w:t>mg/kg/d</w:t>
      </w:r>
      <w:r w:rsidR="00891B9C" w:rsidRPr="00451876">
        <w:rPr>
          <w:color w:val="000000" w:themeColor="text1"/>
        </w:rPr>
        <w:t>ay</w:t>
      </w:r>
      <w:r w:rsidR="00B976DC" w:rsidRPr="00451876">
        <w:rPr>
          <w:color w:val="000000" w:themeColor="text1"/>
        </w:rPr>
        <w:t xml:space="preserve"> </w:t>
      </w:r>
      <w:r w:rsidR="00CC6F41" w:rsidRPr="00451876">
        <w:rPr>
          <w:color w:val="000000" w:themeColor="text1"/>
        </w:rPr>
        <w:t>in rats for</w:t>
      </w:r>
      <w:r w:rsidR="00B976DC" w:rsidRPr="00451876">
        <w:rPr>
          <w:color w:val="000000" w:themeColor="text1"/>
        </w:rPr>
        <w:t xml:space="preserve"> decrease</w:t>
      </w:r>
      <w:r w:rsidR="00FF602B">
        <w:rPr>
          <w:color w:val="000000" w:themeColor="text1"/>
        </w:rPr>
        <w:t>d</w:t>
      </w:r>
      <w:r w:rsidR="00B976DC" w:rsidRPr="00451876">
        <w:rPr>
          <w:color w:val="000000" w:themeColor="text1"/>
        </w:rPr>
        <w:t xml:space="preserve"> body weight in offspring and </w:t>
      </w:r>
      <w:r w:rsidR="00EF7E48" w:rsidRPr="00451876">
        <w:rPr>
          <w:color w:val="000000" w:themeColor="text1"/>
        </w:rPr>
        <w:t>induction of liver</w:t>
      </w:r>
      <w:r w:rsidR="00B976DC" w:rsidRPr="00451876">
        <w:rPr>
          <w:color w:val="000000" w:themeColor="text1"/>
        </w:rPr>
        <w:t xml:space="preserve"> enzyme</w:t>
      </w:r>
      <w:r w:rsidR="00EF7E48" w:rsidRPr="00451876">
        <w:rPr>
          <w:color w:val="000000" w:themeColor="text1"/>
        </w:rPr>
        <w:t>s</w:t>
      </w:r>
      <w:r w:rsidR="00CC6F41" w:rsidRPr="00451876">
        <w:rPr>
          <w:color w:val="000000" w:themeColor="text1"/>
        </w:rPr>
        <w:t xml:space="preserve"> (</w:t>
      </w:r>
      <w:proofErr w:type="spellStart"/>
      <w:r w:rsidR="00CC6F41" w:rsidRPr="00451876">
        <w:rPr>
          <w:color w:val="000000" w:themeColor="text1"/>
        </w:rPr>
        <w:t>HCOTN</w:t>
      </w:r>
      <w:proofErr w:type="spellEnd"/>
      <w:r w:rsidR="00CC6F41" w:rsidRPr="00451876">
        <w:rPr>
          <w:color w:val="000000" w:themeColor="text1"/>
        </w:rPr>
        <w:t>, 2004).</w:t>
      </w:r>
      <w:r w:rsidR="0073527F" w:rsidRPr="00451876">
        <w:rPr>
          <w:color w:val="000000" w:themeColor="text1"/>
        </w:rPr>
        <w:t xml:space="preserve">  </w:t>
      </w:r>
    </w:p>
    <w:p w14:paraId="0FB816E2" w14:textId="7A1D002E" w:rsidR="002222B6" w:rsidRDefault="00B00CAC" w:rsidP="00B726DA">
      <w:r>
        <w:t>A</w:t>
      </w:r>
      <w:r w:rsidR="0076596B">
        <w:t xml:space="preserve"> </w:t>
      </w:r>
      <w:r w:rsidR="0072720D">
        <w:t>TWA of</w:t>
      </w:r>
      <w:r w:rsidR="007444EC">
        <w:t xml:space="preserve"> </w:t>
      </w:r>
      <w:r w:rsidR="0093517A">
        <w:t>10</w:t>
      </w:r>
      <w:r w:rsidR="0072720D">
        <w:t xml:space="preserve"> mg/</w:t>
      </w:r>
      <w:proofErr w:type="spellStart"/>
      <w:r w:rsidR="0072720D">
        <w:t>m</w:t>
      </w:r>
      <w:r w:rsidR="00F065DD" w:rsidRPr="00051C76">
        <w:rPr>
          <w:vertAlign w:val="superscript"/>
        </w:rPr>
        <w:t>3</w:t>
      </w:r>
      <w:proofErr w:type="spellEnd"/>
      <w:r>
        <w:t>,</w:t>
      </w:r>
      <w:r w:rsidR="0072720D">
        <w:t xml:space="preserve"> </w:t>
      </w:r>
      <w:r>
        <w:t xml:space="preserve">as assigned </w:t>
      </w:r>
      <w:r w:rsidR="003E1641">
        <w:t xml:space="preserve">by SWA, </w:t>
      </w:r>
      <w:proofErr w:type="spellStart"/>
      <w:r w:rsidR="0076596B">
        <w:t>DFG</w:t>
      </w:r>
      <w:proofErr w:type="spellEnd"/>
      <w:r w:rsidR="0076596B">
        <w:t xml:space="preserve"> (2012)</w:t>
      </w:r>
      <w:r w:rsidR="00107245">
        <w:t xml:space="preserve"> and</w:t>
      </w:r>
      <w:r w:rsidR="00810934">
        <w:t xml:space="preserve"> </w:t>
      </w:r>
      <w:proofErr w:type="spellStart"/>
      <w:r w:rsidR="00810934">
        <w:t>HCTON</w:t>
      </w:r>
      <w:proofErr w:type="spellEnd"/>
      <w:r w:rsidR="00810934">
        <w:t xml:space="preserve"> (</w:t>
      </w:r>
      <w:r w:rsidR="008A6A1D">
        <w:t>2004</w:t>
      </w:r>
      <w:r w:rsidR="00810934">
        <w:t>)</w:t>
      </w:r>
      <w:r w:rsidR="0076596B">
        <w:t xml:space="preserve"> </w:t>
      </w:r>
      <w:r w:rsidR="0072720D">
        <w:t>is recommended</w:t>
      </w:r>
      <w:r w:rsidR="0093517A">
        <w:t xml:space="preserve"> </w:t>
      </w:r>
      <w:r w:rsidR="000875AC">
        <w:t>in the interim</w:t>
      </w:r>
      <w:r w:rsidR="0072720D">
        <w:t xml:space="preserve"> </w:t>
      </w:r>
      <w:r w:rsidR="007444EC">
        <w:t xml:space="preserve">to protect for </w:t>
      </w:r>
      <w:r w:rsidR="00B726DA">
        <w:t>liver effects</w:t>
      </w:r>
      <w:r w:rsidR="007444EC">
        <w:t xml:space="preserve">. </w:t>
      </w:r>
      <w:r w:rsidR="00800387">
        <w:t>As t</w:t>
      </w:r>
      <w:r w:rsidR="00B726DA">
        <w:t xml:space="preserve">here </w:t>
      </w:r>
      <w:r w:rsidR="00EF5008">
        <w:t>are</w:t>
      </w:r>
      <w:r w:rsidR="00B726DA">
        <w:t xml:space="preserve"> limited data indicating sensory irritation</w:t>
      </w:r>
      <w:r w:rsidR="002E3BC3">
        <w:t xml:space="preserve"> and some residual uncertainties </w:t>
      </w:r>
      <w:r w:rsidR="00451876">
        <w:t>regarding</w:t>
      </w:r>
      <w:r w:rsidR="002E3BC3">
        <w:t xml:space="preserve"> its significance to humans,</w:t>
      </w:r>
      <w:r w:rsidR="00EF63D2">
        <w:t xml:space="preserve"> </w:t>
      </w:r>
      <w:r w:rsidR="00B726DA">
        <w:t>it is recommended that an investigation of additional data sources is undertaken at the next scheduled review.</w:t>
      </w:r>
    </w:p>
    <w:p w14:paraId="65993B7B" w14:textId="07DB1D9F" w:rsidR="0072720D" w:rsidRPr="009D5EF8" w:rsidRDefault="0072720D" w:rsidP="00B976DC">
      <w:pPr>
        <w:rPr>
          <w:vertAlign w:val="superscript"/>
        </w:rPr>
      </w:pPr>
    </w:p>
    <w:p w14:paraId="1DC2B868" w14:textId="77777777" w:rsidR="004529F0" w:rsidRPr="00BC3A3D" w:rsidRDefault="004529F0" w:rsidP="004529F0">
      <w:pPr>
        <w:pStyle w:val="Heading2"/>
      </w:pPr>
      <w:r w:rsidRPr="00BC3A3D">
        <w:lastRenderedPageBreak/>
        <w:t>Recommendation for notations</w:t>
      </w:r>
    </w:p>
    <w:p w14:paraId="00ACFDA9" w14:textId="18B763D1" w:rsidR="00E008F9" w:rsidRPr="00BC3A3D" w:rsidRDefault="00E008F9" w:rsidP="00E008F9">
      <w:pPr>
        <w:rPr>
          <w:rFonts w:cs="Arial"/>
        </w:rPr>
      </w:pPr>
      <w:r w:rsidRPr="00BC3A3D">
        <w:rPr>
          <w:rFonts w:cs="Arial"/>
        </w:rPr>
        <w:t>Not classified as a carcinogen according to the Globally Harmonized System of Classification and Labelling</w:t>
      </w:r>
      <w:r w:rsidR="0099183E" w:rsidRPr="00BC3A3D">
        <w:rPr>
          <w:rFonts w:cs="Arial"/>
        </w:rPr>
        <w:t xml:space="preserve"> of</w:t>
      </w:r>
      <w:r w:rsidRPr="00BC3A3D">
        <w:rPr>
          <w:rFonts w:cs="Arial"/>
        </w:rPr>
        <w:t xml:space="preserve"> Chemicals (GHS). </w:t>
      </w:r>
    </w:p>
    <w:p w14:paraId="078BE9A8" w14:textId="53A1BB22" w:rsidR="00E008F9" w:rsidRPr="00BC3A3D" w:rsidRDefault="00E008F9" w:rsidP="00E008F9">
      <w:pPr>
        <w:rPr>
          <w:rFonts w:cs="Arial"/>
        </w:rPr>
      </w:pPr>
      <w:r w:rsidRPr="00BC3A3D">
        <w:rPr>
          <w:rFonts w:cs="Arial"/>
        </w:rPr>
        <w:t>Not classified as a skin</w:t>
      </w:r>
      <w:r w:rsidR="0099183E" w:rsidRPr="00BC3A3D">
        <w:rPr>
          <w:rFonts w:cs="Arial"/>
        </w:rPr>
        <w:t xml:space="preserve"> sensitiser</w:t>
      </w:r>
      <w:r w:rsidRPr="00BC3A3D">
        <w:rPr>
          <w:rFonts w:cs="Arial"/>
        </w:rPr>
        <w:t xml:space="preserve"> or respiratory sensitiser according to the GHS.</w:t>
      </w:r>
      <w:r w:rsidR="00EF7E48">
        <w:rPr>
          <w:rFonts w:cs="Arial"/>
        </w:rPr>
        <w:t xml:space="preserve"> Skin sensitisation and allergic effects reported in primary sources. A review of the classification for skin sensitisation is recommended.</w:t>
      </w:r>
    </w:p>
    <w:p w14:paraId="1D43F701" w14:textId="29A6CBC7" w:rsidR="00BC3A3D" w:rsidRPr="00BC3A3D" w:rsidRDefault="00BC3A3D" w:rsidP="00BC3A3D">
      <w:pPr>
        <w:rPr>
          <w:rFonts w:cs="Arial"/>
        </w:rPr>
      </w:pPr>
      <w:r w:rsidRPr="00BC3A3D">
        <w:rPr>
          <w:rFonts w:cs="Arial"/>
        </w:rPr>
        <w:t>A skin notation</w:t>
      </w:r>
      <w:r w:rsidR="00EF7E48">
        <w:rPr>
          <w:rFonts w:cs="Arial"/>
        </w:rPr>
        <w:t xml:space="preserve"> is</w:t>
      </w:r>
      <w:r w:rsidRPr="00BC3A3D">
        <w:rPr>
          <w:rFonts w:cs="Arial"/>
        </w:rPr>
        <w:t xml:space="preserve"> recommended based on case study suggesting potential dermal absorption</w:t>
      </w:r>
      <w:r w:rsidR="00EF7E48">
        <w:rPr>
          <w:rFonts w:cs="Arial"/>
        </w:rPr>
        <w:t xml:space="preserve"> and sensitisation effects </w:t>
      </w:r>
      <w:r w:rsidRPr="00BC3A3D">
        <w:rPr>
          <w:rFonts w:cs="Arial"/>
        </w:rPr>
        <w:t>in humans.</w:t>
      </w:r>
    </w:p>
    <w:p w14:paraId="1FBDCBFC" w14:textId="0E97B889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F4751B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E17E5F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803E4D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5DF712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E1F5DB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86DFA11" w14:textId="6E1268F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008F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008F9">
                  <w:t>TWA: 10 mg/</w:t>
                </w:r>
                <w:proofErr w:type="spellStart"/>
                <w:r w:rsidR="00E008F9">
                  <w:t>m</w:t>
                </w:r>
                <w:r w:rsidR="00E008F9" w:rsidRPr="00E008F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54088B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5AA21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FE1D09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CA09AB" w14:textId="3DB675D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008F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008F9">
                  <w:t>TLV-TWA: 2 mg/</w:t>
                </w:r>
                <w:proofErr w:type="spellStart"/>
                <w:r w:rsidR="00E008F9">
                  <w:t>m</w:t>
                </w:r>
                <w:r w:rsidR="00E008F9" w:rsidRPr="00E008F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5A3C4E6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BA708F" w14:textId="56E4A245" w:rsidR="00C978F0" w:rsidRDefault="006909D2" w:rsidP="003365A5">
            <w:pPr>
              <w:pStyle w:val="Tabletextprimarysource"/>
            </w:pPr>
            <w:r>
              <w:t xml:space="preserve">TLV-TWA </w:t>
            </w:r>
            <w:r w:rsidR="00EF7E48">
              <w:t xml:space="preserve">recommended </w:t>
            </w:r>
            <w:r>
              <w:t>to reduce the risk of sensory irritation.</w:t>
            </w:r>
          </w:p>
          <w:p w14:paraId="12AA9B42" w14:textId="33F1EE9E" w:rsidR="006909D2" w:rsidRDefault="006909D2" w:rsidP="003365A5">
            <w:pPr>
              <w:pStyle w:val="Tabletextprimarysource"/>
            </w:pPr>
            <w:r>
              <w:t>Summary of data:</w:t>
            </w:r>
          </w:p>
          <w:p w14:paraId="635C016E" w14:textId="2EAA86B9" w:rsidR="00812E7F" w:rsidRDefault="00812E7F" w:rsidP="00BC3A3D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Low vapour pressure; non-volatile solid</w:t>
            </w:r>
            <w:r w:rsidR="008E2770">
              <w:t xml:space="preserve">; saturated vapour concentration of </w:t>
            </w:r>
            <w:r w:rsidR="00800387">
              <w:t>~</w:t>
            </w:r>
            <w:r w:rsidR="008E2770">
              <w:t>120 mg/</w:t>
            </w:r>
            <w:proofErr w:type="spellStart"/>
            <w:r w:rsidR="008E2770">
              <w:t>m</w:t>
            </w:r>
            <w:r w:rsidR="008E2770">
              <w:rPr>
                <w:vertAlign w:val="superscript"/>
              </w:rPr>
              <w:t>3</w:t>
            </w:r>
            <w:proofErr w:type="spellEnd"/>
          </w:p>
          <w:p w14:paraId="43AEE95A" w14:textId="77777777" w:rsidR="006909D2" w:rsidRDefault="006909D2" w:rsidP="003365A5">
            <w:pPr>
              <w:pStyle w:val="Tabletextprimarysource"/>
            </w:pPr>
            <w:r>
              <w:t>Human data:</w:t>
            </w:r>
          </w:p>
          <w:p w14:paraId="72139C3B" w14:textId="6A4CD747" w:rsidR="007727F2" w:rsidRDefault="007727F2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data available</w:t>
            </w:r>
          </w:p>
          <w:p w14:paraId="19561EB3" w14:textId="3099B1B3" w:rsidR="006909D2" w:rsidRDefault="006909D2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WHO ADI 0.5 mg/kg/d; human dietary intake in USA estimated at 0.2 mg/kg/d</w:t>
            </w:r>
          </w:p>
          <w:p w14:paraId="4DEF26FE" w14:textId="5EFF392D" w:rsidR="008E2770" w:rsidRDefault="006909D2" w:rsidP="00812E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Effects </w:t>
            </w:r>
            <w:r w:rsidR="008E2770">
              <w:t xml:space="preserve">thought </w:t>
            </w:r>
            <w:r>
              <w:t>to be allerg</w:t>
            </w:r>
            <w:r w:rsidR="00BF1C80">
              <w:t>en</w:t>
            </w:r>
            <w:r>
              <w:t xml:space="preserve"> based; patients suspected of </w:t>
            </w:r>
            <w:proofErr w:type="spellStart"/>
            <w:r>
              <w:t>BHT</w:t>
            </w:r>
            <w:proofErr w:type="spellEnd"/>
            <w:r>
              <w:t xml:space="preserve"> sensitivity responded with exacerbation of vasomotor rhinitis, headaches, flushing and on occasion, a flare-up of asthma and other symptoms</w:t>
            </w:r>
            <w:r w:rsidR="007727F2">
              <w:t xml:space="preserve"> when challenged with doses of 100 and 250 mg</w:t>
            </w:r>
            <w:r w:rsidR="00812E7F">
              <w:t>; no further information</w:t>
            </w:r>
          </w:p>
          <w:p w14:paraId="27FB8D49" w14:textId="31650550" w:rsidR="002F39CA" w:rsidRDefault="008E2770" w:rsidP="008003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sensitising action documented in a study of 1336 patients; authors concluded that when used as an antioxidant, normal use concentrations can be regarded safe in relation to allergic contact dermatitis; no further information</w:t>
            </w:r>
          </w:p>
          <w:p w14:paraId="2D54BD67" w14:textId="4A6536FE" w:rsidR="00812E7F" w:rsidRDefault="00812E7F" w:rsidP="00812E7F">
            <w:pPr>
              <w:pStyle w:val="Tabletextprimarysource"/>
            </w:pPr>
            <w:r>
              <w:t>Animal data:</w:t>
            </w:r>
          </w:p>
          <w:p w14:paraId="114C7374" w14:textId="2C567C1B" w:rsidR="008E2770" w:rsidRDefault="008E2770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Acute, subacute and chronic toxicity has been c</w:t>
            </w:r>
            <w:r w:rsidR="00FD797A">
              <w:t xml:space="preserve">omprehensively reviewed </w:t>
            </w:r>
            <w:r w:rsidR="00FD797A" w:rsidRPr="00103039">
              <w:rPr>
                <w:i/>
              </w:rPr>
              <w:t>via</w:t>
            </w:r>
            <w:r w:rsidR="00FD797A">
              <w:t xml:space="preserve"> oral or intraperitoneal dosing; limited data </w:t>
            </w:r>
            <w:r w:rsidR="00FD797A" w:rsidRPr="00103039">
              <w:rPr>
                <w:i/>
              </w:rPr>
              <w:t>via</w:t>
            </w:r>
            <w:r w:rsidR="00FD797A">
              <w:t xml:space="preserve"> inhalation route likely due to low vapour pressure</w:t>
            </w:r>
          </w:p>
          <w:p w14:paraId="5D687439" w14:textId="77A270F1" w:rsidR="00E939CC" w:rsidRDefault="00E939CC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a</w:t>
            </w:r>
            <w:r w:rsidR="00FD797A">
              <w:t xml:space="preserve"> study of potential irritant effects of chemicals emitted from carpets</w:t>
            </w:r>
            <w:r>
              <w:t xml:space="preserve">, the </w:t>
            </w:r>
            <w:r w:rsidR="00E21895">
              <w:t>authors</w:t>
            </w:r>
            <w:r w:rsidR="00FD797A">
              <w:t xml:space="preserve"> r</w:t>
            </w:r>
            <w:r w:rsidR="00812E7F">
              <w:t xml:space="preserve">eported </w:t>
            </w:r>
            <w:r w:rsidR="00FD797A">
              <w:t xml:space="preserve">a </w:t>
            </w:r>
            <w:r w:rsidR="00812E7F">
              <w:t xml:space="preserve">calculated </w:t>
            </w:r>
            <w:proofErr w:type="spellStart"/>
            <w:r w:rsidR="00812E7F">
              <w:t>RD</w:t>
            </w:r>
            <w:r w:rsidR="00812E7F">
              <w:rPr>
                <w:vertAlign w:val="subscript"/>
              </w:rPr>
              <w:t>50</w:t>
            </w:r>
            <w:proofErr w:type="spellEnd"/>
            <w:r w:rsidR="007D4900">
              <w:t xml:space="preserve"> </w:t>
            </w:r>
            <w:r w:rsidR="009A4DAC">
              <w:t xml:space="preserve">(respiratory rate decrease) </w:t>
            </w:r>
            <w:r w:rsidR="007D4900">
              <w:t>of 3.6 ppm</w:t>
            </w:r>
            <w:r w:rsidR="00FD797A">
              <w:t xml:space="preserve"> (95% </w:t>
            </w:r>
            <w:proofErr w:type="spellStart"/>
            <w:r w:rsidR="00FD797A">
              <w:t>Cl:2.1</w:t>
            </w:r>
            <w:proofErr w:type="spellEnd"/>
            <w:r w:rsidR="00360179">
              <w:t>–</w:t>
            </w:r>
            <w:r w:rsidR="00FD797A">
              <w:t>36)</w:t>
            </w:r>
            <w:r w:rsidR="007D4900">
              <w:t xml:space="preserve"> in male mice</w:t>
            </w:r>
          </w:p>
          <w:p w14:paraId="2DA96111" w14:textId="409FFF97" w:rsidR="00812E7F" w:rsidRDefault="00800387" w:rsidP="00800387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b</w:t>
            </w:r>
            <w:r w:rsidR="00E939CC">
              <w:t xml:space="preserve">ased on </w:t>
            </w:r>
            <w:r w:rsidR="001E1212">
              <w:t xml:space="preserve">published information regarding the </w:t>
            </w:r>
            <w:r w:rsidR="00E939CC">
              <w:t>correlation</w:t>
            </w:r>
            <w:r w:rsidR="00E939CC">
              <w:rPr>
                <w:vertAlign w:val="subscript"/>
              </w:rPr>
              <w:t xml:space="preserve"> </w:t>
            </w:r>
            <w:r w:rsidR="00E939CC">
              <w:t xml:space="preserve">of </w:t>
            </w:r>
            <w:proofErr w:type="spellStart"/>
            <w:r w:rsidR="00B8351C">
              <w:t>RD</w:t>
            </w:r>
            <w:r w:rsidR="00B8351C">
              <w:rPr>
                <w:vertAlign w:val="subscript"/>
              </w:rPr>
              <w:t>50</w:t>
            </w:r>
            <w:proofErr w:type="spellEnd"/>
            <w:r w:rsidR="00B8351C" w:rsidRPr="00800387">
              <w:t xml:space="preserve"> data and human </w:t>
            </w:r>
            <w:r w:rsidR="00B8351C" w:rsidRPr="00B8351C">
              <w:t>responses</w:t>
            </w:r>
            <w:r w:rsidR="00B8351C" w:rsidRPr="00800387">
              <w:t xml:space="preserve"> to</w:t>
            </w:r>
            <w:r w:rsidR="00B8351C">
              <w:t xml:space="preserve"> sensory </w:t>
            </w:r>
            <w:r w:rsidR="00B8351C" w:rsidRPr="00800387">
              <w:t>irritant</w:t>
            </w:r>
            <w:r w:rsidR="00B8351C">
              <w:t>s</w:t>
            </w:r>
            <w:r w:rsidR="001E1212">
              <w:t xml:space="preserve">. A concentration of 0.1 x </w:t>
            </w:r>
            <w:proofErr w:type="spellStart"/>
            <w:r w:rsidR="001E1212">
              <w:t>RD</w:t>
            </w:r>
            <w:r w:rsidR="001E1212">
              <w:rPr>
                <w:vertAlign w:val="subscript"/>
              </w:rPr>
              <w:t>50</w:t>
            </w:r>
            <w:proofErr w:type="spellEnd"/>
            <w:r w:rsidR="001E1212">
              <w:t xml:space="preserve"> (0.36 ppm or</w:t>
            </w:r>
            <w:r w:rsidR="00B8351C">
              <w:t xml:space="preserve"> </w:t>
            </w:r>
            <w:r w:rsidR="00E939CC">
              <w:t>3.24 mg/</w:t>
            </w:r>
            <w:proofErr w:type="spellStart"/>
            <w:r w:rsidR="00E939CC">
              <w:t>m</w:t>
            </w:r>
            <w:r w:rsidR="00E939CC">
              <w:rPr>
                <w:vertAlign w:val="superscript"/>
              </w:rPr>
              <w:t>3</w:t>
            </w:r>
            <w:proofErr w:type="spellEnd"/>
            <w:r w:rsidR="001E1212">
              <w:t>)</w:t>
            </w:r>
            <w:r w:rsidR="00E939CC">
              <w:t xml:space="preserve"> may produce slight but tolerable irritation</w:t>
            </w:r>
          </w:p>
          <w:p w14:paraId="0001259A" w14:textId="6FD91AFC" w:rsidR="002116E6" w:rsidRDefault="002116E6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histopathological changes in 12 </w:t>
            </w:r>
            <w:proofErr w:type="spellStart"/>
            <w:r>
              <w:t>mo</w:t>
            </w:r>
            <w:proofErr w:type="spellEnd"/>
            <w:r>
              <w:t xml:space="preserve"> oral study in dogs</w:t>
            </w:r>
          </w:p>
          <w:p w14:paraId="4666EED2" w14:textId="0D371011" w:rsidR="002116E6" w:rsidRDefault="002116E6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histopathological changes in 24 </w:t>
            </w:r>
            <w:proofErr w:type="spellStart"/>
            <w:r>
              <w:t>mo</w:t>
            </w:r>
            <w:proofErr w:type="spellEnd"/>
            <w:r>
              <w:t xml:space="preserve"> oral study in rats</w:t>
            </w:r>
            <w:r w:rsidR="00891B9C">
              <w:t>.</w:t>
            </w:r>
          </w:p>
          <w:p w14:paraId="13AE7307" w14:textId="77777777" w:rsidR="002F39CA" w:rsidRDefault="002F39CA" w:rsidP="002116E6">
            <w:pPr>
              <w:pStyle w:val="Tabletextprimarysource"/>
            </w:pPr>
          </w:p>
          <w:p w14:paraId="118EAD81" w14:textId="3A8A26A9" w:rsidR="0093517A" w:rsidRDefault="0093517A" w:rsidP="0093517A">
            <w:pPr>
              <w:pStyle w:val="Tabletextprimarysource"/>
            </w:pPr>
            <w:r>
              <w:t>No clear derivation of the TLV is provided; TLV-TWA of 2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F410EA">
              <w:t xml:space="preserve">is </w:t>
            </w:r>
            <w:r w:rsidR="002E5A3D">
              <w:t>based on the followin</w:t>
            </w:r>
            <w:r w:rsidR="00800387">
              <w:t>g</w:t>
            </w:r>
            <w:r>
              <w:t>:</w:t>
            </w:r>
          </w:p>
          <w:p w14:paraId="7992E3D2" w14:textId="3BAAC029" w:rsidR="002E5A3D" w:rsidRDefault="00E939CC" w:rsidP="00372864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 xml:space="preserve">The </w:t>
            </w:r>
            <w:proofErr w:type="spellStart"/>
            <w:r>
              <w:t>ACGIH</w:t>
            </w:r>
            <w:proofErr w:type="spellEnd"/>
            <w:r>
              <w:t xml:space="preserve"> report that results of respiratory depression bioassays can be used to suggest OEL for respiratory irritants; OELs are </w:t>
            </w:r>
            <w:r w:rsidR="002E5A3D">
              <w:t xml:space="preserve">often </w:t>
            </w:r>
            <w:r>
              <w:t xml:space="preserve">derived </w:t>
            </w:r>
            <w:r w:rsidRPr="00451876">
              <w:rPr>
                <w:i/>
              </w:rPr>
              <w:t>via</w:t>
            </w:r>
            <w:r>
              <w:t xml:space="preserve"> the</w:t>
            </w:r>
            <w:r w:rsidR="00657F77">
              <w:t xml:space="preserve"> </w:t>
            </w:r>
            <w:r>
              <w:t xml:space="preserve">calculation </w:t>
            </w:r>
            <w:r w:rsidR="00B726DA">
              <w:t>0.03 x RD</w:t>
            </w:r>
            <w:r>
              <w:t xml:space="preserve"> </w:t>
            </w:r>
            <w:r w:rsidR="002E5A3D">
              <w:t xml:space="preserve">and </w:t>
            </w:r>
            <w:r>
              <w:t>deemed as acceptable</w:t>
            </w:r>
            <w:r w:rsidR="002E5A3D">
              <w:t>;</w:t>
            </w:r>
            <w:r w:rsidR="00E36FFC">
              <w:t xml:space="preserve"> no further information</w:t>
            </w:r>
          </w:p>
          <w:p w14:paraId="29389BED" w14:textId="57D90E45" w:rsidR="00810934" w:rsidRDefault="002E5A3D" w:rsidP="00800387">
            <w:pPr>
              <w:pStyle w:val="ListParagraph"/>
              <w:numPr>
                <w:ilvl w:val="0"/>
                <w:numId w:val="4"/>
              </w:numPr>
            </w:pPr>
            <w:r w:rsidRPr="002E5A3D">
              <w:t xml:space="preserve">A concentration of 0.1 x </w:t>
            </w:r>
            <w:proofErr w:type="spellStart"/>
            <w:r w:rsidRPr="002E5A3D">
              <w:t>RD</w:t>
            </w:r>
            <w:r w:rsidRPr="00800387">
              <w:rPr>
                <w:vertAlign w:val="subscript"/>
              </w:rPr>
              <w:t>50</w:t>
            </w:r>
            <w:proofErr w:type="spellEnd"/>
            <w:r w:rsidRPr="002E5A3D">
              <w:t xml:space="preserve"> (0.36 ppm or 3.24 mg/</w:t>
            </w:r>
            <w:proofErr w:type="spellStart"/>
            <w:r w:rsidRPr="002E5A3D">
              <w:t>m</w:t>
            </w:r>
            <w:r w:rsidRPr="00800387">
              <w:rPr>
                <w:vertAlign w:val="superscript"/>
              </w:rPr>
              <w:t>3</w:t>
            </w:r>
            <w:proofErr w:type="spellEnd"/>
            <w:r w:rsidRPr="002E5A3D">
              <w:t>) may produce slight but tolerable irritation</w:t>
            </w:r>
            <w:r w:rsidR="00E36FFC">
              <w:t>; b</w:t>
            </w:r>
            <w:r w:rsidR="00E36FFC" w:rsidRPr="002E5A3D">
              <w:t xml:space="preserve">ased on published information regarding the correlation of </w:t>
            </w:r>
            <w:proofErr w:type="spellStart"/>
            <w:r w:rsidR="00E36FFC" w:rsidRPr="002E5A3D">
              <w:t>RD</w:t>
            </w:r>
            <w:r w:rsidR="00E36FFC" w:rsidRPr="00B44485">
              <w:rPr>
                <w:vertAlign w:val="subscript"/>
              </w:rPr>
              <w:t>50</w:t>
            </w:r>
            <w:proofErr w:type="spellEnd"/>
            <w:r w:rsidR="00E36FFC" w:rsidRPr="00B44485">
              <w:rPr>
                <w:vertAlign w:val="subscript"/>
              </w:rPr>
              <w:t xml:space="preserve"> </w:t>
            </w:r>
            <w:r w:rsidR="00E36FFC" w:rsidRPr="002E5A3D">
              <w:t>data and human responses to sensory irritants</w:t>
            </w:r>
          </w:p>
          <w:p w14:paraId="72B4AC9E" w14:textId="2CAB2FD3" w:rsidR="00800387" w:rsidRDefault="00800387" w:rsidP="00800387">
            <w:pPr>
              <w:pStyle w:val="ListParagraph"/>
              <w:numPr>
                <w:ilvl w:val="0"/>
                <w:numId w:val="4"/>
              </w:numPr>
            </w:pPr>
            <w:r>
              <w:t>No evidence of respiratory or sensory irritation has been reported in the available literature in workers since the TLV of 10 mg/</w:t>
            </w:r>
            <w:proofErr w:type="spellStart"/>
            <w:r>
              <w:t>m</w:t>
            </w:r>
            <w:r w:rsidRPr="00810934">
              <w:rPr>
                <w:vertAlign w:val="superscript"/>
              </w:rPr>
              <w:t>3</w:t>
            </w:r>
            <w:proofErr w:type="spellEnd"/>
            <w:r w:rsidRPr="00810934">
              <w:rPr>
                <w:vertAlign w:val="superscript"/>
              </w:rPr>
              <w:t xml:space="preserve"> </w:t>
            </w:r>
            <w:r>
              <w:t>was established in 1976.</w:t>
            </w:r>
          </w:p>
          <w:p w14:paraId="450B36A6" w14:textId="37FDB3FD" w:rsidR="002F39CA" w:rsidRPr="00261E63" w:rsidRDefault="002F39CA" w:rsidP="0080038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  <w:rPr>
                <w:vertAlign w:val="subscript"/>
              </w:rPr>
            </w:pPr>
          </w:p>
        </w:tc>
      </w:tr>
      <w:tr w:rsidR="00C978F0" w:rsidRPr="00DA352E" w14:paraId="39224D2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98A5ED" w14:textId="419CCF7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F3E5E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D4900">
                  <w:t>MAK: 1</w:t>
                </w:r>
                <w:r w:rsidR="00E008F9">
                  <w:t>0 mg/</w:t>
                </w:r>
                <w:proofErr w:type="spellStart"/>
                <w:r w:rsidR="00E008F9">
                  <w:t>m</w:t>
                </w:r>
                <w:r w:rsidR="00E008F9" w:rsidRPr="00E008F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4481C9E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01A58A" w14:textId="77777777" w:rsidR="00C978F0" w:rsidRDefault="002116E6" w:rsidP="003365A5">
            <w:pPr>
              <w:pStyle w:val="Tabletextprimarysource"/>
            </w:pPr>
            <w:r>
              <w:t>Summary of additional data:</w:t>
            </w:r>
          </w:p>
          <w:p w14:paraId="63575E90" w14:textId="4A5B1989" w:rsidR="002116E6" w:rsidRPr="00D60722" w:rsidRDefault="00261E63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474556">
              <w:t>O</w:t>
            </w:r>
            <w:r w:rsidR="00D60722">
              <w:t>EL of 10 mg/kg</w:t>
            </w:r>
            <w:r w:rsidR="009A4DAC">
              <w:t>/d</w:t>
            </w:r>
            <w:r w:rsidR="00D60722">
              <w:t xml:space="preserve"> in rats</w:t>
            </w:r>
            <w:r w:rsidR="00891B9C">
              <w:t xml:space="preserve">; </w:t>
            </w:r>
            <w:r w:rsidR="00D60722">
              <w:t>increase</w:t>
            </w:r>
            <w:r w:rsidR="000F3B09">
              <w:t>s</w:t>
            </w:r>
            <w:r w:rsidR="00D60722">
              <w:rPr>
                <w:rFonts w:cs="Arial"/>
                <w:color w:val="1C1D1E"/>
                <w:shd w:val="clear" w:color="auto" w:fill="FFFFFF"/>
              </w:rPr>
              <w:t xml:space="preserve"> in liver relative weight and </w:t>
            </w:r>
            <w:r w:rsidR="00EF7E48">
              <w:rPr>
                <w:rFonts w:cs="Arial"/>
                <w:color w:val="1C1D1E"/>
                <w:shd w:val="clear" w:color="auto" w:fill="FFFFFF"/>
              </w:rPr>
              <w:t xml:space="preserve">liver </w:t>
            </w:r>
            <w:r w:rsidR="00D60722">
              <w:rPr>
                <w:rFonts w:cs="Arial"/>
                <w:color w:val="1C1D1E"/>
                <w:shd w:val="clear" w:color="auto" w:fill="FFFFFF"/>
              </w:rPr>
              <w:t>enzyme activity</w:t>
            </w:r>
            <w:r w:rsidR="00746783">
              <w:rPr>
                <w:rFonts w:cs="Arial"/>
                <w:color w:val="1C1D1E"/>
                <w:shd w:val="clear" w:color="auto" w:fill="FFFFFF"/>
              </w:rPr>
              <w:t xml:space="preserve"> at higher concentrations</w:t>
            </w:r>
            <w:r w:rsidR="00D60722">
              <w:rPr>
                <w:rFonts w:cs="Arial"/>
                <w:color w:val="1C1D1E"/>
                <w:shd w:val="clear" w:color="auto" w:fill="FFFFFF"/>
              </w:rPr>
              <w:t xml:space="preserve">; 22 </w:t>
            </w:r>
            <w:proofErr w:type="spellStart"/>
            <w:r w:rsidR="00D60722">
              <w:rPr>
                <w:rFonts w:cs="Arial"/>
                <w:color w:val="1C1D1E"/>
                <w:shd w:val="clear" w:color="auto" w:fill="FFFFFF"/>
              </w:rPr>
              <w:t>mo</w:t>
            </w:r>
            <w:proofErr w:type="spellEnd"/>
            <w:r w:rsidR="00D60722">
              <w:rPr>
                <w:rFonts w:cs="Arial"/>
                <w:color w:val="1C1D1E"/>
                <w:shd w:val="clear" w:color="auto" w:fill="FFFFFF"/>
              </w:rPr>
              <w:t xml:space="preserve"> feeding study</w:t>
            </w:r>
          </w:p>
          <w:p w14:paraId="1C7B0AD6" w14:textId="749AB58D" w:rsidR="00D60722" w:rsidRDefault="00261E63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of 10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(rounded) derived using </w:t>
            </w:r>
            <w:r w:rsidR="00891B9C">
              <w:t xml:space="preserve">no effect level </w:t>
            </w:r>
            <w:r>
              <w:t>and following factors:</w:t>
            </w:r>
          </w:p>
          <w:p w14:paraId="5513A1BB" w14:textId="5BE19106" w:rsidR="00261E63" w:rsidRDefault="004462B3" w:rsidP="004018F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261E63">
              <w:t>djustment for daily exposure in animals to 5 d work week 7/5</w:t>
            </w:r>
          </w:p>
          <w:p w14:paraId="4FA0E6A6" w14:textId="2CD2E870" w:rsidR="00261E63" w:rsidRDefault="004462B3" w:rsidP="004018F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261E63">
              <w:t>pecies correction factor of 1:4</w:t>
            </w:r>
          </w:p>
          <w:p w14:paraId="7D02CFF3" w14:textId="0463D821" w:rsidR="00261E63" w:rsidRDefault="004462B3" w:rsidP="004018F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o</w:t>
            </w:r>
            <w:r w:rsidR="00261E63">
              <w:t>ral absorption of 90% in rat</w:t>
            </w:r>
            <w:r w:rsidR="00891B9C">
              <w:t>s</w:t>
            </w:r>
          </w:p>
          <w:p w14:paraId="23105C18" w14:textId="3830CDB8" w:rsidR="005D3809" w:rsidRDefault="00261E63" w:rsidP="004018F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70 kg worker inhaling 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in 8 h</w:t>
            </w:r>
          </w:p>
          <w:p w14:paraId="2FB9635B" w14:textId="47999567" w:rsidR="00261E63" w:rsidRDefault="009D5EF8" w:rsidP="005D380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5D3809">
              <w:rPr>
                <w:rFonts w:cs="Arial"/>
              </w:rPr>
              <w:t>≡</w:t>
            </w:r>
            <w:r w:rsidR="0072720D">
              <w:t>22 mg/</w:t>
            </w:r>
            <w:proofErr w:type="spellStart"/>
            <w:r w:rsidR="0072720D">
              <w:t>m</w:t>
            </w:r>
            <w:r w:rsidR="0072720D" w:rsidRPr="005D3809">
              <w:rPr>
                <w:vertAlign w:val="superscript"/>
              </w:rPr>
              <w:t>3</w:t>
            </w:r>
            <w:proofErr w:type="spellEnd"/>
            <w:r w:rsidR="0072720D">
              <w:t xml:space="preserve">: </w:t>
            </w:r>
            <w:r w:rsidR="00766B59">
              <w:t xml:space="preserve">divided by an uncertainty factor of </w:t>
            </w:r>
            <w:r w:rsidR="00E477B9">
              <w:t xml:space="preserve">2 </w:t>
            </w:r>
            <w:r w:rsidR="00766B59">
              <w:t xml:space="preserve">for using an oral </w:t>
            </w:r>
            <w:r w:rsidR="002C317C">
              <w:t xml:space="preserve">study </w:t>
            </w:r>
            <w:r w:rsidR="00766B59">
              <w:t>resulting in</w:t>
            </w:r>
            <w:r w:rsidR="0072720D">
              <w:t xml:space="preserve"> </w:t>
            </w:r>
            <w:r w:rsidR="00766B59">
              <w:t xml:space="preserve">a TWA of </w:t>
            </w:r>
            <w:r w:rsidR="0072720D">
              <w:t>10 mg/</w:t>
            </w:r>
            <w:proofErr w:type="spellStart"/>
            <w:r w:rsidR="0072720D">
              <w:t>m</w:t>
            </w:r>
            <w:r w:rsidR="0072720D" w:rsidRPr="005D3809">
              <w:rPr>
                <w:vertAlign w:val="superscript"/>
              </w:rPr>
              <w:t>3</w:t>
            </w:r>
            <w:proofErr w:type="spellEnd"/>
            <w:r w:rsidR="00891B9C">
              <w:t>.</w:t>
            </w:r>
          </w:p>
          <w:p w14:paraId="73F621F6" w14:textId="4026E8AF" w:rsidR="002F39CA" w:rsidRPr="00DA352E" w:rsidRDefault="002F39CA" w:rsidP="004018F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A07FFA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2CC17F" w14:textId="20767E0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008F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E008F9">
                  <w:t>NA</w:t>
                </w:r>
                <w:proofErr w:type="spellEnd"/>
              </w:sdtContent>
            </w:sdt>
          </w:p>
        </w:tc>
      </w:tr>
      <w:tr w:rsidR="00C978F0" w:rsidRPr="00DA352E" w14:paraId="5C5A0A2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E76D54" w14:textId="54E01DB0" w:rsidR="00C978F0" w:rsidRPr="00DA352E" w:rsidRDefault="00E008F9" w:rsidP="003365A5">
            <w:pPr>
              <w:pStyle w:val="Tabletextprimarysource"/>
            </w:pPr>
            <w:r>
              <w:t>No report</w:t>
            </w:r>
            <w:r w:rsidR="007D4900">
              <w:t>.</w:t>
            </w:r>
          </w:p>
        </w:tc>
      </w:tr>
      <w:tr w:rsidR="00DA352E" w:rsidRPr="00DA352E" w14:paraId="5059A11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455850" w14:textId="12890E8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008F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008F9">
                  <w:t>NA</w:t>
                </w:r>
                <w:proofErr w:type="spellEnd"/>
              </w:sdtContent>
            </w:sdt>
          </w:p>
        </w:tc>
      </w:tr>
      <w:tr w:rsidR="00DA352E" w:rsidRPr="00DA352E" w14:paraId="6962D00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86F49C" w14:textId="71C441CB" w:rsidR="00DA352E" w:rsidRPr="00DA352E" w:rsidRDefault="00E008F9" w:rsidP="003365A5">
            <w:pPr>
              <w:pStyle w:val="Tabletextprimarysource"/>
            </w:pPr>
            <w:r>
              <w:t>No report</w:t>
            </w:r>
            <w:r w:rsidR="007D4900">
              <w:t>.</w:t>
            </w:r>
          </w:p>
        </w:tc>
      </w:tr>
      <w:tr w:rsidR="00DA352E" w:rsidRPr="00DA352E" w14:paraId="026323D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D4523A" w14:textId="1E7F2B0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008F9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618F7" w:rsidRPr="00A618F7">
                  <w:t>TWA</w:t>
                </w:r>
                <w:r w:rsidR="00843A32">
                  <w:t xml:space="preserve">: </w:t>
                </w:r>
                <w:r w:rsidR="00762682">
                  <w:t>10</w:t>
                </w:r>
                <w:r w:rsidR="00A618F7">
                  <w:t xml:space="preserve"> mg/</w:t>
                </w:r>
                <w:proofErr w:type="spellStart"/>
                <w:r w:rsidR="00A618F7">
                  <w:t>m</w:t>
                </w:r>
                <w:r w:rsidR="00A618F7" w:rsidRPr="00A618F7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DA352E" w:rsidRPr="00DA352E" w14:paraId="4C304E6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9A06ADE" w14:textId="601567B1" w:rsidR="00762682" w:rsidRDefault="00762682" w:rsidP="003365A5">
            <w:pPr>
              <w:pStyle w:val="Tabletextprimarysource"/>
            </w:pPr>
            <w:r>
              <w:t xml:space="preserve">Current TWA is an administrative OEL. </w:t>
            </w:r>
          </w:p>
          <w:p w14:paraId="3037C991" w14:textId="39C49980" w:rsidR="00762682" w:rsidRPr="00762682" w:rsidRDefault="00762682" w:rsidP="003365A5">
            <w:pPr>
              <w:pStyle w:val="Tabletextprimarysource"/>
            </w:pPr>
            <w:r>
              <w:t>A health-based TWA of 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is recommended based on the following</w:t>
            </w:r>
            <w:r w:rsidR="009D5EF8">
              <w:t xml:space="preserve"> information</w:t>
            </w:r>
            <w:r>
              <w:t>.</w:t>
            </w:r>
          </w:p>
          <w:p w14:paraId="4076C083" w14:textId="778CA4EF" w:rsidR="00DA352E" w:rsidRDefault="00261E63" w:rsidP="003365A5">
            <w:pPr>
              <w:pStyle w:val="Tabletextprimarysource"/>
            </w:pPr>
            <w:r>
              <w:t>Summary of additional data:</w:t>
            </w:r>
          </w:p>
          <w:p w14:paraId="6EFD0D3C" w14:textId="2BA32D55" w:rsidR="00261E63" w:rsidRDefault="00D65AC7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studies suggest mildly irritating to skin; skin sensitiser in some cases</w:t>
            </w:r>
            <w:r w:rsidR="007D4900">
              <w:t xml:space="preserve"> (humans)</w:t>
            </w:r>
          </w:p>
          <w:p w14:paraId="2E804ABD" w14:textId="77777777" w:rsidR="00D65AC7" w:rsidRDefault="00D65AC7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Slightly irritating to the skin and the eyes of rabbits</w:t>
            </w:r>
          </w:p>
          <w:p w14:paraId="115F71A6" w14:textId="77777777" w:rsidR="00D65AC7" w:rsidRDefault="00D65AC7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skin sensitisation was demonstrated in guinea pigs</w:t>
            </w:r>
          </w:p>
          <w:p w14:paraId="4E8B0E62" w14:textId="4FE41061" w:rsidR="00D65AC7" w:rsidRDefault="00D65AC7" w:rsidP="004018F8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of 25 mg/kg/d in rats; decrease in </w:t>
            </w:r>
            <w:r w:rsidR="009A4DAC">
              <w:t xml:space="preserve">body weight </w:t>
            </w:r>
            <w:r>
              <w:t xml:space="preserve">in </w:t>
            </w:r>
            <w:proofErr w:type="spellStart"/>
            <w:r>
              <w:t>BHT</w:t>
            </w:r>
            <w:proofErr w:type="spellEnd"/>
            <w:r>
              <w:t>-treated offspring and hepatic enzyme induction</w:t>
            </w:r>
            <w:r w:rsidR="00843A32">
              <w:t xml:space="preserve">; </w:t>
            </w:r>
            <w:r>
              <w:t xml:space="preserve">2-gen reproductive </w:t>
            </w:r>
            <w:r w:rsidR="00843A32">
              <w:t>study</w:t>
            </w:r>
          </w:p>
          <w:p w14:paraId="18B23311" w14:textId="06F6D2A8" w:rsidR="00843A32" w:rsidRDefault="00843A32" w:rsidP="004018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of </w:t>
            </w:r>
            <w:r w:rsidR="00B726DA">
              <w:t xml:space="preserve">5 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(rounded) derived using </w:t>
            </w:r>
            <w:proofErr w:type="spellStart"/>
            <w:r>
              <w:t>NOA</w:t>
            </w:r>
            <w:r w:rsidR="00746783">
              <w:t>E</w:t>
            </w:r>
            <w:r>
              <w:t>L</w:t>
            </w:r>
            <w:proofErr w:type="spellEnd"/>
            <w:r>
              <w:t xml:space="preserve"> and following factors:</w:t>
            </w:r>
          </w:p>
          <w:p w14:paraId="075DDB56" w14:textId="1B032838" w:rsidR="00843A32" w:rsidRDefault="004462B3" w:rsidP="004018F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843A32">
              <w:t>djustment for daily exposure in animals to 5 d work week 7/5</w:t>
            </w:r>
          </w:p>
          <w:p w14:paraId="36B422A6" w14:textId="490FDE02" w:rsidR="00843A32" w:rsidRDefault="004462B3" w:rsidP="004018F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843A32">
              <w:t xml:space="preserve">llometric scaling </w:t>
            </w:r>
            <w:r>
              <w:t xml:space="preserve">of </w:t>
            </w:r>
            <w:r w:rsidR="00843A32">
              <w:t>rats to humans</w:t>
            </w:r>
            <w:r>
              <w:t xml:space="preserve"> =</w:t>
            </w:r>
            <w:r w:rsidR="00843A32">
              <w:t>4</w:t>
            </w:r>
          </w:p>
          <w:p w14:paraId="3F2FF9D6" w14:textId="0D494D40" w:rsidR="00843A32" w:rsidRDefault="004462B3" w:rsidP="004018F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o</w:t>
            </w:r>
            <w:r w:rsidR="00843A32">
              <w:t>verall factor of 18</w:t>
            </w:r>
            <w:r w:rsidR="00A54A75">
              <w:t xml:space="preserve"> (explanation not included)</w:t>
            </w:r>
            <w:r w:rsidR="00843A32">
              <w:t>, covering inter- and intraspecies variation</w:t>
            </w:r>
          </w:p>
          <w:p w14:paraId="064F80F8" w14:textId="77777777" w:rsidR="00843A32" w:rsidRDefault="00843A32" w:rsidP="004018F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70 kg worker inhaling 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in 8 h</w:t>
            </w:r>
            <w:r w:rsidR="00EE2343">
              <w:t>.</w:t>
            </w:r>
          </w:p>
          <w:p w14:paraId="30627507" w14:textId="49E23672" w:rsidR="002F39CA" w:rsidRPr="00DA352E" w:rsidRDefault="002F39CA" w:rsidP="004018F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743DCE57" w14:textId="4AB7D96C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A1CE678" w14:textId="1BB34DDE" w:rsidR="00BC3A3D" w:rsidRPr="00BC3A3D" w:rsidRDefault="00BC3A3D" w:rsidP="00BC3A3D">
      <w:pPr>
        <w:rPr>
          <w:lang w:eastAsia="en-AU"/>
        </w:rPr>
      </w:pPr>
      <w:r>
        <w:rPr>
          <w:lang w:eastAsia="en-AU"/>
        </w:rPr>
        <w:t>NIL</w:t>
      </w:r>
      <w:r w:rsidR="00EF7E48">
        <w:rPr>
          <w:lang w:eastAsia="en-AU"/>
        </w:rPr>
        <w:t>.</w:t>
      </w:r>
    </w:p>
    <w:bookmarkEnd w:id="0"/>
    <w:p w14:paraId="58C0DAA2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00C33A3" w14:textId="77777777" w:rsidTr="00B976DC">
        <w:trPr>
          <w:trHeight w:val="454"/>
          <w:tblHeader/>
        </w:trPr>
        <w:tc>
          <w:tcPr>
            <w:tcW w:w="6603" w:type="dxa"/>
            <w:vAlign w:val="center"/>
          </w:tcPr>
          <w:p w14:paraId="79906C3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49555E0" w14:textId="4AA9F2EA" w:rsidR="002E0D61" w:rsidRDefault="00B976D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4F2D6D3" w14:textId="77777777" w:rsidTr="00B976D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954B792" w14:textId="5349B534" w:rsidR="008A36CF" w:rsidRPr="006901A2" w:rsidRDefault="00B976D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2132EA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F3EC16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D8B37E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58EC97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1D3986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907203C" w14:textId="77777777" w:rsidTr="00812887">
        <w:trPr>
          <w:cantSplit/>
        </w:trPr>
        <w:tc>
          <w:tcPr>
            <w:tcW w:w="3227" w:type="dxa"/>
          </w:tcPr>
          <w:p w14:paraId="20ED975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5D43521" w14:textId="371A9CFE" w:rsidR="00687890" w:rsidRPr="00DD2F9B" w:rsidRDefault="00A618F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E474042" w14:textId="77777777" w:rsidTr="00812887">
        <w:trPr>
          <w:cantSplit/>
        </w:trPr>
        <w:tc>
          <w:tcPr>
            <w:tcW w:w="3227" w:type="dxa"/>
          </w:tcPr>
          <w:p w14:paraId="316C7131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283F4503" w14:textId="7F8034AA" w:rsidR="007925F0" w:rsidRPr="00DD2F9B" w:rsidRDefault="00A618F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811F0F4" w14:textId="77777777" w:rsidTr="00812887">
        <w:trPr>
          <w:cantSplit/>
        </w:trPr>
        <w:tc>
          <w:tcPr>
            <w:tcW w:w="3227" w:type="dxa"/>
          </w:tcPr>
          <w:p w14:paraId="2E78F859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1DC3609" w14:textId="4F335838" w:rsidR="00AF483F" w:rsidRPr="00DD2F9B" w:rsidRDefault="00A618F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DA95753" w14:textId="77777777" w:rsidTr="00812887">
        <w:trPr>
          <w:cantSplit/>
        </w:trPr>
        <w:tc>
          <w:tcPr>
            <w:tcW w:w="3227" w:type="dxa"/>
          </w:tcPr>
          <w:p w14:paraId="535599E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5FD3365" w14:textId="56D357E8" w:rsidR="00687890" w:rsidRPr="00DD2F9B" w:rsidRDefault="00A618F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87635A0" w14:textId="77777777" w:rsidTr="00812887">
        <w:trPr>
          <w:cantSplit/>
        </w:trPr>
        <w:tc>
          <w:tcPr>
            <w:tcW w:w="3227" w:type="dxa"/>
          </w:tcPr>
          <w:p w14:paraId="5487D66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A382F29" w14:textId="4CEA1CD3" w:rsidR="00E41A26" w:rsidRPr="00DD2F9B" w:rsidRDefault="00A618F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4A1592E" w14:textId="77777777" w:rsidTr="00812887">
        <w:trPr>
          <w:cantSplit/>
        </w:trPr>
        <w:tc>
          <w:tcPr>
            <w:tcW w:w="3227" w:type="dxa"/>
          </w:tcPr>
          <w:p w14:paraId="49F40D2C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2AA26DA" w14:textId="69BB9BAF" w:rsidR="002E0D61" w:rsidRPr="00DD2F9B" w:rsidRDefault="00A618F7" w:rsidP="00DD2F9B">
            <w:pPr>
              <w:pStyle w:val="Tablefont"/>
            </w:pPr>
            <w:r w:rsidRPr="00A618F7">
              <w:t xml:space="preserve">Carcinogenicity – </w:t>
            </w:r>
            <w:proofErr w:type="spellStart"/>
            <w:r w:rsidRPr="00A618F7">
              <w:t>A4</w:t>
            </w:r>
            <w:proofErr w:type="spellEnd"/>
          </w:p>
        </w:tc>
      </w:tr>
      <w:tr w:rsidR="002E0D61" w:rsidRPr="004C23F4" w14:paraId="210F937B" w14:textId="77777777" w:rsidTr="00812887">
        <w:trPr>
          <w:cantSplit/>
        </w:trPr>
        <w:tc>
          <w:tcPr>
            <w:tcW w:w="3227" w:type="dxa"/>
          </w:tcPr>
          <w:p w14:paraId="7CE70755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6114EF9" w14:textId="11F0B2EC" w:rsidR="002E0D61" w:rsidRPr="00DD2F9B" w:rsidRDefault="00A618F7" w:rsidP="00DD2F9B">
            <w:pPr>
              <w:pStyle w:val="Tablefont"/>
            </w:pPr>
            <w:r w:rsidRPr="00A618F7">
              <w:t>Carcinogenicity – 4</w:t>
            </w:r>
          </w:p>
        </w:tc>
      </w:tr>
      <w:tr w:rsidR="002E0D61" w:rsidRPr="004C23F4" w14:paraId="32AA5112" w14:textId="77777777" w:rsidTr="00812887">
        <w:trPr>
          <w:cantSplit/>
        </w:trPr>
        <w:tc>
          <w:tcPr>
            <w:tcW w:w="3227" w:type="dxa"/>
          </w:tcPr>
          <w:p w14:paraId="6D99942C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37D6488E" w14:textId="1A306292" w:rsidR="002E0D61" w:rsidRPr="00DD2F9B" w:rsidRDefault="00A618F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E1CC769" w14:textId="77777777" w:rsidTr="00812887">
        <w:trPr>
          <w:cantSplit/>
        </w:trPr>
        <w:tc>
          <w:tcPr>
            <w:tcW w:w="3227" w:type="dxa"/>
          </w:tcPr>
          <w:p w14:paraId="4AF4DF14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F1EDD4E" w14:textId="503E872D" w:rsidR="002E0D61" w:rsidRPr="00DD2F9B" w:rsidRDefault="00A618F7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060253A6" w14:textId="77777777" w:rsidTr="00812887">
        <w:trPr>
          <w:cantSplit/>
        </w:trPr>
        <w:tc>
          <w:tcPr>
            <w:tcW w:w="3227" w:type="dxa"/>
          </w:tcPr>
          <w:p w14:paraId="411AEB5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0C2A35F" w14:textId="5BEAD2B1" w:rsidR="00386093" w:rsidRPr="00DD2F9B" w:rsidRDefault="00A618F7" w:rsidP="00DD2F9B">
            <w:pPr>
              <w:pStyle w:val="Tablefont"/>
            </w:pPr>
            <w:r w:rsidRPr="00A618F7">
              <w:t>Carcinogenicity – category 3</w:t>
            </w:r>
          </w:p>
        </w:tc>
      </w:tr>
      <w:tr w:rsidR="00386093" w:rsidRPr="004C23F4" w14:paraId="4EDF5F64" w14:textId="77777777" w:rsidTr="00812887">
        <w:trPr>
          <w:cantSplit/>
        </w:trPr>
        <w:tc>
          <w:tcPr>
            <w:tcW w:w="3227" w:type="dxa"/>
          </w:tcPr>
          <w:p w14:paraId="224FBC82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7FF795A" w14:textId="2526AF99" w:rsidR="00386093" w:rsidRPr="00DD2F9B" w:rsidRDefault="00A618F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A5B562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D059D7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624095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B76C30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FA8A18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65" w:type="dxa"/>
              <w:tblLook w:val="04A0" w:firstRow="1" w:lastRow="0" w:firstColumn="1" w:lastColumn="0" w:noHBand="0" w:noVBand="1"/>
            </w:tblPr>
            <w:tblGrid>
              <w:gridCol w:w="3824"/>
              <w:gridCol w:w="1131"/>
              <w:gridCol w:w="1131"/>
              <w:gridCol w:w="2724"/>
            </w:tblGrid>
            <w:tr w:rsidR="00B976DC" w:rsidRPr="00B976DC" w14:paraId="54788616" w14:textId="77777777" w:rsidTr="00B976DC">
              <w:trPr>
                <w:trHeight w:val="322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202CDD" w14:textId="77777777" w:rsidR="00B976DC" w:rsidRPr="00B976DC" w:rsidRDefault="00B976DC" w:rsidP="00B976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765D8C6" w14:textId="77777777" w:rsidR="00B976DC" w:rsidRPr="00B976DC" w:rsidRDefault="00B976DC" w:rsidP="00B976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3A1081" w14:textId="77777777" w:rsidR="00B976DC" w:rsidRPr="00B976DC" w:rsidRDefault="00B976DC" w:rsidP="00B976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97DFFB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76DC" w:rsidRPr="00B976DC" w14:paraId="08E56880" w14:textId="77777777" w:rsidTr="00B976DC">
              <w:trPr>
                <w:trHeight w:val="322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BCD508" w14:textId="77777777" w:rsidR="00B976DC" w:rsidRPr="00B976DC" w:rsidRDefault="00B976DC" w:rsidP="00B976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4561FC" w14:textId="77777777" w:rsidR="00B976DC" w:rsidRPr="00B976DC" w:rsidRDefault="00B976DC" w:rsidP="00B976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CCBE5E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AFCA02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76DC" w:rsidRPr="00B976DC" w14:paraId="42BC0349" w14:textId="77777777" w:rsidTr="00B976DC">
              <w:trPr>
                <w:trHeight w:val="322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E6ABB2" w14:textId="77777777" w:rsidR="00B976DC" w:rsidRPr="00B976DC" w:rsidRDefault="00B976DC" w:rsidP="00B976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55CA85" w14:textId="77777777" w:rsidR="00B976DC" w:rsidRPr="00B976DC" w:rsidRDefault="00B976DC" w:rsidP="00B976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4717A6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631226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76DC" w:rsidRPr="00B976DC" w14:paraId="16AC02A1" w14:textId="77777777" w:rsidTr="00B976DC">
              <w:trPr>
                <w:trHeight w:val="322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D6EC4C" w14:textId="77777777" w:rsidR="00B976DC" w:rsidRPr="00B976DC" w:rsidRDefault="00B976DC" w:rsidP="00B976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340536" w14:textId="77777777" w:rsidR="00B976DC" w:rsidRPr="00B976DC" w:rsidRDefault="00B976DC" w:rsidP="00B976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B8CE24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C94013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76DC" w:rsidRPr="00B976DC" w14:paraId="57437670" w14:textId="77777777" w:rsidTr="00B976DC">
              <w:trPr>
                <w:trHeight w:val="322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ED995A" w14:textId="77777777" w:rsidR="00B976DC" w:rsidRPr="00B976DC" w:rsidRDefault="00B976DC" w:rsidP="00B976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20FABF" w14:textId="77777777" w:rsidR="00B976DC" w:rsidRPr="00B976DC" w:rsidRDefault="00B976DC" w:rsidP="00B976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403E30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9E983E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76DC" w:rsidRPr="00B976DC" w14:paraId="6DC5B68B" w14:textId="77777777" w:rsidTr="00B976DC">
              <w:trPr>
                <w:trHeight w:val="322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238073" w14:textId="77777777" w:rsidR="00B976DC" w:rsidRPr="00B976DC" w:rsidRDefault="00B976DC" w:rsidP="00B976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03ACD8" w14:textId="77777777" w:rsidR="00B976DC" w:rsidRPr="00B976DC" w:rsidRDefault="00B976DC" w:rsidP="00B976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0AB7FB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40E608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76DC" w:rsidRPr="00B976DC" w14:paraId="44837122" w14:textId="77777777" w:rsidTr="00B976DC">
              <w:trPr>
                <w:trHeight w:val="322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F8D33A" w14:textId="77777777" w:rsidR="00B976DC" w:rsidRPr="00B976DC" w:rsidRDefault="00B976DC" w:rsidP="00B976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CC4517" w14:textId="77777777" w:rsidR="00B976DC" w:rsidRPr="00B976DC" w:rsidRDefault="00B976DC" w:rsidP="00B976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836835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41A5D3" w14:textId="77777777" w:rsidR="00B976DC" w:rsidRPr="00B976DC" w:rsidRDefault="00B976DC" w:rsidP="00B976D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76D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F86C10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34AA76B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E04141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2057DC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7B60C56" w14:textId="2556230A" w:rsidR="00EB3D1B" w:rsidRDefault="00A618F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D828BF8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5500C5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4080F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9A11FDB" w14:textId="6599E265" w:rsidR="001B79E5" w:rsidRDefault="00A618F7" w:rsidP="001B79E5">
                <w:pPr>
                  <w:pStyle w:val="Tablefont"/>
                </w:pPr>
                <w:r w:rsidRPr="00A618F7">
                  <w:t>220.35</w:t>
                </w:r>
              </w:p>
            </w:tc>
          </w:sdtContent>
        </w:sdt>
      </w:tr>
      <w:tr w:rsidR="00A31D99" w:rsidRPr="004C23F4" w14:paraId="204BE4B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AF75CFF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EB77D3A" w14:textId="476529E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A618F7">
                  <w:t>9.01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618F7">
                  <w:t>0.11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5BE6DF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A917D9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A8B1C0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403CAA5" w14:textId="77777777" w:rsidTr="00EA6243">
        <w:trPr>
          <w:cantSplit/>
        </w:trPr>
        <w:tc>
          <w:tcPr>
            <w:tcW w:w="4077" w:type="dxa"/>
            <w:vAlign w:val="center"/>
          </w:tcPr>
          <w:p w14:paraId="158E670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12D1B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77EA0EF" w14:textId="77777777" w:rsidTr="00EA6243">
        <w:trPr>
          <w:cantSplit/>
        </w:trPr>
        <w:tc>
          <w:tcPr>
            <w:tcW w:w="4077" w:type="dxa"/>
            <w:vAlign w:val="center"/>
          </w:tcPr>
          <w:p w14:paraId="3081F72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F2890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34C138E" w14:textId="77777777" w:rsidTr="00EA6243">
        <w:trPr>
          <w:cantSplit/>
        </w:trPr>
        <w:tc>
          <w:tcPr>
            <w:tcW w:w="4077" w:type="dxa"/>
            <w:vAlign w:val="center"/>
          </w:tcPr>
          <w:p w14:paraId="7FF0EC2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8A0939F" w14:textId="77777777" w:rsidR="00E06F40" w:rsidRPr="00A006A0" w:rsidRDefault="005B71A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896EB6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12F4F4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0D2A15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B838FC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3F46483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F0076F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FE088F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1C0A47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671FACD" w14:textId="0E911DF9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70378955" w14:textId="76ADB36A" w:rsidR="00A618F7" w:rsidRDefault="00A618F7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>) (</w:t>
      </w:r>
      <w:r w:rsidR="009D5EF8">
        <w:t>2012</w:t>
      </w:r>
      <w:r>
        <w:t xml:space="preserve">) </w:t>
      </w:r>
      <w:r w:rsidRPr="00A618F7">
        <w:t>2,6-Di-tert-butyl-p-cresol (</w:t>
      </w:r>
      <w:proofErr w:type="spellStart"/>
      <w:r w:rsidRPr="00A618F7">
        <w:t>BHT</w:t>
      </w:r>
      <w:proofErr w:type="spellEnd"/>
      <w:r w:rsidRPr="00A618F7">
        <w:t>)</w:t>
      </w:r>
      <w:r>
        <w:t xml:space="preserve"> – MAK value documentation.</w:t>
      </w:r>
    </w:p>
    <w:p w14:paraId="1DDD093E" w14:textId="771D133D" w:rsidR="00A618F7" w:rsidRDefault="00A618F7" w:rsidP="00084859">
      <w:r>
        <w:t>Health Council of the Netherlands (</w:t>
      </w:r>
      <w:proofErr w:type="spellStart"/>
      <w:r>
        <w:t>HCOTN</w:t>
      </w:r>
      <w:proofErr w:type="spellEnd"/>
      <w:r>
        <w:t xml:space="preserve">) (2004) </w:t>
      </w:r>
      <w:r w:rsidRPr="00A618F7">
        <w:t>2,6-Di-tert-butyl-p-cresol</w:t>
      </w:r>
      <w:r>
        <w:t>. Health-based calculated occupational cancer risk values. The Hague: Health Council of the Netherlands; publication no. 2000/</w:t>
      </w:r>
      <w:proofErr w:type="spellStart"/>
      <w:r>
        <w:t>15OSH</w:t>
      </w:r>
      <w:proofErr w:type="spellEnd"/>
      <w:r>
        <w:t>/101.</w:t>
      </w:r>
    </w:p>
    <w:p w14:paraId="5440B4F6" w14:textId="251F6C86" w:rsidR="00A618F7" w:rsidRPr="00351FE0" w:rsidRDefault="00A618F7" w:rsidP="00084859">
      <w:r>
        <w:t>International Agency for Research on Cancer (IARC) (</w:t>
      </w:r>
      <w:r w:rsidRPr="00A618F7">
        <w:t>1987</w:t>
      </w:r>
      <w:r>
        <w:t xml:space="preserve">) </w:t>
      </w:r>
      <w:r w:rsidRPr="00A618F7">
        <w:t>Butylated hydroxytoluene (</w:t>
      </w:r>
      <w:proofErr w:type="spellStart"/>
      <w:r w:rsidRPr="00A618F7">
        <w:t>BHT</w:t>
      </w:r>
      <w:proofErr w:type="spellEnd"/>
      <w:r w:rsidRPr="00A618F7">
        <w:t>)</w:t>
      </w:r>
      <w:r>
        <w:t>. IARC Monographs on the evaluation of the carcinogenic risk to humans.</w:t>
      </w:r>
    </w:p>
    <w:sectPr w:rsidR="00A618F7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B814C" w14:textId="77777777" w:rsidR="00EC62B3" w:rsidRDefault="00EC62B3" w:rsidP="00F43AD5">
      <w:pPr>
        <w:spacing w:after="0" w:line="240" w:lineRule="auto"/>
      </w:pPr>
      <w:r>
        <w:separator/>
      </w:r>
    </w:p>
  </w:endnote>
  <w:endnote w:type="continuationSeparator" w:id="0">
    <w:p w14:paraId="4D319666" w14:textId="77777777" w:rsidR="00EC62B3" w:rsidRDefault="00EC62B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00F1D" w14:textId="77777777" w:rsidR="000F73EB" w:rsidRDefault="000F73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F52D33C" w14:textId="27CEC46A" w:rsidR="008A36CF" w:rsidRDefault="00E008F9" w:rsidP="0034744C">
        <w:pPr>
          <w:pStyle w:val="Footer"/>
          <w:rPr>
            <w:sz w:val="18"/>
            <w:szCs w:val="18"/>
          </w:rPr>
        </w:pPr>
        <w:r w:rsidRPr="00E008F9">
          <w:rPr>
            <w:b/>
            <w:sz w:val="18"/>
            <w:szCs w:val="18"/>
          </w:rPr>
          <w:t>2,6-Di-tert-butyl-p-cresol</w:t>
        </w:r>
        <w:r w:rsidR="008A36CF">
          <w:rPr>
            <w:b/>
            <w:sz w:val="18"/>
            <w:szCs w:val="18"/>
          </w:rPr>
          <w:t xml:space="preserve"> (</w:t>
        </w:r>
        <w:r w:rsidRPr="00E008F9">
          <w:rPr>
            <w:b/>
            <w:sz w:val="18"/>
            <w:szCs w:val="18"/>
          </w:rPr>
          <w:t>128-37-0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77E9F9C" w14:textId="46B0DFB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F73E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6615A" w14:textId="77777777" w:rsidR="000F73EB" w:rsidRDefault="000F73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CDA8C" w14:textId="77777777" w:rsidR="00EC62B3" w:rsidRDefault="00EC62B3" w:rsidP="00F43AD5">
      <w:pPr>
        <w:spacing w:after="0" w:line="240" w:lineRule="auto"/>
      </w:pPr>
      <w:r>
        <w:separator/>
      </w:r>
    </w:p>
  </w:footnote>
  <w:footnote w:type="continuationSeparator" w:id="0">
    <w:p w14:paraId="2D957682" w14:textId="77777777" w:rsidR="00EC62B3" w:rsidRDefault="00EC62B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40C77" w14:textId="645B303E" w:rsidR="000F73EB" w:rsidRDefault="000F73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5DB4B" w14:textId="1956A14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7B04B" w14:textId="372011E4" w:rsidR="000F73EB" w:rsidRDefault="000F73E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A43B4" w14:textId="4009D816" w:rsidR="000F73EB" w:rsidRDefault="000F73E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4FC67" w14:textId="54B3AC4B" w:rsidR="008A36CF" w:rsidRDefault="00EF6A9D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4BA93C8" wp14:editId="44C4479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7FE2E" w14:textId="2B74EF37" w:rsidR="000F73EB" w:rsidRDefault="000F73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E12BE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105715"/>
    <w:multiLevelType w:val="hybridMultilevel"/>
    <w:tmpl w:val="EDFC679C"/>
    <w:lvl w:ilvl="0" w:tplc="0C206D5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979D3"/>
    <w:multiLevelType w:val="hybridMultilevel"/>
    <w:tmpl w:val="D7AC6B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C6565"/>
    <w:multiLevelType w:val="hybridMultilevel"/>
    <w:tmpl w:val="587855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25AED"/>
    <w:multiLevelType w:val="hybridMultilevel"/>
    <w:tmpl w:val="1646D89C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2136484927">
    <w:abstractNumId w:val="0"/>
  </w:num>
  <w:num w:numId="2" w16cid:durableId="199710499">
    <w:abstractNumId w:val="3"/>
  </w:num>
  <w:num w:numId="3" w16cid:durableId="1101217566">
    <w:abstractNumId w:val="0"/>
  </w:num>
  <w:num w:numId="4" w16cid:durableId="449085373">
    <w:abstractNumId w:val="2"/>
  </w:num>
  <w:num w:numId="5" w16cid:durableId="832376230">
    <w:abstractNumId w:val="1"/>
  </w:num>
  <w:num w:numId="6" w16cid:durableId="1428770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B00"/>
    <w:rsid w:val="00007B80"/>
    <w:rsid w:val="00013A22"/>
    <w:rsid w:val="0001453E"/>
    <w:rsid w:val="00014C3F"/>
    <w:rsid w:val="00017C82"/>
    <w:rsid w:val="00032B88"/>
    <w:rsid w:val="00046DF5"/>
    <w:rsid w:val="00051C76"/>
    <w:rsid w:val="00052060"/>
    <w:rsid w:val="00055033"/>
    <w:rsid w:val="0005574A"/>
    <w:rsid w:val="00055FE1"/>
    <w:rsid w:val="00056EC2"/>
    <w:rsid w:val="00060B48"/>
    <w:rsid w:val="00067F32"/>
    <w:rsid w:val="00071807"/>
    <w:rsid w:val="0007522E"/>
    <w:rsid w:val="000803E1"/>
    <w:rsid w:val="00082335"/>
    <w:rsid w:val="00084513"/>
    <w:rsid w:val="00084859"/>
    <w:rsid w:val="000875AC"/>
    <w:rsid w:val="00092D94"/>
    <w:rsid w:val="000A3CFC"/>
    <w:rsid w:val="000B0868"/>
    <w:rsid w:val="000B3E12"/>
    <w:rsid w:val="000B3E78"/>
    <w:rsid w:val="000B5745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3B09"/>
    <w:rsid w:val="000F73EB"/>
    <w:rsid w:val="00101C62"/>
    <w:rsid w:val="00103039"/>
    <w:rsid w:val="0010461E"/>
    <w:rsid w:val="00106FAA"/>
    <w:rsid w:val="00107245"/>
    <w:rsid w:val="00113443"/>
    <w:rsid w:val="00122499"/>
    <w:rsid w:val="001269A7"/>
    <w:rsid w:val="00131092"/>
    <w:rsid w:val="00137683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02E2"/>
    <w:rsid w:val="001A1287"/>
    <w:rsid w:val="001A3859"/>
    <w:rsid w:val="001A3C9D"/>
    <w:rsid w:val="001A43F8"/>
    <w:rsid w:val="001B79E5"/>
    <w:rsid w:val="001C0DC2"/>
    <w:rsid w:val="001C5A7E"/>
    <w:rsid w:val="001D56F0"/>
    <w:rsid w:val="001D663B"/>
    <w:rsid w:val="001D7B41"/>
    <w:rsid w:val="001E1212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6E6"/>
    <w:rsid w:val="00213640"/>
    <w:rsid w:val="00221547"/>
    <w:rsid w:val="002216FC"/>
    <w:rsid w:val="002222B6"/>
    <w:rsid w:val="00222533"/>
    <w:rsid w:val="00222F30"/>
    <w:rsid w:val="00223CAE"/>
    <w:rsid w:val="00224EE2"/>
    <w:rsid w:val="00227EC7"/>
    <w:rsid w:val="00244AD1"/>
    <w:rsid w:val="002463BC"/>
    <w:rsid w:val="002465CE"/>
    <w:rsid w:val="0025734A"/>
    <w:rsid w:val="00261E63"/>
    <w:rsid w:val="00263255"/>
    <w:rsid w:val="0026656E"/>
    <w:rsid w:val="00276494"/>
    <w:rsid w:val="00277B0C"/>
    <w:rsid w:val="002B1A2C"/>
    <w:rsid w:val="002C317C"/>
    <w:rsid w:val="002C34F2"/>
    <w:rsid w:val="002C58FF"/>
    <w:rsid w:val="002C7AFE"/>
    <w:rsid w:val="002D05D2"/>
    <w:rsid w:val="002E0D61"/>
    <w:rsid w:val="002E3BC3"/>
    <w:rsid w:val="002E4C7B"/>
    <w:rsid w:val="002E5A3D"/>
    <w:rsid w:val="002F39CA"/>
    <w:rsid w:val="002F51DA"/>
    <w:rsid w:val="002F5D53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6714"/>
    <w:rsid w:val="00347192"/>
    <w:rsid w:val="0034744C"/>
    <w:rsid w:val="00351FE0"/>
    <w:rsid w:val="00352615"/>
    <w:rsid w:val="0035412B"/>
    <w:rsid w:val="00354623"/>
    <w:rsid w:val="003567A8"/>
    <w:rsid w:val="00360179"/>
    <w:rsid w:val="00362895"/>
    <w:rsid w:val="00370DBF"/>
    <w:rsid w:val="00372864"/>
    <w:rsid w:val="00385F58"/>
    <w:rsid w:val="00386093"/>
    <w:rsid w:val="003904A4"/>
    <w:rsid w:val="00391841"/>
    <w:rsid w:val="00391B6D"/>
    <w:rsid w:val="00391B92"/>
    <w:rsid w:val="00394922"/>
    <w:rsid w:val="003A0E32"/>
    <w:rsid w:val="003A2B94"/>
    <w:rsid w:val="003A66FB"/>
    <w:rsid w:val="003B387D"/>
    <w:rsid w:val="003C0D58"/>
    <w:rsid w:val="003D4FA3"/>
    <w:rsid w:val="003E0807"/>
    <w:rsid w:val="003E1641"/>
    <w:rsid w:val="003E51FB"/>
    <w:rsid w:val="003E6B39"/>
    <w:rsid w:val="003F01FD"/>
    <w:rsid w:val="003F07E1"/>
    <w:rsid w:val="004018F8"/>
    <w:rsid w:val="004030BC"/>
    <w:rsid w:val="00403F7D"/>
    <w:rsid w:val="00406785"/>
    <w:rsid w:val="004079B4"/>
    <w:rsid w:val="00411980"/>
    <w:rsid w:val="00417A56"/>
    <w:rsid w:val="00420957"/>
    <w:rsid w:val="00422A10"/>
    <w:rsid w:val="00430179"/>
    <w:rsid w:val="004414B5"/>
    <w:rsid w:val="00444482"/>
    <w:rsid w:val="00444B42"/>
    <w:rsid w:val="00445E44"/>
    <w:rsid w:val="004462B3"/>
    <w:rsid w:val="004509E2"/>
    <w:rsid w:val="004515EE"/>
    <w:rsid w:val="00451876"/>
    <w:rsid w:val="004529F0"/>
    <w:rsid w:val="0045419E"/>
    <w:rsid w:val="00460A03"/>
    <w:rsid w:val="004724B1"/>
    <w:rsid w:val="00472A11"/>
    <w:rsid w:val="00472AAD"/>
    <w:rsid w:val="00474556"/>
    <w:rsid w:val="00474E33"/>
    <w:rsid w:val="00475CAF"/>
    <w:rsid w:val="00476803"/>
    <w:rsid w:val="00476F93"/>
    <w:rsid w:val="004820C2"/>
    <w:rsid w:val="00485BFD"/>
    <w:rsid w:val="004867A2"/>
    <w:rsid w:val="00486BAF"/>
    <w:rsid w:val="004873F2"/>
    <w:rsid w:val="00490D4C"/>
    <w:rsid w:val="00493A35"/>
    <w:rsid w:val="0049527A"/>
    <w:rsid w:val="004966BF"/>
    <w:rsid w:val="00497984"/>
    <w:rsid w:val="004A0159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7FF3"/>
    <w:rsid w:val="005272E2"/>
    <w:rsid w:val="0053108F"/>
    <w:rsid w:val="00532B56"/>
    <w:rsid w:val="00534B10"/>
    <w:rsid w:val="005446A2"/>
    <w:rsid w:val="00544D2F"/>
    <w:rsid w:val="00551BD8"/>
    <w:rsid w:val="005525ED"/>
    <w:rsid w:val="00556122"/>
    <w:rsid w:val="005775EA"/>
    <w:rsid w:val="00581055"/>
    <w:rsid w:val="00590E35"/>
    <w:rsid w:val="00591E38"/>
    <w:rsid w:val="00595C9A"/>
    <w:rsid w:val="005A19C5"/>
    <w:rsid w:val="005A2904"/>
    <w:rsid w:val="005A3034"/>
    <w:rsid w:val="005A462D"/>
    <w:rsid w:val="005B253B"/>
    <w:rsid w:val="005B71A8"/>
    <w:rsid w:val="005B771D"/>
    <w:rsid w:val="005C5D16"/>
    <w:rsid w:val="005D3193"/>
    <w:rsid w:val="005D3809"/>
    <w:rsid w:val="005D4A6E"/>
    <w:rsid w:val="005E6265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0C2F"/>
    <w:rsid w:val="00646411"/>
    <w:rsid w:val="00647B9A"/>
    <w:rsid w:val="00650905"/>
    <w:rsid w:val="006532ED"/>
    <w:rsid w:val="006549F2"/>
    <w:rsid w:val="006567B7"/>
    <w:rsid w:val="00657BFB"/>
    <w:rsid w:val="00657F77"/>
    <w:rsid w:val="0066333C"/>
    <w:rsid w:val="006639B4"/>
    <w:rsid w:val="006650FE"/>
    <w:rsid w:val="0067305D"/>
    <w:rsid w:val="00677D9B"/>
    <w:rsid w:val="00680172"/>
    <w:rsid w:val="006867F3"/>
    <w:rsid w:val="00687890"/>
    <w:rsid w:val="006901A2"/>
    <w:rsid w:val="00690368"/>
    <w:rsid w:val="0069079C"/>
    <w:rsid w:val="006909D2"/>
    <w:rsid w:val="00690B53"/>
    <w:rsid w:val="00695B72"/>
    <w:rsid w:val="006A763A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626A"/>
    <w:rsid w:val="0072720D"/>
    <w:rsid w:val="0073527F"/>
    <w:rsid w:val="007365D1"/>
    <w:rsid w:val="00737DD7"/>
    <w:rsid w:val="00740E0E"/>
    <w:rsid w:val="007444EC"/>
    <w:rsid w:val="00746783"/>
    <w:rsid w:val="00750212"/>
    <w:rsid w:val="00750EC7"/>
    <w:rsid w:val="00754779"/>
    <w:rsid w:val="0075716D"/>
    <w:rsid w:val="00762682"/>
    <w:rsid w:val="0076596B"/>
    <w:rsid w:val="00765F14"/>
    <w:rsid w:val="00766B59"/>
    <w:rsid w:val="00770E31"/>
    <w:rsid w:val="007727F2"/>
    <w:rsid w:val="007770F1"/>
    <w:rsid w:val="00783FB1"/>
    <w:rsid w:val="00785CDD"/>
    <w:rsid w:val="00791847"/>
    <w:rsid w:val="007925F0"/>
    <w:rsid w:val="007939B3"/>
    <w:rsid w:val="0079509C"/>
    <w:rsid w:val="00796708"/>
    <w:rsid w:val="007A2E77"/>
    <w:rsid w:val="007A5135"/>
    <w:rsid w:val="007A6566"/>
    <w:rsid w:val="007B1B42"/>
    <w:rsid w:val="007C20CF"/>
    <w:rsid w:val="007C30EB"/>
    <w:rsid w:val="007D4900"/>
    <w:rsid w:val="007E063C"/>
    <w:rsid w:val="007E2A4B"/>
    <w:rsid w:val="007E307D"/>
    <w:rsid w:val="007E6A4E"/>
    <w:rsid w:val="007E6C94"/>
    <w:rsid w:val="007F1005"/>
    <w:rsid w:val="007F25E0"/>
    <w:rsid w:val="007F5328"/>
    <w:rsid w:val="007F68ED"/>
    <w:rsid w:val="00800387"/>
    <w:rsid w:val="00804F5A"/>
    <w:rsid w:val="00810934"/>
    <w:rsid w:val="00810C6D"/>
    <w:rsid w:val="00812887"/>
    <w:rsid w:val="00812E7F"/>
    <w:rsid w:val="00824339"/>
    <w:rsid w:val="00826F21"/>
    <w:rsid w:val="00833780"/>
    <w:rsid w:val="00834CC8"/>
    <w:rsid w:val="00835E00"/>
    <w:rsid w:val="00837113"/>
    <w:rsid w:val="008414E4"/>
    <w:rsid w:val="00843A32"/>
    <w:rsid w:val="00843E21"/>
    <w:rsid w:val="0084508E"/>
    <w:rsid w:val="00857A8A"/>
    <w:rsid w:val="008630EE"/>
    <w:rsid w:val="00864D13"/>
    <w:rsid w:val="00870958"/>
    <w:rsid w:val="00871CD5"/>
    <w:rsid w:val="00873291"/>
    <w:rsid w:val="008745A2"/>
    <w:rsid w:val="008768A8"/>
    <w:rsid w:val="0088798F"/>
    <w:rsid w:val="00887E4B"/>
    <w:rsid w:val="008915C8"/>
    <w:rsid w:val="00891B9C"/>
    <w:rsid w:val="008A36CF"/>
    <w:rsid w:val="008A3BC4"/>
    <w:rsid w:val="008A6A1D"/>
    <w:rsid w:val="008B403C"/>
    <w:rsid w:val="008B7983"/>
    <w:rsid w:val="008C2511"/>
    <w:rsid w:val="008D026D"/>
    <w:rsid w:val="008D23AB"/>
    <w:rsid w:val="008D4B8B"/>
    <w:rsid w:val="008D5A78"/>
    <w:rsid w:val="008E2770"/>
    <w:rsid w:val="008E7B64"/>
    <w:rsid w:val="008F5DCD"/>
    <w:rsid w:val="00900951"/>
    <w:rsid w:val="00906A9D"/>
    <w:rsid w:val="009118A6"/>
    <w:rsid w:val="00912799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517A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183E"/>
    <w:rsid w:val="0099303A"/>
    <w:rsid w:val="009971C2"/>
    <w:rsid w:val="009A1254"/>
    <w:rsid w:val="009A4DAC"/>
    <w:rsid w:val="009B2FF2"/>
    <w:rsid w:val="009B380C"/>
    <w:rsid w:val="009B4843"/>
    <w:rsid w:val="009B6543"/>
    <w:rsid w:val="009B7D38"/>
    <w:rsid w:val="009C0C20"/>
    <w:rsid w:val="009C199D"/>
    <w:rsid w:val="009C278F"/>
    <w:rsid w:val="009C2B94"/>
    <w:rsid w:val="009C5874"/>
    <w:rsid w:val="009D3B5A"/>
    <w:rsid w:val="009D5EF8"/>
    <w:rsid w:val="009E0482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4241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4A75"/>
    <w:rsid w:val="00A618F7"/>
    <w:rsid w:val="00A633D4"/>
    <w:rsid w:val="00A6461A"/>
    <w:rsid w:val="00A71BCA"/>
    <w:rsid w:val="00A82730"/>
    <w:rsid w:val="00A84504"/>
    <w:rsid w:val="00A8672F"/>
    <w:rsid w:val="00A93057"/>
    <w:rsid w:val="00A968B0"/>
    <w:rsid w:val="00AB1F5D"/>
    <w:rsid w:val="00AB2672"/>
    <w:rsid w:val="00AB2817"/>
    <w:rsid w:val="00AB43C4"/>
    <w:rsid w:val="00AB6F08"/>
    <w:rsid w:val="00AC32E7"/>
    <w:rsid w:val="00AC3A9F"/>
    <w:rsid w:val="00AC5700"/>
    <w:rsid w:val="00AC6D2F"/>
    <w:rsid w:val="00AE2745"/>
    <w:rsid w:val="00AE2F64"/>
    <w:rsid w:val="00AF42CB"/>
    <w:rsid w:val="00AF483F"/>
    <w:rsid w:val="00AF5E07"/>
    <w:rsid w:val="00AF5F06"/>
    <w:rsid w:val="00B00A25"/>
    <w:rsid w:val="00B00CAC"/>
    <w:rsid w:val="00B1422A"/>
    <w:rsid w:val="00B1765C"/>
    <w:rsid w:val="00B213C4"/>
    <w:rsid w:val="00B40C60"/>
    <w:rsid w:val="00B479A9"/>
    <w:rsid w:val="00B52EDF"/>
    <w:rsid w:val="00B638AD"/>
    <w:rsid w:val="00B71188"/>
    <w:rsid w:val="00B726DA"/>
    <w:rsid w:val="00B76A41"/>
    <w:rsid w:val="00B8351C"/>
    <w:rsid w:val="00B87D4C"/>
    <w:rsid w:val="00B93646"/>
    <w:rsid w:val="00B976DC"/>
    <w:rsid w:val="00BA0B38"/>
    <w:rsid w:val="00BA1171"/>
    <w:rsid w:val="00BA1DBB"/>
    <w:rsid w:val="00BA4510"/>
    <w:rsid w:val="00BA529A"/>
    <w:rsid w:val="00BB612A"/>
    <w:rsid w:val="00BC3A3D"/>
    <w:rsid w:val="00BD499F"/>
    <w:rsid w:val="00BD56DE"/>
    <w:rsid w:val="00BF1C80"/>
    <w:rsid w:val="00BF2406"/>
    <w:rsid w:val="00BF3E5E"/>
    <w:rsid w:val="00BF7C2C"/>
    <w:rsid w:val="00C06E43"/>
    <w:rsid w:val="00C16315"/>
    <w:rsid w:val="00C3091E"/>
    <w:rsid w:val="00C3714B"/>
    <w:rsid w:val="00C40FF1"/>
    <w:rsid w:val="00C419E2"/>
    <w:rsid w:val="00C43F8E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97C74"/>
    <w:rsid w:val="00CA58FE"/>
    <w:rsid w:val="00CB1A96"/>
    <w:rsid w:val="00CB1CB1"/>
    <w:rsid w:val="00CB6BC1"/>
    <w:rsid w:val="00CB6CB8"/>
    <w:rsid w:val="00CC1A68"/>
    <w:rsid w:val="00CC2123"/>
    <w:rsid w:val="00CC6F41"/>
    <w:rsid w:val="00CD2BFD"/>
    <w:rsid w:val="00CE5AD6"/>
    <w:rsid w:val="00CE617F"/>
    <w:rsid w:val="00CE6811"/>
    <w:rsid w:val="00CE78EF"/>
    <w:rsid w:val="00CF2948"/>
    <w:rsid w:val="00D048F7"/>
    <w:rsid w:val="00D0517E"/>
    <w:rsid w:val="00D079B3"/>
    <w:rsid w:val="00D140FC"/>
    <w:rsid w:val="00D21D8C"/>
    <w:rsid w:val="00D31357"/>
    <w:rsid w:val="00D33220"/>
    <w:rsid w:val="00D334D1"/>
    <w:rsid w:val="00D44C89"/>
    <w:rsid w:val="00D516CD"/>
    <w:rsid w:val="00D55044"/>
    <w:rsid w:val="00D60722"/>
    <w:rsid w:val="00D60E67"/>
    <w:rsid w:val="00D65AC7"/>
    <w:rsid w:val="00D668E6"/>
    <w:rsid w:val="00D70670"/>
    <w:rsid w:val="00D74D80"/>
    <w:rsid w:val="00D76624"/>
    <w:rsid w:val="00D87570"/>
    <w:rsid w:val="00D91CB9"/>
    <w:rsid w:val="00D949A9"/>
    <w:rsid w:val="00D97989"/>
    <w:rsid w:val="00D97D8D"/>
    <w:rsid w:val="00DA352E"/>
    <w:rsid w:val="00DB50BA"/>
    <w:rsid w:val="00DC3EEF"/>
    <w:rsid w:val="00DC49FA"/>
    <w:rsid w:val="00DC7694"/>
    <w:rsid w:val="00DD1BF6"/>
    <w:rsid w:val="00DD2F9B"/>
    <w:rsid w:val="00DE2513"/>
    <w:rsid w:val="00DE26E8"/>
    <w:rsid w:val="00DF6F36"/>
    <w:rsid w:val="00E0084C"/>
    <w:rsid w:val="00E008F9"/>
    <w:rsid w:val="00E025AB"/>
    <w:rsid w:val="00E02B23"/>
    <w:rsid w:val="00E05C28"/>
    <w:rsid w:val="00E06F40"/>
    <w:rsid w:val="00E07CE8"/>
    <w:rsid w:val="00E14BCD"/>
    <w:rsid w:val="00E21895"/>
    <w:rsid w:val="00E26A07"/>
    <w:rsid w:val="00E26C79"/>
    <w:rsid w:val="00E32595"/>
    <w:rsid w:val="00E36FFC"/>
    <w:rsid w:val="00E37CFD"/>
    <w:rsid w:val="00E41A26"/>
    <w:rsid w:val="00E46BCB"/>
    <w:rsid w:val="00E477B9"/>
    <w:rsid w:val="00E51CAF"/>
    <w:rsid w:val="00E60F04"/>
    <w:rsid w:val="00E62AAC"/>
    <w:rsid w:val="00E646CC"/>
    <w:rsid w:val="00E67C2F"/>
    <w:rsid w:val="00E67EF5"/>
    <w:rsid w:val="00E804EA"/>
    <w:rsid w:val="00E80A71"/>
    <w:rsid w:val="00E82337"/>
    <w:rsid w:val="00E92499"/>
    <w:rsid w:val="00E939CC"/>
    <w:rsid w:val="00E949AF"/>
    <w:rsid w:val="00E96077"/>
    <w:rsid w:val="00EA0A06"/>
    <w:rsid w:val="00EA6243"/>
    <w:rsid w:val="00EA74AB"/>
    <w:rsid w:val="00EB3D1B"/>
    <w:rsid w:val="00EC16D5"/>
    <w:rsid w:val="00EC62B3"/>
    <w:rsid w:val="00ED1D89"/>
    <w:rsid w:val="00ED1E0C"/>
    <w:rsid w:val="00ED66BC"/>
    <w:rsid w:val="00EE2343"/>
    <w:rsid w:val="00EF233A"/>
    <w:rsid w:val="00EF303E"/>
    <w:rsid w:val="00EF3A40"/>
    <w:rsid w:val="00EF4306"/>
    <w:rsid w:val="00EF5008"/>
    <w:rsid w:val="00EF63D2"/>
    <w:rsid w:val="00EF6A9D"/>
    <w:rsid w:val="00EF7E48"/>
    <w:rsid w:val="00EF7F78"/>
    <w:rsid w:val="00F01B08"/>
    <w:rsid w:val="00F01C4D"/>
    <w:rsid w:val="00F053FA"/>
    <w:rsid w:val="00F065DD"/>
    <w:rsid w:val="00F10C97"/>
    <w:rsid w:val="00F11C71"/>
    <w:rsid w:val="00F16019"/>
    <w:rsid w:val="00F20E68"/>
    <w:rsid w:val="00F22093"/>
    <w:rsid w:val="00F236DF"/>
    <w:rsid w:val="00F410EA"/>
    <w:rsid w:val="00F42BB4"/>
    <w:rsid w:val="00F43AD5"/>
    <w:rsid w:val="00F4402E"/>
    <w:rsid w:val="00F56DD0"/>
    <w:rsid w:val="00F6491C"/>
    <w:rsid w:val="00F67BBB"/>
    <w:rsid w:val="00F73994"/>
    <w:rsid w:val="00F75DC7"/>
    <w:rsid w:val="00F87D92"/>
    <w:rsid w:val="00F90AA7"/>
    <w:rsid w:val="00F92498"/>
    <w:rsid w:val="00F93D7B"/>
    <w:rsid w:val="00F9496B"/>
    <w:rsid w:val="00F970C9"/>
    <w:rsid w:val="00FA06A8"/>
    <w:rsid w:val="00FA3DF5"/>
    <w:rsid w:val="00FA741F"/>
    <w:rsid w:val="00FB4E07"/>
    <w:rsid w:val="00FB5423"/>
    <w:rsid w:val="00FB755A"/>
    <w:rsid w:val="00FC24F2"/>
    <w:rsid w:val="00FC60A2"/>
    <w:rsid w:val="00FD16AE"/>
    <w:rsid w:val="00FD1871"/>
    <w:rsid w:val="00FD3110"/>
    <w:rsid w:val="00FD797A"/>
    <w:rsid w:val="00FF5C3D"/>
    <w:rsid w:val="00FF602B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909D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3A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3A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3A3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9CA"/>
    <w:rPr>
      <w:b/>
      <w:bCs/>
      <w:szCs w:val="20"/>
    </w:rPr>
  </w:style>
  <w:style w:type="character" w:customStyle="1" w:styleId="st1">
    <w:name w:val="st1"/>
    <w:basedOn w:val="DefaultParagraphFont"/>
    <w:rsid w:val="002222B6"/>
  </w:style>
  <w:style w:type="paragraph" w:styleId="ListParagraph">
    <w:name w:val="List Paragraph"/>
    <w:basedOn w:val="Normal"/>
    <w:uiPriority w:val="34"/>
    <w:qFormat/>
    <w:rsid w:val="002E5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2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4B1AB178BA4BEA9D12FF49CAB76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7F2FD-95C2-447B-9D80-B58E03CB1E9D}"/>
      </w:docPartPr>
      <w:docPartBody>
        <w:p w:rsidR="00FF126F" w:rsidRDefault="00DD79B9" w:rsidP="00DD79B9">
          <w:pPr>
            <w:pStyle w:val="C34B1AB178BA4BEA9D12FF49CAB7655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1D9F"/>
    <w:rsid w:val="000B3C85"/>
    <w:rsid w:val="001E2CC4"/>
    <w:rsid w:val="005241BE"/>
    <w:rsid w:val="00634330"/>
    <w:rsid w:val="00832616"/>
    <w:rsid w:val="008418D5"/>
    <w:rsid w:val="00A64F00"/>
    <w:rsid w:val="00B638AD"/>
    <w:rsid w:val="00D21A9F"/>
    <w:rsid w:val="00DD54A3"/>
    <w:rsid w:val="00DD79B9"/>
    <w:rsid w:val="00FD16AE"/>
    <w:rsid w:val="00FF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79B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C34B1AB178BA4BEA9D12FF49CAB76556">
    <w:name w:val="C34B1AB178BA4BEA9D12FF49CAB76556"/>
    <w:rsid w:val="00DD79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34D4EA-0151-4F83-A8EF-9E25777F8744}">
  <ds:schemaRefs>
    <ds:schemaRef ds:uri="http://purl.org/dc/elements/1.1/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51D225-8285-4BCB-B85A-92CD0A1D0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CC55E9-4FBD-45BC-8A70-4150D0BD92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DE7C8F-132D-4BEC-941A-096D391804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1211</Words>
  <Characters>7328</Characters>
  <Application>Microsoft Office Word</Application>
  <DocSecurity>0</DocSecurity>
  <Lines>252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2019-11-06T06:00:00Z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2025-12-24T00:00:10Z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eefa1e07-428d-4078-9878-36d4256d8547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