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B1E228C" w14:textId="0EE3C49E" w:rsidR="00BD499F" w:rsidRPr="004C23F4" w:rsidRDefault="003B6FD3" w:rsidP="00B40C60">
          <w:pPr>
            <w:pStyle w:val="Heading1"/>
            <w:jc w:val="center"/>
            <w:rPr>
              <w:rFonts w:ascii="Arial" w:hAnsi="Arial" w:cs="Arial"/>
            </w:rPr>
          </w:pPr>
          <w:r w:rsidRPr="003B6FD3">
            <w:rPr>
              <w:rFonts w:ascii="Arial" w:hAnsi="Arial" w:cs="Arial"/>
            </w:rPr>
            <w:t>1,4-Dioxane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7DC1657E" w14:textId="77777777" w:rsidTr="004772B8">
        <w:trPr>
          <w:cantSplit/>
          <w:tblHeader/>
        </w:trPr>
        <w:tc>
          <w:tcPr>
            <w:tcW w:w="3988" w:type="dxa"/>
          </w:tcPr>
          <w:p w14:paraId="3E20112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6F3FCDA7" w14:textId="42A8C83B" w:rsidR="00F43AD5" w:rsidRPr="00717D45" w:rsidRDefault="003B6FD3" w:rsidP="00B76A41">
            <w:pPr>
              <w:pStyle w:val="Tablefont"/>
            </w:pPr>
            <w:r w:rsidRPr="003B6FD3">
              <w:t>123-91-1</w:t>
            </w:r>
          </w:p>
        </w:tc>
      </w:tr>
      <w:tr w:rsidR="00F43AD5" w:rsidRPr="004C23F4" w14:paraId="3502F56B" w14:textId="77777777" w:rsidTr="004772B8">
        <w:trPr>
          <w:cantSplit/>
        </w:trPr>
        <w:tc>
          <w:tcPr>
            <w:tcW w:w="3988" w:type="dxa"/>
          </w:tcPr>
          <w:p w14:paraId="7F5F8D4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0FBBDC66" w14:textId="35F2123C" w:rsidR="00F43AD5" w:rsidRPr="00717D45" w:rsidRDefault="003B6FD3" w:rsidP="00B76A41">
            <w:pPr>
              <w:pStyle w:val="Tablefont"/>
            </w:pPr>
            <w:r w:rsidRPr="003B6FD3">
              <w:t>Diethylene dioxide</w:t>
            </w:r>
            <w:r>
              <w:t xml:space="preserve">, </w:t>
            </w:r>
            <w:r w:rsidR="00846D21">
              <w:t>d</w:t>
            </w:r>
            <w:r>
              <w:t xml:space="preserve">iethylene dioxide, </w:t>
            </w:r>
            <w:r w:rsidR="00B2752B">
              <w:br/>
            </w:r>
            <w:r w:rsidR="0055466F">
              <w:t>d</w:t>
            </w:r>
            <w:r>
              <w:t xml:space="preserve">iethylene ether, </w:t>
            </w:r>
            <w:r w:rsidRPr="00CD702D">
              <w:rPr>
                <w:i/>
              </w:rPr>
              <w:t>p</w:t>
            </w:r>
            <w:r>
              <w:t xml:space="preserve">-Dioxane, </w:t>
            </w:r>
            <w:r w:rsidR="0055466F">
              <w:t>g</w:t>
            </w:r>
            <w:r>
              <w:t>lycol ethylene ether</w:t>
            </w:r>
          </w:p>
        </w:tc>
      </w:tr>
      <w:tr w:rsidR="00F43AD5" w:rsidRPr="004C23F4" w14:paraId="6443E921" w14:textId="77777777" w:rsidTr="004772B8">
        <w:trPr>
          <w:cantSplit/>
        </w:trPr>
        <w:tc>
          <w:tcPr>
            <w:tcW w:w="3988" w:type="dxa"/>
          </w:tcPr>
          <w:p w14:paraId="4D8DE4D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5790ACD9" w14:textId="5BEE3739" w:rsidR="00F43AD5" w:rsidRPr="00717D45" w:rsidRDefault="003B6FD3" w:rsidP="00B76A41">
            <w:pPr>
              <w:pStyle w:val="Tablefont"/>
            </w:pPr>
            <w:r>
              <w:t>C</w:t>
            </w:r>
            <w:r w:rsidRPr="003B6FD3">
              <w:rPr>
                <w:vertAlign w:val="subscript"/>
              </w:rPr>
              <w:t>4</w:t>
            </w:r>
            <w:r>
              <w:t>H</w:t>
            </w:r>
            <w:r w:rsidRPr="003B6FD3">
              <w:rPr>
                <w:vertAlign w:val="subscript"/>
              </w:rPr>
              <w:t>8</w:t>
            </w:r>
            <w:r>
              <w:t>O</w:t>
            </w:r>
            <w:r w:rsidRPr="003B6FD3">
              <w:rPr>
                <w:vertAlign w:val="subscript"/>
              </w:rPr>
              <w:t>2</w:t>
            </w:r>
          </w:p>
        </w:tc>
      </w:tr>
    </w:tbl>
    <w:p w14:paraId="13776757" w14:textId="11F2D77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852D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CCD8FAC" w14:textId="77777777" w:rsidTr="00E67EA9">
        <w:trPr>
          <w:cantSplit/>
          <w:tblHeader/>
        </w:trPr>
        <w:tc>
          <w:tcPr>
            <w:tcW w:w="4005" w:type="dxa"/>
            <w:vAlign w:val="center"/>
          </w:tcPr>
          <w:p w14:paraId="66C4272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E2000DB" w14:textId="3D08632C" w:rsidR="002C7AFE" w:rsidRPr="00D852DC" w:rsidRDefault="00DB7D1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</w:t>
            </w:r>
            <w:r w:rsidR="00D852DC">
              <w:rPr>
                <w:b/>
              </w:rPr>
              <w:t xml:space="preserve"> ppm (</w:t>
            </w:r>
            <w:r>
              <w:rPr>
                <w:b/>
              </w:rPr>
              <w:t>18</w:t>
            </w:r>
            <w:r w:rsidR="00D852DC">
              <w:rPr>
                <w:b/>
              </w:rPr>
              <w:t xml:space="preserve"> mg/m</w:t>
            </w:r>
            <w:r w:rsidR="00D852DC">
              <w:rPr>
                <w:b/>
                <w:vertAlign w:val="superscript"/>
              </w:rPr>
              <w:t>3</w:t>
            </w:r>
            <w:r w:rsidR="00D852DC">
              <w:rPr>
                <w:b/>
              </w:rPr>
              <w:t>)</w:t>
            </w:r>
          </w:p>
        </w:tc>
      </w:tr>
      <w:tr w:rsidR="002C7AFE" w:rsidRPr="004C23F4" w14:paraId="3CDF59A5" w14:textId="77777777" w:rsidTr="00E67EA9">
        <w:trPr>
          <w:cantSplit/>
        </w:trPr>
        <w:tc>
          <w:tcPr>
            <w:tcW w:w="4005" w:type="dxa"/>
            <w:vAlign w:val="center"/>
          </w:tcPr>
          <w:p w14:paraId="750DA99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82F626B" w14:textId="50C45FFA" w:rsidR="002C7AFE" w:rsidRPr="00EB3D1B" w:rsidRDefault="00846D2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A783C42" w14:textId="77777777" w:rsidTr="00E67EA9">
        <w:trPr>
          <w:cantSplit/>
        </w:trPr>
        <w:tc>
          <w:tcPr>
            <w:tcW w:w="4005" w:type="dxa"/>
            <w:vAlign w:val="center"/>
          </w:tcPr>
          <w:p w14:paraId="5F7EE05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17040F2" w14:textId="18A2E618" w:rsidR="002C7AFE" w:rsidRPr="00EB3D1B" w:rsidRDefault="00846D2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0398CDBD" w14:textId="77777777" w:rsidTr="00E67EA9">
        <w:trPr>
          <w:cantSplit/>
        </w:trPr>
        <w:tc>
          <w:tcPr>
            <w:tcW w:w="4005" w:type="dxa"/>
          </w:tcPr>
          <w:p w14:paraId="21ACA09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699C148" w14:textId="353887A7" w:rsidR="002C7AFE" w:rsidRPr="00EB3D1B" w:rsidRDefault="00D852D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2, Sk.</w:t>
            </w:r>
          </w:p>
        </w:tc>
      </w:tr>
      <w:tr w:rsidR="002C7AFE" w:rsidRPr="004C23F4" w14:paraId="6410E4F1" w14:textId="77777777" w:rsidTr="00E67EA9">
        <w:trPr>
          <w:cantSplit/>
        </w:trPr>
        <w:tc>
          <w:tcPr>
            <w:tcW w:w="4005" w:type="dxa"/>
            <w:vAlign w:val="center"/>
          </w:tcPr>
          <w:p w14:paraId="1819726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3468960" w14:textId="2F142A5A" w:rsidR="002C7AFE" w:rsidRPr="00EB3D1B" w:rsidRDefault="003B6FD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E67EA9" w:rsidRPr="004C23F4" w14:paraId="1F35EE64" w14:textId="77777777" w:rsidTr="00DC7A33">
        <w:trPr>
          <w:cantSplit/>
        </w:trPr>
        <w:tc>
          <w:tcPr>
            <w:tcW w:w="9026" w:type="dxa"/>
            <w:gridSpan w:val="2"/>
            <w:vAlign w:val="center"/>
          </w:tcPr>
          <w:p w14:paraId="665D2A8A" w14:textId="116EEC6F" w:rsidR="00E67EA9" w:rsidRPr="00EB3D1B" w:rsidRDefault="00E67EA9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3491ED0FE1544E9A9E1677B390040C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307284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A0FD3D" w14:textId="66D11FD9" w:rsidR="006639B4" w:rsidRPr="00D852DC" w:rsidRDefault="00D852DC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DB7D16">
        <w:rPr>
          <w:rFonts w:cs="Arial"/>
        </w:rPr>
        <w:t>5</w:t>
      </w:r>
      <w:r>
        <w:rPr>
          <w:rFonts w:cs="Arial"/>
        </w:rPr>
        <w:t xml:space="preserve"> ppm (</w:t>
      </w:r>
      <w:r w:rsidR="00DB7D16">
        <w:rPr>
          <w:rFonts w:cs="Arial"/>
        </w:rPr>
        <w:t>18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irritation of the eye, effects </w:t>
      </w:r>
      <w:r w:rsidR="0013509A">
        <w:rPr>
          <w:rFonts w:cs="Arial"/>
        </w:rPr>
        <w:t>i</w:t>
      </w:r>
      <w:r>
        <w:rPr>
          <w:rFonts w:cs="Arial"/>
        </w:rPr>
        <w:t>n the upper respiratory tract and cancer in exposed workers.</w:t>
      </w:r>
    </w:p>
    <w:p w14:paraId="5F1FF81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B79A86" w14:textId="2A2CE369" w:rsidR="00D852DC" w:rsidRDefault="00D852DC" w:rsidP="004F472D">
      <w:r>
        <w:t>1,4-Dioxane is used in paints, as a solvent in organic products, as a stabiliser in chlorinated solvents, varnish and paint strippers, dyes and lacquers</w:t>
      </w:r>
      <w:r w:rsidR="0013509A">
        <w:t>,</w:t>
      </w:r>
      <w:r>
        <w:t xml:space="preserve"> in certain fumigants, deodorants and preservatives. It is produced by commercial dehydrogenation of ethylene glycol.</w:t>
      </w:r>
      <w:r w:rsidR="00E67EA9">
        <w:t xml:space="preserve"> </w:t>
      </w:r>
    </w:p>
    <w:p w14:paraId="01AE8CAF" w14:textId="61744273" w:rsidR="004F472D" w:rsidRDefault="00E67EA9" w:rsidP="001362BC">
      <w:r>
        <w:rPr>
          <w:rFonts w:cs="Arial"/>
        </w:rPr>
        <w:t xml:space="preserve">Critical effects include </w:t>
      </w:r>
      <w:r>
        <w:t>eye and respiratory tract irritation</w:t>
      </w:r>
      <w:r w:rsidR="00900928">
        <w:t xml:space="preserve"> in exposed workers</w:t>
      </w:r>
      <w:r>
        <w:t xml:space="preserve">. </w:t>
      </w:r>
      <w:r w:rsidR="00D852DC">
        <w:rPr>
          <w:rFonts w:cs="Arial"/>
        </w:rPr>
        <w:t xml:space="preserve">Evidence in </w:t>
      </w:r>
      <w:r w:rsidR="00D852DC" w:rsidRPr="004F472D">
        <w:t>animals suggests that 1,4-diox</w:t>
      </w:r>
      <w:r w:rsidR="00E74202">
        <w:t>a</w:t>
      </w:r>
      <w:r w:rsidR="00D852DC" w:rsidRPr="004F472D">
        <w:t xml:space="preserve">ne is a carcinogen. </w:t>
      </w:r>
      <w:r w:rsidR="004772B8">
        <w:t>The c</w:t>
      </w:r>
      <w:r w:rsidR="004F472D" w:rsidRPr="004F472D">
        <w:t>arcinogenicity mechanism is non-genotoxic, involving metabolic pathway saturation and the production of</w:t>
      </w:r>
      <w:r w:rsidR="004F472D">
        <w:t xml:space="preserve"> a </w:t>
      </w:r>
      <w:r w:rsidR="004F472D" w:rsidRPr="004F472D">
        <w:t>cytotoxic metabolite</w:t>
      </w:r>
      <w:r w:rsidR="00B2752B">
        <w:t>.</w:t>
      </w:r>
      <w:r w:rsidR="00F921CC">
        <w:t xml:space="preserve"> No unusual incidence of cancer was identified in </w:t>
      </w:r>
      <w:r w:rsidR="00CB7C8A">
        <w:t>three</w:t>
      </w:r>
      <w:r w:rsidR="00F921CC">
        <w:t xml:space="preserve"> factories with average vapour concentrations </w:t>
      </w:r>
      <w:r w:rsidR="0016789E">
        <w:t xml:space="preserve">less than </w:t>
      </w:r>
      <w:r w:rsidR="00F921CC">
        <w:t>6.5 ppm with worker exposure of between 15 to 50 years</w:t>
      </w:r>
      <w:r w:rsidR="00F921CC" w:rsidRPr="004F472D" w:rsidDel="00F921CC">
        <w:t xml:space="preserve"> </w:t>
      </w:r>
      <w:r w:rsidR="004F472D">
        <w:t>(</w:t>
      </w:r>
      <w:r w:rsidR="00F921CC">
        <w:t>ACGIH, 2018</w:t>
      </w:r>
      <w:r w:rsidR="004F472D">
        <w:t>).</w:t>
      </w:r>
    </w:p>
    <w:p w14:paraId="687D1F42" w14:textId="64ED467F" w:rsidR="006639B4" w:rsidRPr="00250280" w:rsidRDefault="00A52163" w:rsidP="00250280">
      <w:r>
        <w:rPr>
          <w:rFonts w:cs="Arial"/>
        </w:rPr>
        <w:t xml:space="preserve">Eye irritation </w:t>
      </w:r>
      <w:r w:rsidR="0013509A">
        <w:rPr>
          <w:rFonts w:cs="Arial"/>
        </w:rPr>
        <w:t xml:space="preserve">is </w:t>
      </w:r>
      <w:r>
        <w:rPr>
          <w:rFonts w:cs="Arial"/>
        </w:rPr>
        <w:t>reported in huma</w:t>
      </w:r>
      <w:r w:rsidR="00250280">
        <w:rPr>
          <w:rFonts w:cs="Arial"/>
        </w:rPr>
        <w:t xml:space="preserve">n volunteers exposed </w:t>
      </w:r>
      <w:r w:rsidR="0013509A">
        <w:rPr>
          <w:rFonts w:cs="Arial"/>
        </w:rPr>
        <w:t>at</w:t>
      </w:r>
      <w:r w:rsidR="00250280">
        <w:rPr>
          <w:rFonts w:cs="Arial"/>
        </w:rPr>
        <w:t xml:space="preserve"> 50 ppm. </w:t>
      </w:r>
      <w:r w:rsidR="00250280">
        <w:t>A LOAE</w:t>
      </w:r>
      <w:r w:rsidR="0013509A">
        <w:t>C</w:t>
      </w:r>
      <w:r w:rsidR="00250280">
        <w:t xml:space="preserve"> of 180 mg/m</w:t>
      </w:r>
      <w:r w:rsidR="00250280" w:rsidRPr="00250280">
        <w:rPr>
          <w:vertAlign w:val="superscript"/>
        </w:rPr>
        <w:t>3</w:t>
      </w:r>
      <w:r w:rsidR="00250280">
        <w:t xml:space="preserve"> (50 ppm) for nasal lesions </w:t>
      </w:r>
      <w:r w:rsidR="00B2752B">
        <w:t>i</w:t>
      </w:r>
      <w:r w:rsidR="00250280">
        <w:t xml:space="preserve">s </w:t>
      </w:r>
      <w:r w:rsidR="005B6498">
        <w:t xml:space="preserve">reported </w:t>
      </w:r>
      <w:r w:rsidR="004772B8">
        <w:t>in a study in</w:t>
      </w:r>
      <w:r w:rsidR="00250280">
        <w:t xml:space="preserve"> rats exposed by inhalation for </w:t>
      </w:r>
      <w:r w:rsidR="0055466F">
        <w:t>two</w:t>
      </w:r>
      <w:r w:rsidR="00250280">
        <w:t xml:space="preserve"> years</w:t>
      </w:r>
      <w:r w:rsidR="00EB2441">
        <w:t xml:space="preserve"> (HC</w:t>
      </w:r>
      <w:r w:rsidR="0016789E">
        <w:t>O</w:t>
      </w:r>
      <w:r w:rsidR="00EB2441">
        <w:t>TN</w:t>
      </w:r>
      <w:r w:rsidR="003C11DE">
        <w:t>,</w:t>
      </w:r>
      <w:r w:rsidR="00EB2441">
        <w:t xml:space="preserve"> 2015)</w:t>
      </w:r>
      <w:r w:rsidR="00250280">
        <w:t>.</w:t>
      </w:r>
      <w:r w:rsidR="00F921CC">
        <w:t xml:space="preserve"> </w:t>
      </w:r>
      <w:r w:rsidR="00EB2441">
        <w:t>T</w:t>
      </w:r>
      <w:r w:rsidR="00250280">
        <w:t>he TWA is</w:t>
      </w:r>
      <w:r w:rsidR="00EB2441">
        <w:t xml:space="preserve"> derived</w:t>
      </w:r>
      <w:r w:rsidR="00250280">
        <w:t xml:space="preserve"> </w:t>
      </w:r>
      <w:r w:rsidR="00B63D4F">
        <w:t>from</w:t>
      </w:r>
      <w:r w:rsidR="00250280">
        <w:t xml:space="preserve"> the LOAE</w:t>
      </w:r>
      <w:r w:rsidR="0013509A">
        <w:t>C</w:t>
      </w:r>
      <w:r w:rsidR="00250280">
        <w:t xml:space="preserve"> of 180 mg/m</w:t>
      </w:r>
      <w:r w:rsidR="00250280" w:rsidRPr="00250280">
        <w:rPr>
          <w:vertAlign w:val="superscript"/>
        </w:rPr>
        <w:t>3</w:t>
      </w:r>
      <w:r w:rsidR="00250280">
        <w:t xml:space="preserve"> </w:t>
      </w:r>
      <w:r w:rsidR="00EB2441">
        <w:t xml:space="preserve">in rats </w:t>
      </w:r>
      <w:r w:rsidR="00E67EA9">
        <w:t xml:space="preserve">with an application </w:t>
      </w:r>
      <w:r w:rsidR="00250280">
        <w:t xml:space="preserve">factor of </w:t>
      </w:r>
      <w:r w:rsidR="00DB7D16">
        <w:t>10 to account for no NOAEL and interspecies variation</w:t>
      </w:r>
      <w:r w:rsidR="003C11DE">
        <w:t xml:space="preserve"> (same as HC</w:t>
      </w:r>
      <w:r w:rsidR="00BF789B">
        <w:t>OT</w:t>
      </w:r>
      <w:r w:rsidR="003C11DE">
        <w:t>N, 2015, except for rounding up)</w:t>
      </w:r>
      <w:r w:rsidR="00DB7D16">
        <w:t xml:space="preserve">. This is considered sufficient as </w:t>
      </w:r>
      <w:r w:rsidR="005B6498">
        <w:t xml:space="preserve">the </w:t>
      </w:r>
      <w:r w:rsidR="00DB7D16">
        <w:t>effect is local</w:t>
      </w:r>
      <w:r w:rsidR="00250280">
        <w:t xml:space="preserve">. </w:t>
      </w:r>
      <w:r w:rsidR="00486E65">
        <w:t xml:space="preserve">A TWA of </w:t>
      </w:r>
      <w:r w:rsidR="00DB7D16">
        <w:t>18</w:t>
      </w:r>
      <w:r w:rsidR="00900928">
        <w:t> </w:t>
      </w:r>
      <w:r w:rsidR="00250280">
        <w:t>mg/m</w:t>
      </w:r>
      <w:r w:rsidR="00250280" w:rsidRPr="00250280">
        <w:rPr>
          <w:vertAlign w:val="superscript"/>
        </w:rPr>
        <w:t>3</w:t>
      </w:r>
      <w:r w:rsidR="00486E65">
        <w:t xml:space="preserve"> is considered</w:t>
      </w:r>
      <w:r w:rsidR="00250280">
        <w:t xml:space="preserve"> to protect for the local effects on eyes and respiratory tract</w:t>
      </w:r>
      <w:r w:rsidR="00486E65">
        <w:t xml:space="preserve"> and </w:t>
      </w:r>
      <w:r w:rsidR="003C11DE">
        <w:t>s</w:t>
      </w:r>
      <w:r w:rsidR="005B6498">
        <w:t>ystemic effects</w:t>
      </w:r>
      <w:r w:rsidR="005B6498" w:rsidDel="005B6498">
        <w:t xml:space="preserve"> </w:t>
      </w:r>
      <w:r w:rsidR="00486E65">
        <w:t>for</w:t>
      </w:r>
      <w:r w:rsidR="00250280">
        <w:t xml:space="preserve"> non-genotoxic carcinogenic</w:t>
      </w:r>
      <w:r w:rsidR="005B6498">
        <w:t>ity</w:t>
      </w:r>
      <w:r w:rsidR="00250280">
        <w:t xml:space="preserve">. </w:t>
      </w:r>
    </w:p>
    <w:p w14:paraId="23251AD1" w14:textId="77777777" w:rsidR="004529F0" w:rsidRPr="004C23F4" w:rsidRDefault="004529F0" w:rsidP="004772B8">
      <w:pPr>
        <w:pStyle w:val="Heading2"/>
        <w:keepNext w:val="0"/>
      </w:pPr>
      <w:r>
        <w:t>Recommendation for notations</w:t>
      </w:r>
    </w:p>
    <w:p w14:paraId="63EFE4D5" w14:textId="5E5E9606" w:rsidR="003B6FD3" w:rsidRPr="00A70823" w:rsidRDefault="00D852DC" w:rsidP="004772B8">
      <w:pPr>
        <w:rPr>
          <w:rFonts w:cs="Arial"/>
        </w:rPr>
      </w:pPr>
      <w:r>
        <w:rPr>
          <w:rFonts w:cs="Arial"/>
        </w:rPr>
        <w:t>C</w:t>
      </w:r>
      <w:r w:rsidR="003B6FD3" w:rsidRPr="00A70823">
        <w:rPr>
          <w:rFonts w:cs="Arial"/>
        </w:rPr>
        <w:t xml:space="preserve">lassified as a </w:t>
      </w:r>
      <w:r w:rsidR="00E74202">
        <w:rPr>
          <w:rFonts w:cs="Arial"/>
        </w:rPr>
        <w:t>category 2</w:t>
      </w:r>
      <w:r w:rsidR="00E74202" w:rsidRPr="00A70823">
        <w:rPr>
          <w:rFonts w:cs="Arial"/>
        </w:rPr>
        <w:t xml:space="preserve"> </w:t>
      </w:r>
      <w:r w:rsidR="003B6FD3" w:rsidRPr="00A70823">
        <w:rPr>
          <w:rFonts w:cs="Arial"/>
        </w:rPr>
        <w:t>carcinogen</w:t>
      </w:r>
      <w:r>
        <w:rPr>
          <w:rFonts w:cs="Arial"/>
        </w:rPr>
        <w:t xml:space="preserve"> </w:t>
      </w:r>
      <w:r w:rsidR="003B6FD3" w:rsidRPr="00A70823">
        <w:rPr>
          <w:rFonts w:cs="Arial"/>
        </w:rPr>
        <w:t>according to the Globally Harmonized System of Classification and Labelling o</w:t>
      </w:r>
      <w:r w:rsidR="00E74202">
        <w:rPr>
          <w:rFonts w:cs="Arial"/>
        </w:rPr>
        <w:t>f</w:t>
      </w:r>
      <w:r w:rsidR="003B6FD3" w:rsidRPr="00A70823">
        <w:rPr>
          <w:rFonts w:cs="Arial"/>
        </w:rPr>
        <w:t xml:space="preserve"> Chemicals (GHS). </w:t>
      </w:r>
    </w:p>
    <w:p w14:paraId="052AA1D7" w14:textId="4866C52F" w:rsidR="003B6FD3" w:rsidRPr="00A70823" w:rsidRDefault="003B6FD3" w:rsidP="004772B8">
      <w:pPr>
        <w:rPr>
          <w:rFonts w:cs="Arial"/>
        </w:rPr>
      </w:pPr>
      <w:r w:rsidRPr="00A70823">
        <w:rPr>
          <w:rFonts w:cs="Arial"/>
        </w:rPr>
        <w:t>Not classified as a skin</w:t>
      </w:r>
      <w:r w:rsidR="0092567E">
        <w:rPr>
          <w:rFonts w:cs="Arial"/>
        </w:rPr>
        <w:t xml:space="preserve"> </w:t>
      </w:r>
      <w:r w:rsidR="0092567E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69DD0608" w14:textId="32E11EFD" w:rsidR="0025734A" w:rsidRPr="004C23F4" w:rsidRDefault="00D852DC">
      <w:pPr>
        <w:rPr>
          <w:rFonts w:cs="Arial"/>
        </w:rPr>
      </w:pPr>
      <w:r>
        <w:rPr>
          <w:rFonts w:cs="Arial"/>
        </w:rPr>
        <w:t xml:space="preserve">A skin notation is </w:t>
      </w:r>
      <w:r w:rsidR="0013509A">
        <w:rPr>
          <w:rFonts w:cs="Arial"/>
        </w:rPr>
        <w:t xml:space="preserve">recommended </w:t>
      </w:r>
      <w:r>
        <w:rPr>
          <w:rFonts w:cs="Arial"/>
        </w:rPr>
        <w:t>based on evidence in humans.</w:t>
      </w:r>
    </w:p>
    <w:p w14:paraId="5E951BC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957DB9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A8F129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C2683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DC8ADD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EFC481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B253F5A" w14:textId="1748A8D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E46C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E46CE">
                  <w:t>TWA: 10 ppm (36 mg/m</w:t>
                </w:r>
                <w:r w:rsidR="001E46CE" w:rsidRPr="001E46CE">
                  <w:rPr>
                    <w:vertAlign w:val="superscript"/>
                  </w:rPr>
                  <w:t>3</w:t>
                </w:r>
                <w:r w:rsidR="001E46CE">
                  <w:t>)</w:t>
                </w:r>
              </w:sdtContent>
            </w:sdt>
          </w:p>
        </w:tc>
      </w:tr>
      <w:tr w:rsidR="00C978F0" w:rsidRPr="00DA352E" w14:paraId="4BEDFD1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65B56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E34EC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139482" w14:textId="6EEE7E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E46C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E46CE">
                  <w:t>TLV-TWA: 20 ppm (72 mg/m</w:t>
                </w:r>
                <w:r w:rsidR="001E46CE" w:rsidRPr="001E46CE">
                  <w:rPr>
                    <w:vertAlign w:val="superscript"/>
                  </w:rPr>
                  <w:t>3</w:t>
                </w:r>
                <w:r w:rsidR="001E46CE">
                  <w:t>)</w:t>
                </w:r>
              </w:sdtContent>
            </w:sdt>
          </w:p>
        </w:tc>
      </w:tr>
      <w:tr w:rsidR="00C978F0" w:rsidRPr="00DA352E" w14:paraId="7F80D791" w14:textId="77777777" w:rsidTr="0013509A">
        <w:trPr>
          <w:gridAfter w:val="1"/>
          <w:wAfter w:w="8" w:type="pct"/>
        </w:trPr>
        <w:tc>
          <w:tcPr>
            <w:tcW w:w="4992" w:type="pct"/>
          </w:tcPr>
          <w:p w14:paraId="6B14BB17" w14:textId="6B3E3D89" w:rsidR="00C978F0" w:rsidRDefault="00322A54" w:rsidP="003365A5">
            <w:pPr>
              <w:pStyle w:val="Tabletextprimarysource"/>
            </w:pPr>
            <w:r>
              <w:t>TLV-TWA recommended to minimise the potential for liver and kidney toxicity and at high concentrations, eye and respiratory tract irritation.</w:t>
            </w:r>
          </w:p>
          <w:p w14:paraId="19643112" w14:textId="1A2E646F" w:rsidR="004B14E4" w:rsidRDefault="004B14E4" w:rsidP="003365A5">
            <w:pPr>
              <w:pStyle w:val="Tabletextprimarysource"/>
            </w:pPr>
            <w:r>
              <w:t xml:space="preserve">TLV-TWA is based on data on hepatotoxic and nephrotoxic effects in workers </w:t>
            </w:r>
            <w:r w:rsidR="00CD702D">
              <w:rPr>
                <w:rFonts w:cs="Arial"/>
              </w:rPr>
              <w:t>≈</w:t>
            </w:r>
            <w:r>
              <w:t>1/10</w:t>
            </w:r>
            <w:r w:rsidR="00E74202">
              <w:t xml:space="preserve"> </w:t>
            </w:r>
            <w:r>
              <w:t>the exposure required to produce carcinogenic response in animals.</w:t>
            </w:r>
          </w:p>
          <w:p w14:paraId="572DEECB" w14:textId="1ACE32BC" w:rsidR="004B14E4" w:rsidRDefault="004B14E4" w:rsidP="003365A5">
            <w:pPr>
              <w:pStyle w:val="Tabletextprimarysource"/>
            </w:pPr>
            <w:r>
              <w:t>Carcinogenic mechanisms consider to be non-genotoxic.</w:t>
            </w:r>
          </w:p>
          <w:p w14:paraId="43414B90" w14:textId="40897965" w:rsidR="00322A54" w:rsidRDefault="00322A54" w:rsidP="003365A5">
            <w:pPr>
              <w:pStyle w:val="Tabletextprimarysource"/>
            </w:pPr>
            <w:r>
              <w:t>Summary of data:</w:t>
            </w:r>
          </w:p>
          <w:p w14:paraId="46B3370C" w14:textId="7C18D202" w:rsidR="00322A54" w:rsidRDefault="00322A54" w:rsidP="003365A5">
            <w:pPr>
              <w:pStyle w:val="Tabletextprimarysource"/>
            </w:pPr>
            <w:r>
              <w:t>Human data:</w:t>
            </w:r>
          </w:p>
          <w:p w14:paraId="010DC683" w14:textId="77777777" w:rsidR="0013509A" w:rsidRDefault="00322A54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5 workers who died following heavy exposure for 2 mo</w:t>
            </w:r>
          </w:p>
          <w:p w14:paraId="54436828" w14:textId="56025CF9" w:rsidR="0013509A" w:rsidRDefault="00322A54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severe haemorrhagic nephritis and central hepatic necrosis</w:t>
            </w:r>
            <w:r w:rsidR="0013509A">
              <w:t xml:space="preserve"> with</w:t>
            </w:r>
            <w:r w:rsidR="00D959C9">
              <w:t xml:space="preserve"> no jaundice </w:t>
            </w:r>
          </w:p>
          <w:p w14:paraId="478A59F5" w14:textId="33B58F8E" w:rsidR="0013509A" w:rsidRDefault="00D959C9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surviving workers suffered nausea, vomiting and irritation of eyes and respiratory passages</w:t>
            </w:r>
          </w:p>
          <w:p w14:paraId="5F3D92A8" w14:textId="5750FEEB" w:rsidR="00322A54" w:rsidRDefault="00D959C9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exposure information</w:t>
            </w:r>
            <w:r w:rsidR="0013509A">
              <w:t xml:space="preserve"> presented</w:t>
            </w:r>
          </w:p>
          <w:p w14:paraId="16DD01F3" w14:textId="77777777" w:rsidR="0013509A" w:rsidRDefault="00D959C9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worker who died following 1 wk exposure to an average of 470 ppm</w:t>
            </w:r>
          </w:p>
          <w:p w14:paraId="0F82EE97" w14:textId="59507063" w:rsidR="0013509A" w:rsidRDefault="00D959C9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skin absorption possible route</w:t>
            </w:r>
          </w:p>
          <w:p w14:paraId="755AAE37" w14:textId="7DF458D5" w:rsidR="0013509A" w:rsidRDefault="00D959C9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autopsy revealed damage to kidneys, liver and brain</w:t>
            </w:r>
          </w:p>
          <w:p w14:paraId="7525CBA0" w14:textId="2200DF8A" w:rsidR="00D959C9" w:rsidRDefault="00D959C9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other workers no</w:t>
            </w:r>
            <w:r w:rsidR="0055466F">
              <w:t>t</w:t>
            </w:r>
            <w:r>
              <w:t xml:space="preserve"> </w:t>
            </w:r>
            <w:r w:rsidR="0055466F">
              <w:t>affected</w:t>
            </w:r>
          </w:p>
          <w:p w14:paraId="58D7061F" w14:textId="168C63DD" w:rsidR="00D959C9" w:rsidRDefault="00D959C9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</w:t>
            </w:r>
            <w:r w:rsidR="0013509A">
              <w:t>at</w:t>
            </w:r>
            <w:r>
              <w:t xml:space="preserve"> 5,000 ppm for 1 min resulted in slight vertigo</w:t>
            </w:r>
          </w:p>
          <w:p w14:paraId="2DC96E3C" w14:textId="22DFC7A4" w:rsidR="00D959C9" w:rsidRDefault="00D959C9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unusual incidence of cancer in 3 factories with average vapour concentrations of 1.07</w:t>
            </w:r>
            <w:r w:rsidR="00252F62">
              <w:t> </w:t>
            </w:r>
            <w:r>
              <w:t>ppm, 0.9 ppm and 6.5 ppm; worker exposure 15 to 50 yr; abnormal liver and kidney function in workers at 1 factory</w:t>
            </w:r>
          </w:p>
          <w:p w14:paraId="50DD88E5" w14:textId="7DFA9473" w:rsidR="00252F62" w:rsidRDefault="00D959C9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&gt;200 ppm is required to elicit eye, nose and throat irritation</w:t>
            </w:r>
            <w:r w:rsidR="0092567E">
              <w:t>.</w:t>
            </w:r>
          </w:p>
          <w:p w14:paraId="0A5D40BE" w14:textId="3BC8F9D1" w:rsidR="00D959C9" w:rsidRDefault="00D959C9" w:rsidP="00D959C9">
            <w:pPr>
              <w:pStyle w:val="Tabletextprimarysource"/>
            </w:pPr>
            <w:r>
              <w:t>Animal data</w:t>
            </w:r>
            <w:r w:rsidR="004B14E4">
              <w:t>:</w:t>
            </w:r>
          </w:p>
          <w:p w14:paraId="6B4D1BFC" w14:textId="111DF09F" w:rsidR="00D959C9" w:rsidRDefault="0013509A" w:rsidP="00CD702D">
            <w:pPr>
              <w:pStyle w:val="ListBullet"/>
              <w:ind w:left="720"/>
              <w:contextualSpacing w:val="0"/>
            </w:pPr>
            <w:r>
              <w:t xml:space="preserve">IV </w:t>
            </w:r>
            <w:r w:rsidR="00D959C9">
              <w:t>lethal dose in rabbits</w:t>
            </w:r>
            <w:r>
              <w:t>:</w:t>
            </w:r>
            <w:r w:rsidR="00D959C9">
              <w:t xml:space="preserve"> 1.5 g/kg; acute renal and hepatic failure</w:t>
            </w:r>
          </w:p>
          <w:p w14:paraId="00D388CB" w14:textId="687D7926" w:rsidR="00D959C9" w:rsidRDefault="00D959C9" w:rsidP="00CD702D">
            <w:pPr>
              <w:pStyle w:val="ListBullet"/>
              <w:ind w:left="720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E74202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14,250 ppm </w:t>
            </w:r>
            <w:r w:rsidR="00E74202">
              <w:t>(</w:t>
            </w:r>
            <w:r>
              <w:t>rats</w:t>
            </w:r>
            <w:r w:rsidR="00E74202">
              <w:t>, 4 h)</w:t>
            </w:r>
          </w:p>
          <w:p w14:paraId="0FE772DB" w14:textId="44A4CC84" w:rsidR="00D959C9" w:rsidRDefault="004A6C28" w:rsidP="00E74202">
            <w:pPr>
              <w:pStyle w:val="ListBullet"/>
              <w:ind w:left="720"/>
              <w:contextualSpacing w:val="0"/>
            </w:pPr>
            <w:r>
              <w:t xml:space="preserve">Repeated inhalation of 800 ppm </w:t>
            </w:r>
            <w:r w:rsidR="0013509A">
              <w:t>(</w:t>
            </w:r>
            <w:r w:rsidR="0055466F">
              <w:t>rabbits</w:t>
            </w:r>
            <w:r w:rsidR="0013509A">
              <w:t>)</w:t>
            </w:r>
            <w:r w:rsidR="0055466F">
              <w:t xml:space="preserve"> </w:t>
            </w:r>
            <w:r>
              <w:t>for 30 d resulted in fatal kidney damage</w:t>
            </w:r>
          </w:p>
          <w:p w14:paraId="1991D0EE" w14:textId="1410EDB8" w:rsidR="004A6C28" w:rsidRDefault="004A6C28" w:rsidP="00E74202">
            <w:pPr>
              <w:pStyle w:val="ListBullet"/>
              <w:ind w:left="720"/>
              <w:contextualSpacing w:val="0"/>
            </w:pPr>
            <w:r>
              <w:t>Nasal and liver tumours developed in rats ingesting 7</w:t>
            </w:r>
            <w:r w:rsidR="0055466F">
              <w:t>,</w:t>
            </w:r>
            <w:r>
              <w:t>000</w:t>
            </w:r>
            <w:r w:rsidR="00D704B0">
              <w:t>–</w:t>
            </w:r>
            <w:r>
              <w:t>18,000 ppm in drinking water for 14</w:t>
            </w:r>
            <w:r w:rsidR="00D704B0">
              <w:t>–</w:t>
            </w:r>
            <w:r>
              <w:t>23 mo</w:t>
            </w:r>
          </w:p>
          <w:p w14:paraId="6EE670BE" w14:textId="77777777" w:rsidR="0013509A" w:rsidRDefault="002D2CEB" w:rsidP="00E74202">
            <w:pPr>
              <w:pStyle w:val="ListBullet"/>
              <w:ind w:left="720"/>
              <w:contextualSpacing w:val="0"/>
            </w:pPr>
            <w:r>
              <w:t xml:space="preserve">Liver tumours (12 of 66 </w:t>
            </w:r>
            <w:r w:rsidR="00E74202">
              <w:t xml:space="preserve">vs </w:t>
            </w:r>
            <w:r>
              <w:t xml:space="preserve">2 of 106 in control), nasal tumours (3 of 66 </w:t>
            </w:r>
            <w:r w:rsidR="00E74202">
              <w:t xml:space="preserve">vs 0 </w:t>
            </w:r>
            <w:r>
              <w:t>in control), and liver and kidney pathology produced in rats (both sexes) drinking water containing 1.0% 1,4-</w:t>
            </w:r>
            <w:r w:rsidR="004E2B37">
              <w:t>D</w:t>
            </w:r>
            <w:r>
              <w:t>ioxane for 2 yr</w:t>
            </w:r>
          </w:p>
          <w:p w14:paraId="4D5792D1" w14:textId="687C7160" w:rsidR="004A6C28" w:rsidRDefault="002D2CEB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adverse effects males and female rats receiving 0.01% (9.6 and 19 mg/kg/d respectively)</w:t>
            </w:r>
          </w:p>
          <w:p w14:paraId="1FC8353A" w14:textId="391C7174" w:rsidR="00591700" w:rsidRDefault="002D2CEB" w:rsidP="00E74202">
            <w:pPr>
              <w:pStyle w:val="ListBullet"/>
              <w:ind w:left="720"/>
              <w:contextualSpacing w:val="0"/>
            </w:pPr>
            <w:r>
              <w:t>No adverse effects</w:t>
            </w:r>
            <w:r w:rsidR="00591700">
              <w:t xml:space="preserve"> in:</w:t>
            </w:r>
            <w:r>
              <w:t xml:space="preserve"> </w:t>
            </w:r>
          </w:p>
          <w:p w14:paraId="20E6C189" w14:textId="162F664E" w:rsidR="00591700" w:rsidRDefault="00591700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2D2CEB">
              <w:t>ats, rabbits and dogs</w:t>
            </w:r>
            <w:r w:rsidR="00D704B0">
              <w:t>,</w:t>
            </w:r>
            <w:r w:rsidR="002D2CEB">
              <w:t xml:space="preserve"> 1</w:t>
            </w:r>
            <w:r>
              <w:t>30</w:t>
            </w:r>
            <w:r w:rsidR="00D704B0">
              <w:t>–</w:t>
            </w:r>
            <w:r>
              <w:t>136 7</w:t>
            </w:r>
            <w:r w:rsidR="004E2B37">
              <w:t xml:space="preserve"> </w:t>
            </w:r>
            <w:r>
              <w:t xml:space="preserve">h inhalation </w:t>
            </w:r>
            <w:r w:rsidR="002D2CEB">
              <w:t>exposures at 50 ppm</w:t>
            </w:r>
            <w:r>
              <w:t xml:space="preserve"> over 180</w:t>
            </w:r>
            <w:r w:rsidR="00D704B0">
              <w:t>–</w:t>
            </w:r>
            <w:r>
              <w:t>195 d</w:t>
            </w:r>
          </w:p>
          <w:p w14:paraId="5C4B1F5E" w14:textId="151C8BCA" w:rsidR="002D2CEB" w:rsidRDefault="00591700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g</w:t>
            </w:r>
            <w:r w:rsidR="002D2CEB">
              <w:t>uine</w:t>
            </w:r>
            <w:r>
              <w:t>a pigs</w:t>
            </w:r>
            <w:r w:rsidR="00D704B0">
              <w:t>,</w:t>
            </w:r>
            <w:r>
              <w:t xml:space="preserve"> 82 exposures at </w:t>
            </w:r>
            <w:r w:rsidR="002D2CEB">
              <w:t>50 ppm in 188 d</w:t>
            </w:r>
          </w:p>
          <w:p w14:paraId="6A73D5B8" w14:textId="3BAAD227" w:rsidR="00322A54" w:rsidRDefault="00B935B0" w:rsidP="00E74202">
            <w:pPr>
              <w:pStyle w:val="ListBullet"/>
              <w:ind w:left="720"/>
              <w:contextualSpacing w:val="0"/>
            </w:pPr>
            <w:r>
              <w:t>No adverse effects observed in groups of 288 male and 288 female rats exposed to average of 111 ppm for 7 h/d, 5 d/wk for 2 yr</w:t>
            </w:r>
            <w:r w:rsidR="00C5076D">
              <w:t>.</w:t>
            </w:r>
          </w:p>
          <w:p w14:paraId="1AFE1D93" w14:textId="77777777" w:rsidR="00252F62" w:rsidRDefault="00252F62" w:rsidP="004B14E4">
            <w:pPr>
              <w:pStyle w:val="Tabletextprimarysource"/>
            </w:pPr>
          </w:p>
          <w:p w14:paraId="6834A3FD" w14:textId="1555E34F" w:rsidR="00B935B0" w:rsidRDefault="004B14E4" w:rsidP="004B14E4">
            <w:pPr>
              <w:pStyle w:val="Tabletextprimarysource"/>
            </w:pPr>
            <w:r>
              <w:t>No evidence of mutagenicity or genotoxicity</w:t>
            </w:r>
            <w:r w:rsidR="004E2B37">
              <w:t>.</w:t>
            </w:r>
          </w:p>
          <w:p w14:paraId="6F6B7609" w14:textId="77777777" w:rsidR="004B14E4" w:rsidRDefault="004B14E4" w:rsidP="004B14E4">
            <w:pPr>
              <w:pStyle w:val="Tabletextprimarysource"/>
            </w:pPr>
            <w:r>
              <w:t>Insufficient evidence to recommend sensitisation notations or STEL</w:t>
            </w:r>
            <w:r w:rsidR="004E2B37">
              <w:t>.</w:t>
            </w:r>
          </w:p>
          <w:p w14:paraId="4F5B600E" w14:textId="26E30CB6" w:rsidR="004772B8" w:rsidRPr="00DA352E" w:rsidRDefault="004772B8" w:rsidP="004B14E4">
            <w:pPr>
              <w:pStyle w:val="Tabletextprimarysource"/>
            </w:pPr>
          </w:p>
        </w:tc>
      </w:tr>
      <w:tr w:rsidR="00C978F0" w:rsidRPr="00DA352E" w14:paraId="4293C72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DAD7C1" w14:textId="351B275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E46CE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E46CE">
                  <w:t>MAK: 20 ppm (73 mg/m</w:t>
                </w:r>
                <w:r w:rsidR="001E46CE" w:rsidRPr="001E46CE">
                  <w:rPr>
                    <w:vertAlign w:val="superscript"/>
                  </w:rPr>
                  <w:t>3</w:t>
                </w:r>
                <w:r w:rsidR="001E46CE">
                  <w:t>)</w:t>
                </w:r>
              </w:sdtContent>
            </w:sdt>
          </w:p>
        </w:tc>
      </w:tr>
      <w:tr w:rsidR="00C978F0" w:rsidRPr="00DA352E" w14:paraId="3472061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84B99D" w14:textId="77777777" w:rsidR="00C978F0" w:rsidRDefault="00D0327E" w:rsidP="003365A5">
            <w:pPr>
              <w:pStyle w:val="Tabletextprimarysource"/>
            </w:pPr>
            <w:r>
              <w:t>Summary of additional data:</w:t>
            </w:r>
          </w:p>
          <w:p w14:paraId="00D99DE6" w14:textId="1B7E3342" w:rsidR="0092567E" w:rsidRDefault="0092567E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Human volunteers exposed once </w:t>
            </w:r>
            <w:r w:rsidR="0013509A">
              <w:t>at</w:t>
            </w:r>
            <w:r>
              <w:t xml:space="preserve"> 50 ppm reported eye irritation</w:t>
            </w:r>
          </w:p>
          <w:p w14:paraId="0CD52A25" w14:textId="0F3BB69F" w:rsidR="00D0327E" w:rsidRDefault="00CD702D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D0327E" w:rsidRPr="00D0327E">
              <w:t>arcinogenic potential when administered at high levels to experimental animals</w:t>
            </w:r>
          </w:p>
          <w:p w14:paraId="03325D87" w14:textId="65DB0127" w:rsidR="00D0327E" w:rsidRDefault="00D0327E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</w:t>
            </w:r>
            <w:r w:rsidRPr="00D0327E">
              <w:t>ong-term experiment with mice</w:t>
            </w:r>
            <w:r w:rsidR="004E2B37">
              <w:t>;</w:t>
            </w:r>
            <w:r w:rsidRPr="00D0327E">
              <w:t xml:space="preserve"> hepatocellular adenomas and carcinomas developed at the lowest dose tested of 0.05% (</w:t>
            </w:r>
            <w:r w:rsidR="00CD702D">
              <w:rPr>
                <w:rFonts w:cs="Arial"/>
              </w:rPr>
              <w:t>≈</w:t>
            </w:r>
            <w:r>
              <w:t>50 mg/kg/d)</w:t>
            </w:r>
          </w:p>
          <w:p w14:paraId="0E718EDA" w14:textId="77777777" w:rsidR="0013509A" w:rsidRDefault="00D0327E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10 mg/kg/d in drinking water in rats; 102 wk</w:t>
            </w:r>
          </w:p>
          <w:p w14:paraId="76E2C6A6" w14:textId="0444B1DF" w:rsidR="00D0327E" w:rsidRDefault="00D0327E" w:rsidP="001350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LOAEL 100 mg/kg/d: liver and kidney toxicity; slight increase in the incidence of hepatocellular adenomas or carcinomas</w:t>
            </w:r>
          </w:p>
          <w:p w14:paraId="44C0366C" w14:textId="7196D3AD" w:rsidR="007072C8" w:rsidRDefault="007072C8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 yr inhalation study in rats; no carcinogenic effects detected at 111 ppm 7 h/d, </w:t>
            </w:r>
            <w:r w:rsidR="00D704B0">
              <w:br/>
            </w:r>
            <w:r>
              <w:t>5 d/wk (</w:t>
            </w:r>
            <w:r w:rsidR="00CD702D">
              <w:rPr>
                <w:rFonts w:cs="Arial"/>
              </w:rPr>
              <w:t>≡</w:t>
            </w:r>
            <w:r>
              <w:t>100 mg/kg/d)</w:t>
            </w:r>
            <w:r w:rsidR="00D704B0">
              <w:t>.</w:t>
            </w:r>
          </w:p>
          <w:p w14:paraId="3A4CEECD" w14:textId="65BCDF27" w:rsidR="007072C8" w:rsidRPr="00DA352E" w:rsidRDefault="007072C8" w:rsidP="0013509A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0AEFBAF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55F7A9E" w14:textId="71DDDBE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E46C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E5B68" w:rsidRPr="008E5B68">
                  <w:t>8-hour TWA</w:t>
                </w:r>
                <w:r w:rsidR="001E46CE">
                  <w:t>: 20 ppm (73 mg/m</w:t>
                </w:r>
                <w:r w:rsidR="001E46CE" w:rsidRPr="001E46CE">
                  <w:rPr>
                    <w:vertAlign w:val="superscript"/>
                  </w:rPr>
                  <w:t>3</w:t>
                </w:r>
                <w:r w:rsidR="001E46CE">
                  <w:t>)</w:t>
                </w:r>
              </w:sdtContent>
            </w:sdt>
          </w:p>
        </w:tc>
      </w:tr>
      <w:tr w:rsidR="00C978F0" w:rsidRPr="00DA352E" w14:paraId="3DEC0A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E547F6" w14:textId="77777777" w:rsidR="00C978F0" w:rsidRDefault="007072C8" w:rsidP="003365A5">
            <w:pPr>
              <w:pStyle w:val="Tabletextprimarysource"/>
            </w:pPr>
            <w:r>
              <w:t>Summary of additional data:</w:t>
            </w:r>
          </w:p>
          <w:p w14:paraId="155D7F10" w14:textId="6664383D" w:rsidR="0092567E" w:rsidRDefault="0092567E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Studies in human volunteers exposed </w:t>
            </w:r>
            <w:r w:rsidR="0013509A">
              <w:t>at</w:t>
            </w:r>
            <w:r>
              <w:t xml:space="preserve"> 50 ppm (180 mg/m</w:t>
            </w:r>
            <w:r w:rsidRPr="007072C8">
              <w:rPr>
                <w:vertAlign w:val="superscript"/>
              </w:rPr>
              <w:t>3</w:t>
            </w:r>
            <w:r>
              <w:t>) indicated almost total excretion of the inhaled dose with no indication of saturation of metabolism</w:t>
            </w:r>
          </w:p>
          <w:p w14:paraId="2DEEB4F7" w14:textId="77ADCED1" w:rsidR="007072C8" w:rsidRDefault="007072C8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Carcinogenicity mechanism non-genotoxic, involv</w:t>
            </w:r>
            <w:r w:rsidR="00CD702D">
              <w:t>es</w:t>
            </w:r>
            <w:r>
              <w:t xml:space="preserve"> metabolic pathway saturation/disruption producing a reactive, cytotoxic metabolite</w:t>
            </w:r>
          </w:p>
          <w:p w14:paraId="1BF5B3A2" w14:textId="77777777" w:rsidR="00FB5CD2" w:rsidRDefault="00FB5CD2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based on no effects in rats with lifetime exposure to 400 mg/m</w:t>
            </w:r>
            <w:r w:rsidRPr="00FB5CD2">
              <w:rPr>
                <w:vertAlign w:val="superscript"/>
              </w:rPr>
              <w:t>3</w:t>
            </w:r>
            <w:r>
              <w:t xml:space="preserve"> (111 ppm) and the need to avoid eye irritation (seen in human volunteers at 50 ppm; 180 mg/m</w:t>
            </w:r>
            <w:r w:rsidRPr="00FB5CD2">
              <w:rPr>
                <w:vertAlign w:val="superscript"/>
              </w:rPr>
              <w:t>3</w:t>
            </w:r>
            <w:r>
              <w:t>).</w:t>
            </w:r>
          </w:p>
          <w:p w14:paraId="29E47F15" w14:textId="12B74599" w:rsidR="00D704B0" w:rsidRPr="00DA352E" w:rsidRDefault="00D704B0" w:rsidP="0013509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6D853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6C8FE0" w14:textId="0A3BD9D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E46C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E46CE">
                  <w:t>NA</w:t>
                </w:r>
              </w:sdtContent>
            </w:sdt>
          </w:p>
        </w:tc>
      </w:tr>
      <w:tr w:rsidR="00DA352E" w:rsidRPr="00DA352E" w14:paraId="59B290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054847" w14:textId="0E857636" w:rsidR="00DA352E" w:rsidRPr="00DA352E" w:rsidRDefault="001E46CE" w:rsidP="003365A5">
            <w:pPr>
              <w:pStyle w:val="Tabletextprimarysource"/>
            </w:pPr>
            <w:r>
              <w:t>No report</w:t>
            </w:r>
            <w:r w:rsidR="00CD702D">
              <w:t>.</w:t>
            </w:r>
          </w:p>
        </w:tc>
      </w:tr>
      <w:tr w:rsidR="00DA352E" w:rsidRPr="00DA352E" w14:paraId="24C8357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69ED7A" w14:textId="2D2BC4A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E46CE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E5B68" w:rsidRPr="008E5B68">
                  <w:t>TWA 8 hours</w:t>
                </w:r>
                <w:r w:rsidR="00773861">
                  <w:t xml:space="preserve"> 6 ppm (20 mg/m</w:t>
                </w:r>
                <w:r w:rsidR="00773861" w:rsidRPr="00773861">
                  <w:rPr>
                    <w:vertAlign w:val="superscript"/>
                  </w:rPr>
                  <w:t>3</w:t>
                </w:r>
                <w:r w:rsidR="00773861">
                  <w:t>)</w:t>
                </w:r>
              </w:sdtContent>
            </w:sdt>
          </w:p>
        </w:tc>
      </w:tr>
      <w:tr w:rsidR="00DA352E" w:rsidRPr="00DA352E" w14:paraId="3E67D56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F979CB" w14:textId="77777777" w:rsidR="003D51E3" w:rsidRDefault="003D51E3" w:rsidP="003D51E3">
            <w:pPr>
              <w:pStyle w:val="Tabletextprimarysource"/>
            </w:pPr>
            <w:r>
              <w:t>Summary of additional data:</w:t>
            </w:r>
          </w:p>
          <w:p w14:paraId="59FA1CD7" w14:textId="3C9E7E1F" w:rsidR="00DA352E" w:rsidRDefault="003D51E3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</w:t>
            </w:r>
            <w:r w:rsidR="00CD702D">
              <w:t xml:space="preserve"> of</w:t>
            </w:r>
            <w:r>
              <w:t xml:space="preserve"> 50 ppm (180 mg/m</w:t>
            </w:r>
            <w:r>
              <w:rPr>
                <w:vertAlign w:val="superscript"/>
              </w:rPr>
              <w:t>3</w:t>
            </w:r>
            <w:r>
              <w:t>) in male rats; 6 h/d, 5 d/w</w:t>
            </w:r>
            <w:r w:rsidR="004E2B37">
              <w:t>k</w:t>
            </w:r>
            <w:r>
              <w:t xml:space="preserve"> for 2 yr; nasal lesions</w:t>
            </w:r>
          </w:p>
          <w:p w14:paraId="46175123" w14:textId="77777777" w:rsidR="003D51E3" w:rsidRDefault="003D51E3" w:rsidP="001350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based on LOAEL of 180 mg/m</w:t>
            </w:r>
            <w:r>
              <w:rPr>
                <w:vertAlign w:val="superscript"/>
              </w:rPr>
              <w:t>3</w:t>
            </w:r>
            <w:r>
              <w:t xml:space="preserve"> local critical effect; applying a factor of 3 extrapolate to NAEL and an interspecies factor of 3 derives 20 mg/m</w:t>
            </w:r>
            <w:r>
              <w:rPr>
                <w:vertAlign w:val="superscript"/>
              </w:rPr>
              <w:t>3</w:t>
            </w:r>
            <w:r>
              <w:t>; critical effect is local</w:t>
            </w:r>
            <w:r w:rsidR="004E2B37">
              <w:t>.</w:t>
            </w:r>
          </w:p>
          <w:p w14:paraId="2FB7EF65" w14:textId="5AB0A784" w:rsidR="00D704B0" w:rsidRPr="00DA352E" w:rsidRDefault="00D704B0" w:rsidP="0013509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30719BF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4E8F5893" w14:textId="77777777" w:rsidTr="00D852DC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117A2A2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6AEF91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196138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0577589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2DFE675" w14:textId="77777777" w:rsidTr="00D852DC">
        <w:trPr>
          <w:cantSplit/>
        </w:trPr>
        <w:tc>
          <w:tcPr>
            <w:tcW w:w="1494" w:type="dxa"/>
          </w:tcPr>
          <w:p w14:paraId="46259AF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BB7DE70" w14:textId="07833818" w:rsidR="004966BF" w:rsidRPr="00CE617F" w:rsidRDefault="004819D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4325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7DD3233" w14:textId="371A060F" w:rsidR="004966BF" w:rsidRPr="004C23F4" w:rsidRDefault="00A4325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6448" w:type="dxa"/>
          </w:tcPr>
          <w:p w14:paraId="0BDB9B42" w14:textId="6199CDE8" w:rsidR="004966BF" w:rsidRPr="004C23F4" w:rsidRDefault="0062519A" w:rsidP="0013509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CD702D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7,</w:t>
            </w:r>
            <w:r w:rsidR="00C17EFC">
              <w:rPr>
                <w:rStyle w:val="checkbox"/>
                <w:rFonts w:ascii="Arial" w:hAnsi="Arial" w:cs="Arial"/>
              </w:rPr>
              <w:t>6</w:t>
            </w:r>
            <w:r>
              <w:rPr>
                <w:rStyle w:val="checkbox"/>
                <w:rFonts w:ascii="Arial" w:hAnsi="Arial" w:cs="Arial"/>
              </w:rPr>
              <w:t xml:space="preserve">00 </w:t>
            </w:r>
            <w:r w:rsidR="00C17EFC">
              <w:rPr>
                <w:rStyle w:val="checkbox"/>
                <w:rFonts w:ascii="Arial" w:hAnsi="Arial" w:cs="Arial"/>
              </w:rPr>
              <w:t xml:space="preserve">mg/kg </w:t>
            </w:r>
            <w:r w:rsidR="00CD702D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rabbits</w:t>
            </w:r>
            <w:r w:rsidR="00CD702D">
              <w:rPr>
                <w:rStyle w:val="checkbox"/>
                <w:rFonts w:ascii="Arial" w:hAnsi="Arial" w:cs="Arial"/>
              </w:rPr>
              <w:t>, dermal)</w:t>
            </w:r>
            <w:r w:rsidR="00D704B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F96F41C" w14:textId="77777777" w:rsidTr="00D852DC">
        <w:trPr>
          <w:cantSplit/>
        </w:trPr>
        <w:tc>
          <w:tcPr>
            <w:tcW w:w="1494" w:type="dxa"/>
          </w:tcPr>
          <w:p w14:paraId="5FFFA0D0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6CC9277F" w14:textId="42C7BDBB" w:rsidR="004966BF" w:rsidRPr="00CE617F" w:rsidRDefault="004819D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D51E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BFD2E77" w14:textId="0A90B14E" w:rsidR="004966BF" w:rsidRPr="004C23F4" w:rsidRDefault="003D51E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8" w:type="dxa"/>
          </w:tcPr>
          <w:p w14:paraId="79A3E12D" w14:textId="630761AD" w:rsidR="004966BF" w:rsidRDefault="003D51E3" w:rsidP="0013509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Chronic Rfc derived from same study LOAEL</w:t>
            </w:r>
            <w:r w:rsidR="00A4325F">
              <w:rPr>
                <w:rStyle w:val="checkbox"/>
                <w:rFonts w:ascii="Arial" w:hAnsi="Arial" w:cs="Arial"/>
              </w:rPr>
              <w:t xml:space="preserve"> 50 ppm (male rats)</w:t>
            </w:r>
            <w:r>
              <w:rPr>
                <w:rStyle w:val="checkbox"/>
                <w:rFonts w:ascii="Arial" w:hAnsi="Arial" w:cs="Arial"/>
              </w:rPr>
              <w:t xml:space="preserve"> as HCOTN (2015)</w:t>
            </w:r>
          </w:p>
          <w:p w14:paraId="3AEC8AD6" w14:textId="18222F9B" w:rsidR="00A4325F" w:rsidRPr="00A4325F" w:rsidRDefault="00A4325F" w:rsidP="0013509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Absence of induced mesotheliomas in female rats in drinking water study; similar pattern of effects after oral exposure in other study on female rats justifies 50 ppm LOAEL for both sexes</w:t>
            </w:r>
            <w:r w:rsidR="004E2B37">
              <w:t>.</w:t>
            </w:r>
          </w:p>
        </w:tc>
      </w:tr>
    </w:tbl>
    <w:bookmarkEnd w:id="0"/>
    <w:p w14:paraId="5CB53E8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486C70C" w14:textId="77777777" w:rsidTr="00D852DC">
        <w:trPr>
          <w:trHeight w:val="454"/>
          <w:tblHeader/>
        </w:trPr>
        <w:tc>
          <w:tcPr>
            <w:tcW w:w="6603" w:type="dxa"/>
            <w:vAlign w:val="center"/>
          </w:tcPr>
          <w:p w14:paraId="302C85D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716E61D" w14:textId="72177927" w:rsidR="002E0D61" w:rsidRDefault="00D852D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5609F5E" w14:textId="77777777" w:rsidTr="00D852D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3A8DCEB" w14:textId="10754E19" w:rsidR="008A36CF" w:rsidRPr="006901A2" w:rsidRDefault="00D852D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02FD08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12C7D3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D60FDD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2CC9E9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EEBF69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4DEB87D" w14:textId="77777777" w:rsidTr="00812887">
        <w:trPr>
          <w:cantSplit/>
        </w:trPr>
        <w:tc>
          <w:tcPr>
            <w:tcW w:w="3227" w:type="dxa"/>
          </w:tcPr>
          <w:p w14:paraId="6CF76C5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B0473E3" w14:textId="741814FC" w:rsidR="00687890" w:rsidRPr="00DD2F9B" w:rsidRDefault="00773861" w:rsidP="00DD2F9B">
            <w:pPr>
              <w:pStyle w:val="Tablefont"/>
            </w:pPr>
            <w:r w:rsidRPr="00773861">
              <w:t>Carc. 2</w:t>
            </w:r>
            <w:r>
              <w:t xml:space="preserve">, </w:t>
            </w:r>
            <w:r w:rsidRPr="00773861">
              <w:t>Skin</w:t>
            </w:r>
          </w:p>
        </w:tc>
      </w:tr>
      <w:tr w:rsidR="007925F0" w:rsidRPr="004C23F4" w14:paraId="218C03ED" w14:textId="77777777" w:rsidTr="00812887">
        <w:trPr>
          <w:cantSplit/>
        </w:trPr>
        <w:tc>
          <w:tcPr>
            <w:tcW w:w="3227" w:type="dxa"/>
          </w:tcPr>
          <w:p w14:paraId="0F5851F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A4DB0FF" w14:textId="544A7D5D" w:rsidR="007925F0" w:rsidRPr="00DD2F9B" w:rsidRDefault="00773861" w:rsidP="00DD2F9B">
            <w:pPr>
              <w:pStyle w:val="Tablefont"/>
            </w:pPr>
            <w:r w:rsidRPr="00773861">
              <w:t>Carcinogenicity – category 2</w:t>
            </w:r>
          </w:p>
        </w:tc>
      </w:tr>
      <w:tr w:rsidR="00AF483F" w:rsidRPr="004C23F4" w14:paraId="128CF750" w14:textId="77777777" w:rsidTr="00812887">
        <w:trPr>
          <w:cantSplit/>
        </w:trPr>
        <w:tc>
          <w:tcPr>
            <w:tcW w:w="3227" w:type="dxa"/>
          </w:tcPr>
          <w:p w14:paraId="137F540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6C805A3" w14:textId="0B7F48CB" w:rsidR="00AF483F" w:rsidRPr="00DD2F9B" w:rsidRDefault="0077386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7FEBB44" w14:textId="77777777" w:rsidTr="00812887">
        <w:trPr>
          <w:cantSplit/>
        </w:trPr>
        <w:tc>
          <w:tcPr>
            <w:tcW w:w="3227" w:type="dxa"/>
          </w:tcPr>
          <w:p w14:paraId="44F87B4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B9E03A6" w14:textId="5C91B152" w:rsidR="00687890" w:rsidRPr="00DD2F9B" w:rsidRDefault="0077386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BFFBE1E" w14:textId="77777777" w:rsidTr="00812887">
        <w:trPr>
          <w:cantSplit/>
        </w:trPr>
        <w:tc>
          <w:tcPr>
            <w:tcW w:w="3227" w:type="dxa"/>
          </w:tcPr>
          <w:p w14:paraId="1262EFE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8994BD9" w14:textId="6A882136" w:rsidR="00E41A26" w:rsidRPr="00DD2F9B" w:rsidRDefault="00773861" w:rsidP="00DD2F9B">
            <w:pPr>
              <w:pStyle w:val="Tablefont"/>
            </w:pPr>
            <w:r w:rsidRPr="00773861">
              <w:t>Carc. 2</w:t>
            </w:r>
          </w:p>
        </w:tc>
      </w:tr>
      <w:tr w:rsidR="002E0D61" w:rsidRPr="004C23F4" w14:paraId="7E3157C1" w14:textId="77777777" w:rsidTr="00812887">
        <w:trPr>
          <w:cantSplit/>
        </w:trPr>
        <w:tc>
          <w:tcPr>
            <w:tcW w:w="3227" w:type="dxa"/>
          </w:tcPr>
          <w:p w14:paraId="0D2D492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D5C6F95" w14:textId="36E7C1D7" w:rsidR="002E0D61" w:rsidRPr="00DD2F9B" w:rsidRDefault="00773861" w:rsidP="00DD2F9B">
            <w:pPr>
              <w:pStyle w:val="Tablefont"/>
            </w:pPr>
            <w:r w:rsidRPr="00773861">
              <w:t>Carcinogenicity – A3</w:t>
            </w:r>
            <w:r>
              <w:t xml:space="preserve">, </w:t>
            </w:r>
            <w:r w:rsidRPr="00773861">
              <w:t>Skin</w:t>
            </w:r>
          </w:p>
        </w:tc>
      </w:tr>
      <w:tr w:rsidR="002E0D61" w:rsidRPr="004C23F4" w14:paraId="505A30EC" w14:textId="77777777" w:rsidTr="00812887">
        <w:trPr>
          <w:cantSplit/>
        </w:trPr>
        <w:tc>
          <w:tcPr>
            <w:tcW w:w="3227" w:type="dxa"/>
          </w:tcPr>
          <w:p w14:paraId="460082E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CAA67BB" w14:textId="4FF831E7" w:rsidR="002E0D61" w:rsidRPr="00DD2F9B" w:rsidRDefault="00773861" w:rsidP="00DD2F9B">
            <w:pPr>
              <w:pStyle w:val="Tablefont"/>
            </w:pPr>
            <w:r w:rsidRPr="00773861">
              <w:t>Carcinogenicity – 4</w:t>
            </w:r>
            <w:r>
              <w:t xml:space="preserve">, </w:t>
            </w:r>
            <w:r w:rsidRPr="00773861">
              <w:t>H (skin)</w:t>
            </w:r>
          </w:p>
        </w:tc>
      </w:tr>
      <w:tr w:rsidR="002E0D61" w:rsidRPr="004C23F4" w14:paraId="69B54B83" w14:textId="77777777" w:rsidTr="00812887">
        <w:trPr>
          <w:cantSplit/>
        </w:trPr>
        <w:tc>
          <w:tcPr>
            <w:tcW w:w="3227" w:type="dxa"/>
          </w:tcPr>
          <w:p w14:paraId="2F13AC3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0C2BC0F" w14:textId="53BFFAB8" w:rsidR="002E0D61" w:rsidRPr="00DD2F9B" w:rsidRDefault="0077386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34C405F" w14:textId="77777777" w:rsidTr="00812887">
        <w:trPr>
          <w:cantSplit/>
        </w:trPr>
        <w:tc>
          <w:tcPr>
            <w:tcW w:w="3227" w:type="dxa"/>
          </w:tcPr>
          <w:p w14:paraId="6B1EC60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6A06B97" w14:textId="2E9B9AA1" w:rsidR="002E0D61" w:rsidRPr="00DD2F9B" w:rsidRDefault="00251417" w:rsidP="00DD2F9B">
            <w:pPr>
              <w:pStyle w:val="Tablefont"/>
            </w:pPr>
            <w:r w:rsidRPr="00251417">
              <w:t>Carcinogenicity – category 1B</w:t>
            </w:r>
          </w:p>
        </w:tc>
      </w:tr>
      <w:tr w:rsidR="00386093" w:rsidRPr="004C23F4" w14:paraId="17B2278B" w14:textId="77777777" w:rsidTr="00812887">
        <w:trPr>
          <w:cantSplit/>
        </w:trPr>
        <w:tc>
          <w:tcPr>
            <w:tcW w:w="3227" w:type="dxa"/>
          </w:tcPr>
          <w:p w14:paraId="3F4E3F0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7D59497" w14:textId="40F8F2CE" w:rsidR="00386093" w:rsidRPr="00DD2F9B" w:rsidRDefault="00251417" w:rsidP="00DD2F9B">
            <w:pPr>
              <w:pStyle w:val="Tablefont"/>
            </w:pPr>
            <w:r w:rsidRPr="00251417">
              <w:t>Carcinogenicity – Group 2B</w:t>
            </w:r>
          </w:p>
        </w:tc>
      </w:tr>
      <w:tr w:rsidR="00386093" w:rsidRPr="004C23F4" w14:paraId="173CB66D" w14:textId="77777777" w:rsidTr="00812887">
        <w:trPr>
          <w:cantSplit/>
        </w:trPr>
        <w:tc>
          <w:tcPr>
            <w:tcW w:w="3227" w:type="dxa"/>
          </w:tcPr>
          <w:p w14:paraId="28A3CC4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EE1606B" w14:textId="3159EFB9" w:rsidR="00386093" w:rsidRPr="00DD2F9B" w:rsidRDefault="0025141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F2F270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EF7F5B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FC86C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999D7E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638D2B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5" w:type="dxa"/>
              <w:tblLook w:val="04A0" w:firstRow="1" w:lastRow="0" w:firstColumn="1" w:lastColumn="0" w:noHBand="0" w:noVBand="1"/>
            </w:tblPr>
            <w:tblGrid>
              <w:gridCol w:w="3830"/>
              <w:gridCol w:w="1127"/>
              <w:gridCol w:w="1127"/>
              <w:gridCol w:w="2726"/>
            </w:tblGrid>
            <w:tr w:rsidR="00D852DC" w:rsidRPr="00D852DC" w14:paraId="764DAE7E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E81383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5415EFB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5AD94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410445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52DC" w:rsidRPr="00D852DC" w14:paraId="1FC21438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2C1967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D7412F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EC8DD4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09CB1D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52DC" w:rsidRPr="00D852DC" w14:paraId="7EB74627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E6568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D54868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47A0E9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F4F065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52DC" w:rsidRPr="00D852DC" w14:paraId="409E987C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0B42EC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134235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FC95D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3CD405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52DC" w:rsidRPr="00D852DC" w14:paraId="789B4123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CB0A1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0D353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57F1E3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E79065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52DC" w:rsidRPr="00D852DC" w14:paraId="15EFDF4D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1EE2BC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D2C6C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CE1B42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F8555F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52DC" w:rsidRPr="00D852DC" w14:paraId="171C265C" w14:textId="77777777" w:rsidTr="00D852DC">
              <w:trPr>
                <w:trHeight w:val="343"/>
              </w:trPr>
              <w:tc>
                <w:tcPr>
                  <w:tcW w:w="38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652E2" w14:textId="77777777" w:rsidR="00D852DC" w:rsidRPr="00D852DC" w:rsidRDefault="00D852DC" w:rsidP="00D852D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B66DA3" w14:textId="77777777" w:rsidR="00D852DC" w:rsidRPr="00D852DC" w:rsidRDefault="00D852DC" w:rsidP="00D852D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98CF45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5467BA" w14:textId="77777777" w:rsidR="00D852DC" w:rsidRPr="00D852DC" w:rsidRDefault="00D852DC" w:rsidP="00D852D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52D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BCB02D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CF788F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A8FC46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F4D920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DE879A7" w14:textId="0F76B13E" w:rsidR="00EB3D1B" w:rsidRDefault="0025141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86F4B6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8A91BB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ABDAE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BF888E9" w14:textId="4F3BABE2" w:rsidR="001B79E5" w:rsidRDefault="00251417" w:rsidP="001B79E5">
                <w:pPr>
                  <w:pStyle w:val="Tablefont"/>
                </w:pPr>
                <w:r w:rsidRPr="00251417">
                  <w:t>88.11</w:t>
                </w:r>
              </w:p>
            </w:tc>
          </w:sdtContent>
        </w:sdt>
      </w:tr>
      <w:tr w:rsidR="00A31D99" w:rsidRPr="004C23F4" w14:paraId="73AF8C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987FB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7675EE1" w14:textId="44BEDAC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51417">
                  <w:t>3.60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51417">
                  <w:t>0.28</w:t>
                </w:r>
              </w:sdtContent>
            </w:sdt>
            <w:r w:rsidRPr="00251417">
              <w:t xml:space="preserve"> </w:t>
            </w:r>
            <w:r>
              <w:t>ppm</w:t>
            </w:r>
          </w:p>
        </w:tc>
      </w:tr>
      <w:tr w:rsidR="00687890" w:rsidRPr="004C23F4" w14:paraId="30058C5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A7E50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0B493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E3F3F3" w14:textId="77777777" w:rsidTr="00EA6243">
        <w:trPr>
          <w:cantSplit/>
        </w:trPr>
        <w:tc>
          <w:tcPr>
            <w:tcW w:w="4077" w:type="dxa"/>
            <w:vAlign w:val="center"/>
          </w:tcPr>
          <w:p w14:paraId="5FE6B88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411C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EEEA68D" w14:textId="77777777" w:rsidTr="00EA6243">
        <w:trPr>
          <w:cantSplit/>
        </w:trPr>
        <w:tc>
          <w:tcPr>
            <w:tcW w:w="4077" w:type="dxa"/>
            <w:vAlign w:val="center"/>
          </w:tcPr>
          <w:p w14:paraId="29126AD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98E74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9ED02F9" w14:textId="77777777" w:rsidTr="00EA6243">
        <w:trPr>
          <w:cantSplit/>
        </w:trPr>
        <w:tc>
          <w:tcPr>
            <w:tcW w:w="4077" w:type="dxa"/>
            <w:vAlign w:val="center"/>
          </w:tcPr>
          <w:p w14:paraId="24785BC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8665C3B" w14:textId="56DF05E1" w:rsidR="00E06F40" w:rsidRPr="00A006A0" w:rsidRDefault="004819D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51417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497E57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6E9146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24C073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9BD86C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83A665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6C09A8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F4B7C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37501C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AD217E4" w14:textId="160F89B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D23101D" w14:textId="22D793BE" w:rsidR="00251417" w:rsidRDefault="00251417" w:rsidP="00084859">
      <w:r>
        <w:t xml:space="preserve">Deutsche Forschungsgemeinschaft (DFG) (2016) </w:t>
      </w:r>
      <w:r w:rsidRPr="00251417">
        <w:t>1,4-Dioxane</w:t>
      </w:r>
      <w:r>
        <w:t xml:space="preserve"> – MAK value documentation.</w:t>
      </w:r>
    </w:p>
    <w:p w14:paraId="240B20A3" w14:textId="621A106F" w:rsidR="00251417" w:rsidRDefault="00251417" w:rsidP="00251417">
      <w:r>
        <w:t>European Chemicals Agency (ECHA) (2019)</w:t>
      </w:r>
      <w:r w:rsidR="00846D21">
        <w:t xml:space="preserve"> </w:t>
      </w:r>
      <w:r>
        <w:t>1,4-Dioxane – REACH assessment.</w:t>
      </w:r>
    </w:p>
    <w:p w14:paraId="357F8753" w14:textId="66BEB82E" w:rsidR="00251417" w:rsidRDefault="00251417" w:rsidP="00084859">
      <w:r>
        <w:t xml:space="preserve">EU Scientific Committee on Occupational Exposure Limits (SCOEL) (2004) Recommendation from the Scientific Committee on Occupational Exposure Limits for </w:t>
      </w:r>
      <w:r w:rsidRPr="00251417">
        <w:t>1,4-dioxane</w:t>
      </w:r>
      <w:r>
        <w:t>. SCOEL/</w:t>
      </w:r>
      <w:r w:rsidRPr="00251417">
        <w:t>SUM/112</w:t>
      </w:r>
      <w:r>
        <w:t>.</w:t>
      </w:r>
    </w:p>
    <w:p w14:paraId="354E4674" w14:textId="35B15BAA" w:rsidR="00251417" w:rsidRDefault="00251417" w:rsidP="00084859">
      <w:r>
        <w:t xml:space="preserve">Health Council of the Netherlands (HCOTN) (2015) </w:t>
      </w:r>
      <w:r w:rsidRPr="00251417">
        <w:t>1,4-Dioxane</w:t>
      </w:r>
      <w:r>
        <w:t xml:space="preserve">. Health-based calculated occupational cancer risk values. The Hague: Health Council of the Netherlands; publication no. </w:t>
      </w:r>
      <w:r w:rsidRPr="00251417">
        <w:t>2015/26</w:t>
      </w:r>
      <w:r>
        <w:t>.</w:t>
      </w:r>
    </w:p>
    <w:p w14:paraId="50C1345D" w14:textId="4D1D3FBD" w:rsidR="00251417" w:rsidRDefault="00251417" w:rsidP="00084859">
      <w:r>
        <w:t>International Agency for Research on Cancer (IARC) (</w:t>
      </w:r>
      <w:r w:rsidRPr="00251417">
        <w:t>1999</w:t>
      </w:r>
      <w:r>
        <w:t xml:space="preserve">) </w:t>
      </w:r>
      <w:r w:rsidRPr="00251417">
        <w:t>1,4-Dioxane</w:t>
      </w:r>
      <w:r>
        <w:t>. IARC Monographs on the evaluation of the carcinogenic risk to humans.</w:t>
      </w:r>
    </w:p>
    <w:p w14:paraId="76231FFB" w14:textId="0CB8F301" w:rsidR="00CD702D" w:rsidRDefault="00CD702D" w:rsidP="00084859">
      <w:r w:rsidRPr="00DB0A36">
        <w:t>National Industrial Chemicals Notification and Assessment Scheme (NICNAS) (</w:t>
      </w:r>
      <w:r>
        <w:t>1998</w:t>
      </w:r>
      <w:r w:rsidRPr="00DB0A36">
        <w:t xml:space="preserve">) </w:t>
      </w:r>
      <w:r>
        <w:t>Priority Existing Chemical (PEC) Number 7.</w:t>
      </w:r>
    </w:p>
    <w:p w14:paraId="130B2D56" w14:textId="0C35B864" w:rsidR="00CD702D" w:rsidRDefault="00CD702D" w:rsidP="00084859">
      <w:r>
        <w:t xml:space="preserve">US Environmental Protection Authority (US EPA) (2010)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1,4-Dioxane.</w:t>
      </w:r>
    </w:p>
    <w:p w14:paraId="5DD4F27B" w14:textId="6108C0EA" w:rsidR="00CD702D" w:rsidRDefault="00CD702D" w:rsidP="00CD702D">
      <w:r>
        <w:t xml:space="preserve">US National Institute for Occupational Safety and Health (NIOSH) (1994) Immediately dangerous to life or health concentrations – 1,4-dioxane. </w:t>
      </w:r>
    </w:p>
    <w:p w14:paraId="6F1BD516" w14:textId="77777777" w:rsidR="00251417" w:rsidRPr="00351FE0" w:rsidRDefault="00251417" w:rsidP="00084859"/>
    <w:sectPr w:rsidR="0025141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62E66" w14:textId="77777777" w:rsidR="00B63E88" w:rsidRDefault="00B63E88" w:rsidP="00F43AD5">
      <w:pPr>
        <w:spacing w:after="0" w:line="240" w:lineRule="auto"/>
      </w:pPr>
      <w:r>
        <w:separator/>
      </w:r>
    </w:p>
  </w:endnote>
  <w:endnote w:type="continuationSeparator" w:id="0">
    <w:p w14:paraId="3E2A57B0" w14:textId="77777777" w:rsidR="00B63E88" w:rsidRDefault="00B63E8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58A2" w14:textId="77777777" w:rsidR="0088234E" w:rsidRDefault="008823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8CF6240" w14:textId="1082F35D" w:rsidR="008A36CF" w:rsidRDefault="001E46CE" w:rsidP="0034744C">
        <w:pPr>
          <w:pStyle w:val="Footer"/>
          <w:rPr>
            <w:sz w:val="18"/>
            <w:szCs w:val="18"/>
          </w:rPr>
        </w:pPr>
        <w:r w:rsidRPr="001E46CE">
          <w:rPr>
            <w:b/>
            <w:sz w:val="18"/>
            <w:szCs w:val="18"/>
          </w:rPr>
          <w:t>1,4-Dioxane</w:t>
        </w:r>
        <w:r w:rsidR="008A36CF">
          <w:rPr>
            <w:b/>
            <w:sz w:val="18"/>
            <w:szCs w:val="18"/>
          </w:rPr>
          <w:t xml:space="preserve"> (</w:t>
        </w:r>
        <w:r w:rsidRPr="001E46CE">
          <w:rPr>
            <w:b/>
            <w:sz w:val="18"/>
            <w:szCs w:val="18"/>
          </w:rPr>
          <w:t>123-91-1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6F921DE" w14:textId="79260DE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8234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1AEA9" w14:textId="77777777" w:rsidR="0088234E" w:rsidRDefault="00882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1858F" w14:textId="77777777" w:rsidR="00B63E88" w:rsidRDefault="00B63E88" w:rsidP="00F43AD5">
      <w:pPr>
        <w:spacing w:after="0" w:line="240" w:lineRule="auto"/>
      </w:pPr>
      <w:r>
        <w:separator/>
      </w:r>
    </w:p>
  </w:footnote>
  <w:footnote w:type="continuationSeparator" w:id="0">
    <w:p w14:paraId="5586DF17" w14:textId="77777777" w:rsidR="00B63E88" w:rsidRDefault="00B63E8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69531" w14:textId="77777777" w:rsidR="0088234E" w:rsidRDefault="00882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0A90" w14:textId="4C0CFB3A" w:rsidR="0088234E" w:rsidRDefault="0088234E" w:rsidP="0088234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20E537" wp14:editId="6306466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1FD5E" w14:textId="34DFE0E9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4B7FF" w14:textId="77777777" w:rsidR="0088234E" w:rsidRDefault="0088234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94F1B" w14:textId="1EA77571" w:rsidR="008A36CF" w:rsidRDefault="0088234E" w:rsidP="0088234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EB3854F" wp14:editId="680DDE8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38CAF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4293E"/>
    <w:multiLevelType w:val="hybridMultilevel"/>
    <w:tmpl w:val="EB48E0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102603">
    <w:abstractNumId w:val="0"/>
  </w:num>
  <w:num w:numId="2" w16cid:durableId="1050223357">
    <w:abstractNumId w:val="1"/>
  </w:num>
  <w:num w:numId="3" w16cid:durableId="861866771">
    <w:abstractNumId w:val="0"/>
  </w:num>
  <w:num w:numId="4" w16cid:durableId="1840534863">
    <w:abstractNumId w:val="0"/>
  </w:num>
  <w:num w:numId="5" w16cid:durableId="1681739664">
    <w:abstractNumId w:val="0"/>
  </w:num>
  <w:num w:numId="6" w16cid:durableId="1438794855">
    <w:abstractNumId w:val="0"/>
  </w:num>
  <w:num w:numId="7" w16cid:durableId="163822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B84"/>
    <w:rsid w:val="000E5A54"/>
    <w:rsid w:val="000E63D3"/>
    <w:rsid w:val="000E67CF"/>
    <w:rsid w:val="0010461E"/>
    <w:rsid w:val="00106FAA"/>
    <w:rsid w:val="00113443"/>
    <w:rsid w:val="001269A7"/>
    <w:rsid w:val="00131092"/>
    <w:rsid w:val="0013509A"/>
    <w:rsid w:val="001362BC"/>
    <w:rsid w:val="00140E6A"/>
    <w:rsid w:val="00146545"/>
    <w:rsid w:val="00146B75"/>
    <w:rsid w:val="0015266D"/>
    <w:rsid w:val="0015288A"/>
    <w:rsid w:val="00160F47"/>
    <w:rsid w:val="0016789E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CE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280"/>
    <w:rsid w:val="00251417"/>
    <w:rsid w:val="00252F62"/>
    <w:rsid w:val="0025734A"/>
    <w:rsid w:val="00263255"/>
    <w:rsid w:val="00276494"/>
    <w:rsid w:val="00277B0C"/>
    <w:rsid w:val="002B0A96"/>
    <w:rsid w:val="002B1A2C"/>
    <w:rsid w:val="002C34F2"/>
    <w:rsid w:val="002C58FF"/>
    <w:rsid w:val="002C7AFE"/>
    <w:rsid w:val="002D05D2"/>
    <w:rsid w:val="002D2CEB"/>
    <w:rsid w:val="002E0D61"/>
    <w:rsid w:val="002E4C7B"/>
    <w:rsid w:val="002F2EFF"/>
    <w:rsid w:val="0030740C"/>
    <w:rsid w:val="00315833"/>
    <w:rsid w:val="003215EE"/>
    <w:rsid w:val="003224BF"/>
    <w:rsid w:val="00322A54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FD3"/>
    <w:rsid w:val="003C0D58"/>
    <w:rsid w:val="003C11DE"/>
    <w:rsid w:val="003D4FA3"/>
    <w:rsid w:val="003D51E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72B8"/>
    <w:rsid w:val="004819DF"/>
    <w:rsid w:val="00485BFD"/>
    <w:rsid w:val="004867A2"/>
    <w:rsid w:val="00486E65"/>
    <w:rsid w:val="004873F2"/>
    <w:rsid w:val="00490D4C"/>
    <w:rsid w:val="00493A35"/>
    <w:rsid w:val="0049527A"/>
    <w:rsid w:val="004966BF"/>
    <w:rsid w:val="00497984"/>
    <w:rsid w:val="004A5088"/>
    <w:rsid w:val="004A6C28"/>
    <w:rsid w:val="004B14E4"/>
    <w:rsid w:val="004B71CF"/>
    <w:rsid w:val="004C1E3F"/>
    <w:rsid w:val="004C23F4"/>
    <w:rsid w:val="004C3475"/>
    <w:rsid w:val="004C58B6"/>
    <w:rsid w:val="004D16A3"/>
    <w:rsid w:val="004D4AA1"/>
    <w:rsid w:val="004D6D68"/>
    <w:rsid w:val="004E2B37"/>
    <w:rsid w:val="004E3387"/>
    <w:rsid w:val="004E5EDD"/>
    <w:rsid w:val="004F448A"/>
    <w:rsid w:val="004F472D"/>
    <w:rsid w:val="004F493D"/>
    <w:rsid w:val="004F65E8"/>
    <w:rsid w:val="0050005E"/>
    <w:rsid w:val="00502B88"/>
    <w:rsid w:val="00503155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66F"/>
    <w:rsid w:val="00581055"/>
    <w:rsid w:val="00591700"/>
    <w:rsid w:val="00591E38"/>
    <w:rsid w:val="005A19C5"/>
    <w:rsid w:val="005A3034"/>
    <w:rsid w:val="005A462D"/>
    <w:rsid w:val="005B253B"/>
    <w:rsid w:val="005B6498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19A"/>
    <w:rsid w:val="00625200"/>
    <w:rsid w:val="006363A8"/>
    <w:rsid w:val="00636DB7"/>
    <w:rsid w:val="00650905"/>
    <w:rsid w:val="006532ED"/>
    <w:rsid w:val="006549F2"/>
    <w:rsid w:val="006562F4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72C8"/>
    <w:rsid w:val="00714021"/>
    <w:rsid w:val="00714F96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386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D21"/>
    <w:rsid w:val="00857A8A"/>
    <w:rsid w:val="008615E3"/>
    <w:rsid w:val="008630EE"/>
    <w:rsid w:val="00864D13"/>
    <w:rsid w:val="00871CD5"/>
    <w:rsid w:val="008745A2"/>
    <w:rsid w:val="008768A8"/>
    <w:rsid w:val="0088234E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5B68"/>
    <w:rsid w:val="008E7B64"/>
    <w:rsid w:val="008F5DCD"/>
    <w:rsid w:val="00900928"/>
    <w:rsid w:val="00900951"/>
    <w:rsid w:val="00901E74"/>
    <w:rsid w:val="009118A6"/>
    <w:rsid w:val="00916909"/>
    <w:rsid w:val="00916EC0"/>
    <w:rsid w:val="00920467"/>
    <w:rsid w:val="00921DE7"/>
    <w:rsid w:val="0092567E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25F"/>
    <w:rsid w:val="00A5216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752B"/>
    <w:rsid w:val="00B40C60"/>
    <w:rsid w:val="00B479A9"/>
    <w:rsid w:val="00B52EDF"/>
    <w:rsid w:val="00B63D4F"/>
    <w:rsid w:val="00B63E88"/>
    <w:rsid w:val="00B71188"/>
    <w:rsid w:val="00B76A41"/>
    <w:rsid w:val="00B87D4C"/>
    <w:rsid w:val="00B935B0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789B"/>
    <w:rsid w:val="00C06E43"/>
    <w:rsid w:val="00C16315"/>
    <w:rsid w:val="00C17EFC"/>
    <w:rsid w:val="00C3091E"/>
    <w:rsid w:val="00C40FF1"/>
    <w:rsid w:val="00C419E2"/>
    <w:rsid w:val="00C5020E"/>
    <w:rsid w:val="00C5076D"/>
    <w:rsid w:val="00C57452"/>
    <w:rsid w:val="00C60730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B7C8A"/>
    <w:rsid w:val="00CC1A68"/>
    <w:rsid w:val="00CC2123"/>
    <w:rsid w:val="00CD2BFD"/>
    <w:rsid w:val="00CD702D"/>
    <w:rsid w:val="00CE5AD6"/>
    <w:rsid w:val="00CE617F"/>
    <w:rsid w:val="00CE78EF"/>
    <w:rsid w:val="00D0327E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4B0"/>
    <w:rsid w:val="00D70670"/>
    <w:rsid w:val="00D74D80"/>
    <w:rsid w:val="00D76624"/>
    <w:rsid w:val="00D852DC"/>
    <w:rsid w:val="00D87570"/>
    <w:rsid w:val="00D91CB9"/>
    <w:rsid w:val="00D959C9"/>
    <w:rsid w:val="00D97989"/>
    <w:rsid w:val="00D97D8D"/>
    <w:rsid w:val="00DA352E"/>
    <w:rsid w:val="00DB7D1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A9"/>
    <w:rsid w:val="00E67EF5"/>
    <w:rsid w:val="00E74202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441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1CC"/>
    <w:rsid w:val="00F92498"/>
    <w:rsid w:val="00F9496B"/>
    <w:rsid w:val="00F970C9"/>
    <w:rsid w:val="00FA06A8"/>
    <w:rsid w:val="00FA3DF5"/>
    <w:rsid w:val="00FA741F"/>
    <w:rsid w:val="00FB4E07"/>
    <w:rsid w:val="00FB5CD2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22A5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4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66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66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66F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17E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3491ED0FE1544E9A9E1677B39004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A8CC3-6ABB-4F2E-9A37-0742EFCE5CEF}"/>
      </w:docPartPr>
      <w:docPartBody>
        <w:p w:rsidR="00085E44" w:rsidRDefault="00594CDC" w:rsidP="00594CDC">
          <w:pPr>
            <w:pStyle w:val="A3491ED0FE1544E9A9E1677B390040C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5E44"/>
    <w:rsid w:val="00144131"/>
    <w:rsid w:val="00594CDC"/>
    <w:rsid w:val="00714722"/>
    <w:rsid w:val="00901E74"/>
    <w:rsid w:val="00920906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4CD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3491ED0FE1544E9A9E1677B390040C3">
    <w:name w:val="A3491ED0FE1544E9A9E1677B390040C3"/>
    <w:rsid w:val="00594C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008F6-4512-4FDF-851D-DA55318B7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schemas.microsoft.com/office/2006/metadata/properties"/>
    <ds:schemaRef ds:uri="http://purl.org/dc/terms/"/>
    <ds:schemaRef ds:uri="a0509f21-ed56-4150-9955-96be669e5f2d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c567317-0c4d-4a62-8516-c22afd1b5354"/>
  </ds:schemaRefs>
</ds:datastoreItem>
</file>

<file path=customXml/itemProps4.xml><?xml version="1.0" encoding="utf-8"?>
<ds:datastoreItem xmlns:ds="http://schemas.openxmlformats.org/officeDocument/2006/customXml" ds:itemID="{CEDCCCBF-0F51-4AE3-9A85-2937B12D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1329</Words>
  <Characters>8046</Characters>
  <Application>Microsoft Office Word</Application>
  <DocSecurity>0</DocSecurity>
  <Lines>277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5</cp:revision>
  <cp:lastPrinted>2018-10-22T22:41:00Z</cp:lastPrinted>
  <dcterms:created xsi:type="dcterms:W3CDTF">2019-11-07T07:43:00Z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2025-12-22T05:10:54Z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d4f076ac-59b6-4266-88a1-9f529d1263e8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