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2A72AE23" w14:textId="2DC8EFCC" w:rsidR="00BD499F" w:rsidRPr="004C23F4" w:rsidRDefault="00A9697D" w:rsidP="00B40C60">
          <w:pPr>
            <w:pStyle w:val="Heading1"/>
            <w:jc w:val="center"/>
            <w:rPr>
              <w:rFonts w:ascii="Arial" w:hAnsi="Arial" w:cs="Arial"/>
            </w:rPr>
          </w:pPr>
          <w:r w:rsidRPr="00A9697D">
            <w:rPr>
              <w:rFonts w:ascii="Arial" w:hAnsi="Arial" w:cs="Arial"/>
            </w:rPr>
            <w:t>1,3-Dioxolane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7"/>
        <w:gridCol w:w="5049"/>
      </w:tblGrid>
      <w:tr w:rsidR="00F43AD5" w:rsidRPr="004C23F4" w14:paraId="45B0AE9E" w14:textId="77777777" w:rsidTr="00B76A41">
        <w:trPr>
          <w:cantSplit/>
          <w:tblHeader/>
        </w:trPr>
        <w:tc>
          <w:tcPr>
            <w:tcW w:w="4077" w:type="dxa"/>
          </w:tcPr>
          <w:p w14:paraId="0C8F4FC2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70F36D30" w14:textId="41B3C136" w:rsidR="00F43AD5" w:rsidRPr="00717D45" w:rsidRDefault="00A9697D" w:rsidP="00B76A41">
            <w:pPr>
              <w:pStyle w:val="Tablefont"/>
            </w:pPr>
            <w:r w:rsidRPr="00A9697D">
              <w:t>646-06-0</w:t>
            </w:r>
          </w:p>
        </w:tc>
      </w:tr>
      <w:tr w:rsidR="00F43AD5" w:rsidRPr="004C23F4" w14:paraId="22E68EDD" w14:textId="77777777" w:rsidTr="00B76A41">
        <w:trPr>
          <w:cantSplit/>
        </w:trPr>
        <w:tc>
          <w:tcPr>
            <w:tcW w:w="4077" w:type="dxa"/>
          </w:tcPr>
          <w:p w14:paraId="2627B7B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CBEE867" w14:textId="2121F846" w:rsidR="00F43AD5" w:rsidRPr="00717D45" w:rsidRDefault="00A9697D" w:rsidP="00B76A41">
            <w:pPr>
              <w:pStyle w:val="Tablefont"/>
            </w:pPr>
            <w:r>
              <w:t>1,3-</w:t>
            </w:r>
            <w:proofErr w:type="spellStart"/>
            <w:r>
              <w:t>Dioxacyclopentane</w:t>
            </w:r>
            <w:proofErr w:type="spellEnd"/>
            <w:r>
              <w:t xml:space="preserve">, 1,3-Dioxolan, </w:t>
            </w:r>
            <w:r w:rsidR="00316CD4">
              <w:t>d</w:t>
            </w:r>
            <w:r>
              <w:t>ioxolane, 1,3</w:t>
            </w:r>
            <w:r w:rsidR="003D40D0">
              <w:noBreakHyphen/>
            </w:r>
            <w:proofErr w:type="spellStart"/>
            <w:r>
              <w:t>Dioxole</w:t>
            </w:r>
            <w:proofErr w:type="spellEnd"/>
            <w:r>
              <w:t xml:space="preserve">, </w:t>
            </w:r>
            <w:proofErr w:type="spellStart"/>
            <w:r>
              <w:t>dihydroethyle</w:t>
            </w:r>
            <w:r w:rsidR="0006319C">
              <w:t>ne</w:t>
            </w:r>
            <w:proofErr w:type="spellEnd"/>
            <w:r w:rsidR="0006319C">
              <w:t xml:space="preserve"> glycol formal, </w:t>
            </w:r>
            <w:proofErr w:type="spellStart"/>
            <w:r w:rsidR="00316CD4">
              <w:t>g</w:t>
            </w:r>
            <w:r w:rsidR="0006319C">
              <w:t>lycolformal</w:t>
            </w:r>
            <w:proofErr w:type="spellEnd"/>
          </w:p>
        </w:tc>
      </w:tr>
      <w:tr w:rsidR="00F43AD5" w:rsidRPr="004C23F4" w14:paraId="0E059B68" w14:textId="77777777" w:rsidTr="00B76A41">
        <w:trPr>
          <w:cantSplit/>
        </w:trPr>
        <w:tc>
          <w:tcPr>
            <w:tcW w:w="4077" w:type="dxa"/>
          </w:tcPr>
          <w:p w14:paraId="020366CA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578B1731" w14:textId="664949DB" w:rsidR="00F43AD5" w:rsidRPr="00717D45" w:rsidRDefault="00A9697D" w:rsidP="00B76A41">
            <w:pPr>
              <w:pStyle w:val="Tablefont"/>
            </w:pPr>
            <w:proofErr w:type="spellStart"/>
            <w:r>
              <w:t>C</w:t>
            </w:r>
            <w:r w:rsidRPr="00A9697D">
              <w:rPr>
                <w:vertAlign w:val="subscript"/>
              </w:rPr>
              <w:t>3</w:t>
            </w:r>
            <w:r>
              <w:t>H</w:t>
            </w:r>
            <w:r w:rsidRPr="00A9697D">
              <w:rPr>
                <w:vertAlign w:val="subscript"/>
              </w:rPr>
              <w:t>6</w:t>
            </w:r>
            <w:r>
              <w:t>O</w:t>
            </w:r>
            <w:r w:rsidRPr="00A9697D">
              <w:rPr>
                <w:vertAlign w:val="subscript"/>
              </w:rPr>
              <w:t>2</w:t>
            </w:r>
            <w:proofErr w:type="spellEnd"/>
          </w:p>
        </w:tc>
      </w:tr>
      <w:tr w:rsidR="00F43AD5" w:rsidRPr="004C23F4" w14:paraId="557FCF2E" w14:textId="77777777" w:rsidTr="00B76A41">
        <w:trPr>
          <w:cantSplit/>
        </w:trPr>
        <w:tc>
          <w:tcPr>
            <w:tcW w:w="4077" w:type="dxa"/>
          </w:tcPr>
          <w:p w14:paraId="08279EC8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3030265" w14:textId="0E256F2F" w:rsidR="00F43AD5" w:rsidRPr="00275411" w:rsidRDefault="00A9697D" w:rsidP="00B76A41">
            <w:pPr>
              <w:pStyle w:val="Tablerowheading"/>
              <w:rPr>
                <w:b w:val="0"/>
              </w:rPr>
            </w:pPr>
            <w:r w:rsidRPr="00275411">
              <w:rPr>
                <w:b w:val="0"/>
              </w:rPr>
              <w:t>—</w:t>
            </w:r>
          </w:p>
        </w:tc>
      </w:tr>
    </w:tbl>
    <w:p w14:paraId="233C0688" w14:textId="2B4F81CA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43234D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29BDD421" w14:textId="77777777" w:rsidTr="001C4C44">
        <w:trPr>
          <w:cantSplit/>
          <w:tblHeader/>
        </w:trPr>
        <w:tc>
          <w:tcPr>
            <w:tcW w:w="4005" w:type="dxa"/>
            <w:vAlign w:val="center"/>
          </w:tcPr>
          <w:p w14:paraId="50D35BAF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57711EF7" w14:textId="79230854" w:rsidR="002C7AFE" w:rsidRPr="0043234D" w:rsidRDefault="0043234D" w:rsidP="00017C82">
            <w:pPr>
              <w:pStyle w:val="Tablefont"/>
              <w:rPr>
                <w:b/>
              </w:rPr>
            </w:pPr>
            <w:r w:rsidRPr="0043234D">
              <w:rPr>
                <w:b/>
              </w:rPr>
              <w:t>20 ppm (61 mg/</w:t>
            </w:r>
            <w:proofErr w:type="spellStart"/>
            <w:r w:rsidRPr="0043234D">
              <w:rPr>
                <w:b/>
              </w:rPr>
              <w:t>m</w:t>
            </w:r>
            <w:r w:rsidRPr="0043234D">
              <w:rPr>
                <w:b/>
                <w:vertAlign w:val="superscript"/>
              </w:rPr>
              <w:t>3</w:t>
            </w:r>
            <w:proofErr w:type="spellEnd"/>
            <w:r w:rsidRPr="0043234D">
              <w:rPr>
                <w:b/>
              </w:rPr>
              <w:t>)</w:t>
            </w:r>
          </w:p>
        </w:tc>
      </w:tr>
      <w:tr w:rsidR="002C7AFE" w:rsidRPr="004C23F4" w14:paraId="49E35A6A" w14:textId="77777777" w:rsidTr="001C4C44">
        <w:trPr>
          <w:cantSplit/>
        </w:trPr>
        <w:tc>
          <w:tcPr>
            <w:tcW w:w="4005" w:type="dxa"/>
            <w:vAlign w:val="center"/>
          </w:tcPr>
          <w:p w14:paraId="727FCD21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2BED4E58" w14:textId="4BFAE87A" w:rsidR="002C7AFE" w:rsidRPr="0043234D" w:rsidRDefault="0043234D" w:rsidP="00017C82">
            <w:pPr>
              <w:pStyle w:val="Tablefont"/>
              <w:rPr>
                <w:b/>
              </w:rPr>
            </w:pPr>
            <w:r w:rsidRPr="0043234D">
              <w:rPr>
                <w:b/>
              </w:rPr>
              <w:t>—</w:t>
            </w:r>
          </w:p>
        </w:tc>
      </w:tr>
      <w:tr w:rsidR="002C7AFE" w:rsidRPr="004C23F4" w14:paraId="289E440C" w14:textId="77777777" w:rsidTr="001C4C44">
        <w:trPr>
          <w:cantSplit/>
        </w:trPr>
        <w:tc>
          <w:tcPr>
            <w:tcW w:w="4005" w:type="dxa"/>
            <w:vAlign w:val="center"/>
          </w:tcPr>
          <w:p w14:paraId="3210632F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39B9D146" w14:textId="60EB4489" w:rsidR="002C7AFE" w:rsidRPr="0043234D" w:rsidRDefault="0043234D" w:rsidP="00017C82">
            <w:pPr>
              <w:pStyle w:val="Tablefont"/>
              <w:rPr>
                <w:b/>
              </w:rPr>
            </w:pPr>
            <w:r w:rsidRPr="0043234D">
              <w:rPr>
                <w:b/>
              </w:rPr>
              <w:t>—</w:t>
            </w:r>
          </w:p>
        </w:tc>
      </w:tr>
      <w:tr w:rsidR="002C7AFE" w:rsidRPr="004C23F4" w14:paraId="3D948857" w14:textId="77777777" w:rsidTr="001C4C44">
        <w:trPr>
          <w:cantSplit/>
        </w:trPr>
        <w:tc>
          <w:tcPr>
            <w:tcW w:w="4005" w:type="dxa"/>
          </w:tcPr>
          <w:p w14:paraId="5AA53D20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1026DA62" w14:textId="3FBC3D75" w:rsidR="002C7AFE" w:rsidRPr="0043234D" w:rsidRDefault="0043234D" w:rsidP="008A36CF">
            <w:pPr>
              <w:pStyle w:val="Tablefont"/>
              <w:rPr>
                <w:b/>
              </w:rPr>
            </w:pPr>
            <w:r w:rsidRPr="0043234D">
              <w:rPr>
                <w:b/>
              </w:rPr>
              <w:t>—</w:t>
            </w:r>
          </w:p>
        </w:tc>
      </w:tr>
      <w:tr w:rsidR="002C7AFE" w:rsidRPr="004C23F4" w14:paraId="3D5A8285" w14:textId="77777777" w:rsidTr="001C4C44">
        <w:trPr>
          <w:cantSplit/>
        </w:trPr>
        <w:tc>
          <w:tcPr>
            <w:tcW w:w="4005" w:type="dxa"/>
            <w:vAlign w:val="center"/>
          </w:tcPr>
          <w:p w14:paraId="063F47ED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44B70C2A" w14:textId="23B6186D" w:rsidR="002C7AFE" w:rsidRPr="00275411" w:rsidRDefault="00A9697D" w:rsidP="00017C82">
            <w:pPr>
              <w:pStyle w:val="Tablefont"/>
              <w:rPr>
                <w:b/>
              </w:rPr>
            </w:pPr>
            <w:r w:rsidRPr="00275411">
              <w:rPr>
                <w:b/>
              </w:rPr>
              <w:t>—</w:t>
            </w:r>
          </w:p>
        </w:tc>
      </w:tr>
      <w:tr w:rsidR="001C4C44" w:rsidRPr="004C23F4" w14:paraId="10123CF2" w14:textId="77777777" w:rsidTr="006117AB">
        <w:trPr>
          <w:cantSplit/>
        </w:trPr>
        <w:tc>
          <w:tcPr>
            <w:tcW w:w="9026" w:type="dxa"/>
            <w:gridSpan w:val="2"/>
            <w:vAlign w:val="center"/>
          </w:tcPr>
          <w:p w14:paraId="51143A6D" w14:textId="338EBDB4" w:rsidR="001C4C44" w:rsidRPr="00275411" w:rsidRDefault="001C4C44" w:rsidP="001C4C44">
            <w:pPr>
              <w:pStyle w:val="Tablefont"/>
            </w:pPr>
            <w:r w:rsidRPr="00BF539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15835315E44A48FDB390397C5B9DBC48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Content>
                <w:r w:rsidRPr="00BF539E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6B8BF1F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888CC60" w14:textId="0468BB1D" w:rsidR="006639B4" w:rsidRPr="004C23F4" w:rsidRDefault="0006319C" w:rsidP="000C139A">
      <w:pPr>
        <w:rPr>
          <w:rFonts w:cs="Arial"/>
        </w:rPr>
      </w:pPr>
      <w:r>
        <w:rPr>
          <w:rFonts w:cs="Arial"/>
        </w:rPr>
        <w:t>A TWA of 20</w:t>
      </w:r>
      <w:r w:rsidRPr="0006319C">
        <w:rPr>
          <w:rFonts w:cs="Arial"/>
        </w:rPr>
        <w:t xml:space="preserve"> ppm (</w:t>
      </w:r>
      <w:r>
        <w:rPr>
          <w:rFonts w:cs="Arial"/>
        </w:rPr>
        <w:t>61</w:t>
      </w:r>
      <w:r w:rsidRPr="0006319C">
        <w:rPr>
          <w:rFonts w:cs="Arial"/>
        </w:rPr>
        <w:t xml:space="preserve"> mg/</w:t>
      </w:r>
      <w:proofErr w:type="spellStart"/>
      <w:r w:rsidRPr="0006319C">
        <w:rPr>
          <w:rFonts w:cs="Arial"/>
        </w:rPr>
        <w:t>m</w:t>
      </w:r>
      <w:r w:rsidRPr="0006319C">
        <w:rPr>
          <w:rFonts w:cs="Arial"/>
          <w:vertAlign w:val="superscript"/>
        </w:rPr>
        <w:t>3</w:t>
      </w:r>
      <w:proofErr w:type="spellEnd"/>
      <w:r w:rsidRPr="0006319C">
        <w:rPr>
          <w:rFonts w:cs="Arial"/>
        </w:rPr>
        <w:t>) is recommended</w:t>
      </w:r>
      <w:r>
        <w:rPr>
          <w:rFonts w:cs="Arial"/>
        </w:rPr>
        <w:t xml:space="preserve"> to protect for haematological </w:t>
      </w:r>
      <w:r w:rsidR="00FF748A">
        <w:rPr>
          <w:rFonts w:cs="Arial"/>
        </w:rPr>
        <w:t xml:space="preserve">(blood) </w:t>
      </w:r>
      <w:r>
        <w:rPr>
          <w:rFonts w:cs="Arial"/>
        </w:rPr>
        <w:t>disturbances and potential developmen</w:t>
      </w:r>
      <w:r w:rsidR="00BF539E">
        <w:rPr>
          <w:rFonts w:cs="Arial"/>
        </w:rPr>
        <w:t>tal effects in exposed workers.</w:t>
      </w:r>
    </w:p>
    <w:p w14:paraId="5315369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35C4A44" w14:textId="77777777" w:rsidR="00FF748A" w:rsidRDefault="00B540C8" w:rsidP="006639B4">
      <w:pPr>
        <w:rPr>
          <w:rFonts w:cs="Arial"/>
        </w:rPr>
      </w:pPr>
      <w:r>
        <w:rPr>
          <w:rFonts w:cs="Arial"/>
        </w:rPr>
        <w:t xml:space="preserve">1,3-Dioxolane is used as in polymer and halothane production, and as a solvent. </w:t>
      </w:r>
    </w:p>
    <w:p w14:paraId="7DEF758D" w14:textId="5565E70A" w:rsidR="00FF748A" w:rsidRPr="00E307C6" w:rsidRDefault="00FF748A" w:rsidP="00FF748A">
      <w:pPr>
        <w:rPr>
          <w:rFonts w:cs="Arial"/>
        </w:rPr>
      </w:pPr>
      <w:r>
        <w:rPr>
          <w:rFonts w:cs="Arial"/>
        </w:rPr>
        <w:t>Limited carcinogenicity and genotoxicity data indicate a low potential for mutagenic activity (</w:t>
      </w:r>
      <w:proofErr w:type="spellStart"/>
      <w:r>
        <w:rPr>
          <w:rFonts w:cs="Arial"/>
        </w:rPr>
        <w:t>ACGIH</w:t>
      </w:r>
      <w:proofErr w:type="spellEnd"/>
      <w:r>
        <w:rPr>
          <w:rFonts w:cs="Arial"/>
        </w:rPr>
        <w:t xml:space="preserve">, 2018), </w:t>
      </w:r>
      <w:r w:rsidR="003D40D0">
        <w:rPr>
          <w:rFonts w:cs="Arial"/>
        </w:rPr>
        <w:t xml:space="preserve">with </w:t>
      </w:r>
      <w:r>
        <w:rPr>
          <w:rFonts w:cs="Arial"/>
        </w:rPr>
        <w:t xml:space="preserve">currently available </w:t>
      </w:r>
      <w:r>
        <w:rPr>
          <w:rFonts w:cs="Arial"/>
          <w:i/>
        </w:rPr>
        <w:t>in vivo</w:t>
      </w:r>
      <w:r>
        <w:rPr>
          <w:rFonts w:cs="Arial"/>
        </w:rPr>
        <w:t xml:space="preserve"> studies contradictory (</w:t>
      </w:r>
      <w:proofErr w:type="spellStart"/>
      <w:r>
        <w:rPr>
          <w:rFonts w:cs="Arial"/>
        </w:rPr>
        <w:t>DFG</w:t>
      </w:r>
      <w:proofErr w:type="spellEnd"/>
      <w:r>
        <w:rPr>
          <w:rFonts w:cs="Arial"/>
        </w:rPr>
        <w:t>, 2007). Available skin absorption data are conflicting, which indicate that despite low systemic toxicity in rabbits (</w:t>
      </w:r>
      <w:proofErr w:type="spellStart"/>
      <w:r>
        <w:rPr>
          <w:rFonts w:cs="Arial"/>
        </w:rPr>
        <w:t>ACGIH</w:t>
      </w:r>
      <w:proofErr w:type="spellEnd"/>
      <w:r>
        <w:rPr>
          <w:rFonts w:cs="Arial"/>
        </w:rPr>
        <w:t>, 2018), modelled dermal flux rates account for significant contribution to overall exposure (</w:t>
      </w:r>
      <w:proofErr w:type="spellStart"/>
      <w:r>
        <w:rPr>
          <w:rFonts w:cs="Arial"/>
        </w:rPr>
        <w:t>DFG</w:t>
      </w:r>
      <w:proofErr w:type="spellEnd"/>
      <w:r>
        <w:rPr>
          <w:rFonts w:cs="Arial"/>
        </w:rPr>
        <w:t xml:space="preserve">, 2007). </w:t>
      </w:r>
    </w:p>
    <w:p w14:paraId="5A62F082" w14:textId="55BD1D90" w:rsidR="002B6EAB" w:rsidRDefault="00AB5C5B" w:rsidP="006639B4">
      <w:pPr>
        <w:rPr>
          <w:rFonts w:cs="Arial"/>
        </w:rPr>
      </w:pPr>
      <w:r>
        <w:rPr>
          <w:rFonts w:cs="Arial"/>
        </w:rPr>
        <w:t>Critical effects are liver and spleen damage</w:t>
      </w:r>
      <w:r w:rsidR="00132688">
        <w:rPr>
          <w:rFonts w:cs="Arial"/>
        </w:rPr>
        <w:t xml:space="preserve"> and </w:t>
      </w:r>
      <w:r>
        <w:rPr>
          <w:rFonts w:cs="Arial"/>
        </w:rPr>
        <w:t xml:space="preserve">reduced white blood cell </w:t>
      </w:r>
      <w:r w:rsidR="00FF748A">
        <w:rPr>
          <w:rFonts w:cs="Arial"/>
        </w:rPr>
        <w:t xml:space="preserve">(WBC) </w:t>
      </w:r>
      <w:r>
        <w:rPr>
          <w:rFonts w:cs="Arial"/>
        </w:rPr>
        <w:t xml:space="preserve">counts </w:t>
      </w:r>
      <w:r w:rsidR="00A1761F">
        <w:rPr>
          <w:rFonts w:cs="Arial"/>
        </w:rPr>
        <w:t>as reported in</w:t>
      </w:r>
      <w:r>
        <w:rPr>
          <w:rFonts w:cs="Arial"/>
        </w:rPr>
        <w:t xml:space="preserve"> </w:t>
      </w:r>
      <w:r w:rsidR="00132688">
        <w:rPr>
          <w:rFonts w:cs="Arial"/>
        </w:rPr>
        <w:t>animal studies</w:t>
      </w:r>
      <w:r w:rsidR="00A1761F">
        <w:rPr>
          <w:rFonts w:cs="Arial"/>
        </w:rPr>
        <w:t xml:space="preserve"> (</w:t>
      </w:r>
      <w:proofErr w:type="spellStart"/>
      <w:r w:rsidR="00A1761F">
        <w:rPr>
          <w:rFonts w:cs="Arial"/>
        </w:rPr>
        <w:t>ACGIH</w:t>
      </w:r>
      <w:proofErr w:type="spellEnd"/>
      <w:r w:rsidR="00A1761F">
        <w:rPr>
          <w:rFonts w:cs="Arial"/>
        </w:rPr>
        <w:t>, 2018)</w:t>
      </w:r>
      <w:r>
        <w:rPr>
          <w:rFonts w:cs="Arial"/>
        </w:rPr>
        <w:t>. Human exposure data is limited to a documented workplace study involving mixed ex</w:t>
      </w:r>
      <w:r w:rsidR="00F1218C">
        <w:rPr>
          <w:rFonts w:cs="Arial"/>
        </w:rPr>
        <w:t>posures</w:t>
      </w:r>
      <w:r w:rsidR="00FF748A">
        <w:rPr>
          <w:rFonts w:cs="Arial"/>
        </w:rPr>
        <w:t xml:space="preserve"> that</w:t>
      </w:r>
      <w:r w:rsidR="00F1218C">
        <w:rPr>
          <w:rFonts w:cs="Arial"/>
        </w:rPr>
        <w:t xml:space="preserve"> report</w:t>
      </w:r>
      <w:r w:rsidR="0043234D">
        <w:rPr>
          <w:rFonts w:cs="Arial"/>
        </w:rPr>
        <w:t>ed</w:t>
      </w:r>
      <w:r w:rsidR="00F1218C">
        <w:rPr>
          <w:rFonts w:cs="Arial"/>
        </w:rPr>
        <w:t xml:space="preserve"> </w:t>
      </w:r>
      <w:r w:rsidR="0043234D">
        <w:rPr>
          <w:rFonts w:cs="Arial"/>
        </w:rPr>
        <w:t xml:space="preserve">no </w:t>
      </w:r>
      <w:r w:rsidR="00F1218C">
        <w:rPr>
          <w:rFonts w:cs="Arial"/>
        </w:rPr>
        <w:t>adverse haematological effects</w:t>
      </w:r>
      <w:r w:rsidR="0006319C">
        <w:rPr>
          <w:rFonts w:cs="Arial"/>
        </w:rPr>
        <w:t xml:space="preserve"> (</w:t>
      </w:r>
      <w:proofErr w:type="spellStart"/>
      <w:r w:rsidR="0006319C">
        <w:rPr>
          <w:rFonts w:cs="Arial"/>
        </w:rPr>
        <w:t>ACGIH</w:t>
      </w:r>
      <w:proofErr w:type="spellEnd"/>
      <w:r w:rsidR="0006319C">
        <w:rPr>
          <w:rFonts w:cs="Arial"/>
        </w:rPr>
        <w:t xml:space="preserve">, 2018; </w:t>
      </w:r>
      <w:proofErr w:type="spellStart"/>
      <w:r w:rsidR="0006319C">
        <w:rPr>
          <w:rFonts w:cs="Arial"/>
        </w:rPr>
        <w:t>DFG</w:t>
      </w:r>
      <w:proofErr w:type="spellEnd"/>
      <w:r w:rsidR="0006319C">
        <w:rPr>
          <w:rFonts w:cs="Arial"/>
        </w:rPr>
        <w:t>, 2018)</w:t>
      </w:r>
      <w:r w:rsidR="00F1218C">
        <w:rPr>
          <w:rFonts w:cs="Arial"/>
        </w:rPr>
        <w:t xml:space="preserve">. </w:t>
      </w:r>
    </w:p>
    <w:p w14:paraId="6FDD50FE" w14:textId="2717F5F8" w:rsidR="006639B4" w:rsidRDefault="00F1218C" w:rsidP="006639B4">
      <w:pPr>
        <w:rPr>
          <w:rFonts w:cs="Arial"/>
        </w:rPr>
      </w:pPr>
      <w:r>
        <w:rPr>
          <w:rFonts w:cs="Arial"/>
        </w:rPr>
        <w:t xml:space="preserve">The </w:t>
      </w:r>
      <w:r w:rsidR="0043234D">
        <w:rPr>
          <w:rFonts w:cs="Arial"/>
        </w:rPr>
        <w:t xml:space="preserve">recommended TWA is based on an inhalational </w:t>
      </w:r>
      <w:proofErr w:type="spellStart"/>
      <w:r>
        <w:rPr>
          <w:rFonts w:cs="Arial"/>
        </w:rPr>
        <w:t>NOAE</w:t>
      </w:r>
      <w:r w:rsidR="00FF748A">
        <w:rPr>
          <w:rFonts w:cs="Arial"/>
        </w:rPr>
        <w:t>C</w:t>
      </w:r>
      <w:proofErr w:type="spellEnd"/>
      <w:r>
        <w:rPr>
          <w:rFonts w:cs="Arial"/>
        </w:rPr>
        <w:t xml:space="preserve"> of 300 ppm for</w:t>
      </w:r>
      <w:r w:rsidR="0043234D">
        <w:rPr>
          <w:rFonts w:cs="Arial"/>
        </w:rPr>
        <w:t xml:space="preserve"> haematological changes</w:t>
      </w:r>
      <w:r>
        <w:rPr>
          <w:rFonts w:cs="Arial"/>
        </w:rPr>
        <w:t xml:space="preserve"> in rats </w:t>
      </w:r>
      <w:r w:rsidR="0043234D">
        <w:rPr>
          <w:rFonts w:cs="Arial"/>
        </w:rPr>
        <w:t>(</w:t>
      </w:r>
      <w:proofErr w:type="spellStart"/>
      <w:r w:rsidR="0043234D">
        <w:rPr>
          <w:rFonts w:cs="Arial"/>
        </w:rPr>
        <w:t>ACGIH</w:t>
      </w:r>
      <w:proofErr w:type="spellEnd"/>
      <w:r w:rsidR="0043234D">
        <w:rPr>
          <w:rFonts w:cs="Arial"/>
        </w:rPr>
        <w:t xml:space="preserve">, 2018); a factor of 10 is applied and rounded down to </w:t>
      </w:r>
      <w:r w:rsidR="00155B36">
        <w:rPr>
          <w:rFonts w:cs="Arial"/>
        </w:rPr>
        <w:t>derive</w:t>
      </w:r>
      <w:r w:rsidR="0043234D">
        <w:rPr>
          <w:rFonts w:cs="Arial"/>
        </w:rPr>
        <w:t xml:space="preserve"> </w:t>
      </w:r>
      <w:r w:rsidR="00A1761F">
        <w:rPr>
          <w:rFonts w:cs="Arial"/>
        </w:rPr>
        <w:t xml:space="preserve">a TWA of </w:t>
      </w:r>
      <w:r w:rsidR="0043234D">
        <w:rPr>
          <w:rFonts w:cs="Arial"/>
        </w:rPr>
        <w:t>20 ppm. This value is also expected to be protective of developmental effects reported in rats (</w:t>
      </w:r>
      <w:proofErr w:type="spellStart"/>
      <w:r w:rsidR="0043234D">
        <w:rPr>
          <w:rFonts w:cs="Arial"/>
        </w:rPr>
        <w:t>DFG</w:t>
      </w:r>
      <w:proofErr w:type="spellEnd"/>
      <w:r w:rsidR="0043234D">
        <w:rPr>
          <w:rFonts w:cs="Arial"/>
        </w:rPr>
        <w:t>, 2018).</w:t>
      </w:r>
    </w:p>
    <w:p w14:paraId="18791B4F" w14:textId="77777777" w:rsidR="004529F0" w:rsidRPr="004C23F4" w:rsidRDefault="004529F0" w:rsidP="00C6526C">
      <w:pPr>
        <w:pStyle w:val="Heading2"/>
      </w:pPr>
      <w:r>
        <w:lastRenderedPageBreak/>
        <w:t>Recommendation for notations</w:t>
      </w:r>
    </w:p>
    <w:p w14:paraId="2809B3D1" w14:textId="35E1CCF2" w:rsidR="00A9697D" w:rsidRPr="00A70823" w:rsidRDefault="00A9697D" w:rsidP="00251485">
      <w:pPr>
        <w:keepNext/>
        <w:rPr>
          <w:rFonts w:cs="Arial"/>
        </w:rPr>
      </w:pPr>
      <w:r w:rsidRPr="00A70823">
        <w:rPr>
          <w:rFonts w:cs="Arial"/>
        </w:rPr>
        <w:t xml:space="preserve">Not classified as a carcinogen according to the Globally Harmonized System of Classification and Labelling </w:t>
      </w:r>
      <w:r w:rsidR="00BB1E8A" w:rsidRPr="00A70823">
        <w:rPr>
          <w:rFonts w:cs="Arial"/>
        </w:rPr>
        <w:t>o</w:t>
      </w:r>
      <w:r w:rsidR="00BB1E8A">
        <w:rPr>
          <w:rFonts w:cs="Arial"/>
        </w:rPr>
        <w:t>f</w:t>
      </w:r>
      <w:r w:rsidR="00BB1E8A" w:rsidRPr="00A70823">
        <w:rPr>
          <w:rFonts w:cs="Arial"/>
        </w:rPr>
        <w:t xml:space="preserve"> </w:t>
      </w:r>
      <w:r w:rsidRPr="00A70823">
        <w:rPr>
          <w:rFonts w:cs="Arial"/>
        </w:rPr>
        <w:t xml:space="preserve">Chemicals (GHS). </w:t>
      </w:r>
    </w:p>
    <w:p w14:paraId="17442BE0" w14:textId="760D762C" w:rsidR="00A9697D" w:rsidRPr="00A70823" w:rsidRDefault="00A9697D" w:rsidP="00251485">
      <w:pPr>
        <w:keepNext/>
        <w:rPr>
          <w:rFonts w:cs="Arial"/>
        </w:rPr>
      </w:pPr>
      <w:r w:rsidRPr="00A70823">
        <w:rPr>
          <w:rFonts w:cs="Arial"/>
        </w:rPr>
        <w:t xml:space="preserve">Not classified as a skin </w:t>
      </w:r>
      <w:r w:rsidR="00BF539E" w:rsidRPr="00A70823">
        <w:rPr>
          <w:rFonts w:cs="Arial"/>
        </w:rPr>
        <w:t xml:space="preserve">sensitiser </w:t>
      </w:r>
      <w:r w:rsidRPr="00A70823">
        <w:rPr>
          <w:rFonts w:cs="Arial"/>
        </w:rPr>
        <w:t>or respiratory sensitiser according to the GHS.</w:t>
      </w:r>
    </w:p>
    <w:p w14:paraId="3A9C1F09" w14:textId="77777777" w:rsidR="00BF539E" w:rsidRDefault="00BF539E" w:rsidP="00BF539E">
      <w:pPr>
        <w:rPr>
          <w:rFonts w:cs="Arial"/>
        </w:rPr>
      </w:pPr>
      <w:r>
        <w:rPr>
          <w:rFonts w:cs="Arial"/>
        </w:rPr>
        <w:t>There are insufficient data to recommend a skin notation.</w:t>
      </w:r>
    </w:p>
    <w:p w14:paraId="73F1AF37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t>Appendix</w:t>
      </w:r>
    </w:p>
    <w:p w14:paraId="19DBCA2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C147BEC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FE695FB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7913AA9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8E30059" w14:textId="4E0E1565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A9697D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proofErr w:type="spellStart"/>
                <w:r w:rsidR="00A9697D">
                  <w:t>NA</w:t>
                </w:r>
                <w:proofErr w:type="spellEnd"/>
              </w:sdtContent>
            </w:sdt>
          </w:p>
        </w:tc>
      </w:tr>
      <w:tr w:rsidR="00C978F0" w:rsidRPr="00DA352E" w14:paraId="72B9C41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984478D" w14:textId="0B55AC11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3B41E4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BA568D8" w14:textId="5E798BB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A9697D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A9697D">
                  <w:t>TLV-TWA: 20 ppm (61 mg/</w:t>
                </w:r>
                <w:proofErr w:type="spellStart"/>
                <w:r w:rsidR="00A9697D">
                  <w:t>m</w:t>
                </w:r>
                <w:r w:rsidR="00A9697D" w:rsidRPr="00A9697D">
                  <w:rPr>
                    <w:vertAlign w:val="superscript"/>
                  </w:rPr>
                  <w:t>3</w:t>
                </w:r>
                <w:proofErr w:type="spellEnd"/>
                <w:r w:rsidR="00A9697D">
                  <w:t>)</w:t>
                </w:r>
              </w:sdtContent>
            </w:sdt>
          </w:p>
        </w:tc>
      </w:tr>
      <w:tr w:rsidR="00C978F0" w:rsidRPr="00DA352E" w14:paraId="26599251" w14:textId="77777777" w:rsidTr="00FF748A">
        <w:trPr>
          <w:gridAfter w:val="1"/>
          <w:wAfter w:w="8" w:type="pct"/>
        </w:trPr>
        <w:tc>
          <w:tcPr>
            <w:tcW w:w="4992" w:type="pct"/>
          </w:tcPr>
          <w:p w14:paraId="29DC8404" w14:textId="26D787C5" w:rsidR="00E06B7C" w:rsidRDefault="00E06B7C" w:rsidP="003365A5">
            <w:pPr>
              <w:pStyle w:val="Tabletextprimarysource"/>
            </w:pPr>
            <w:r>
              <w:t>Summary of data:</w:t>
            </w:r>
          </w:p>
          <w:p w14:paraId="5FC0ABF7" w14:textId="14DDFD91" w:rsidR="00B540C8" w:rsidRDefault="00B540C8" w:rsidP="003365A5">
            <w:pPr>
              <w:pStyle w:val="Tabletextprimarysource"/>
            </w:pPr>
            <w:r>
              <w:t xml:space="preserve">TLV-TWA intended to minimise potential for systemic toxicity. TLV-TWA derived from a </w:t>
            </w:r>
            <w:proofErr w:type="spellStart"/>
            <w:r>
              <w:t>NOAEL</w:t>
            </w:r>
            <w:proofErr w:type="spellEnd"/>
            <w:r>
              <w:t xml:space="preserve"> of 300 ppm for reduced </w:t>
            </w:r>
            <w:r w:rsidR="00FF748A">
              <w:t>WBC</w:t>
            </w:r>
            <w:r>
              <w:t xml:space="preserve"> counts in a 13</w:t>
            </w:r>
            <w:r w:rsidR="00C6526C">
              <w:t xml:space="preserve"> </w:t>
            </w:r>
            <w:proofErr w:type="spellStart"/>
            <w:r>
              <w:t>wk</w:t>
            </w:r>
            <w:proofErr w:type="spellEnd"/>
            <w:r>
              <w:t xml:space="preserve"> inhalation study </w:t>
            </w:r>
            <w:r w:rsidR="00F1218C">
              <w:t>with rats;</w:t>
            </w:r>
            <w:r>
              <w:t xml:space="preserve"> </w:t>
            </w:r>
            <w:r w:rsidR="00F1218C">
              <w:t xml:space="preserve">a factor of 10 is applied and rounded down to 20 ppm. </w:t>
            </w:r>
            <w:r>
              <w:t>The value is likely conservative due to anatomical differences in the nasal airways of rats versus humans.</w:t>
            </w:r>
          </w:p>
          <w:p w14:paraId="78AFB95F" w14:textId="7361671D" w:rsidR="00B540C8" w:rsidRDefault="00B540C8" w:rsidP="003365A5">
            <w:pPr>
              <w:pStyle w:val="Tabletextprimarysource"/>
            </w:pPr>
            <w:r>
              <w:t>Human data:</w:t>
            </w:r>
          </w:p>
          <w:p w14:paraId="2B4D6474" w14:textId="0263F03D" w:rsidR="00155B36" w:rsidRDefault="006B4D4C" w:rsidP="00FF748A">
            <w:pPr>
              <w:pStyle w:val="Tabletextprimarysource"/>
              <w:numPr>
                <w:ilvl w:val="0"/>
                <w:numId w:val="3"/>
              </w:numPr>
            </w:pPr>
            <w:r>
              <w:t>No substance-specific human exposure data</w:t>
            </w:r>
            <w:r w:rsidR="00FF748A">
              <w:t>;</w:t>
            </w:r>
            <w:r>
              <w:t xml:space="preserve"> no haematological changes found in workers exposed to mixtures of 1,3-dioxolane and structurally related 1,4-dioxane (no further details</w:t>
            </w:r>
            <w:r w:rsidR="00407C92">
              <w:t xml:space="preserve"> provided</w:t>
            </w:r>
            <w:r>
              <w:t>)</w:t>
            </w:r>
            <w:r w:rsidR="00BF539E">
              <w:t>.</w:t>
            </w:r>
          </w:p>
          <w:p w14:paraId="2DCFE951" w14:textId="3B89AA0C" w:rsidR="00B540C8" w:rsidRDefault="00B540C8" w:rsidP="00B540C8">
            <w:pPr>
              <w:pStyle w:val="Tabletextprimarysource"/>
            </w:pPr>
            <w:r>
              <w:t>Animal data:</w:t>
            </w:r>
          </w:p>
          <w:p w14:paraId="2B3FFBA7" w14:textId="4F040098" w:rsidR="00B540C8" w:rsidRDefault="00B540C8" w:rsidP="00B540C8">
            <w:pPr>
              <w:pStyle w:val="Tabletextprimarysource"/>
              <w:numPr>
                <w:ilvl w:val="0"/>
                <w:numId w:val="2"/>
              </w:numPr>
            </w:pPr>
            <w:proofErr w:type="spellStart"/>
            <w:r>
              <w:t>LC</w:t>
            </w:r>
            <w:r>
              <w:rPr>
                <w:vertAlign w:val="subscript"/>
              </w:rPr>
              <w:t>50</w:t>
            </w:r>
            <w:proofErr w:type="spellEnd"/>
            <w:r>
              <w:t>: 1,056, 22,574, and 28,710 ppm (rats, 4 h); 54,780</w:t>
            </w:r>
            <w:r w:rsidR="00407C92">
              <w:t xml:space="preserve"> ppm (guinea pigs, 4 h); 38,</w:t>
            </w:r>
            <w:r w:rsidR="00C6526C">
              <w:t>940</w:t>
            </w:r>
            <w:r w:rsidR="00E06B7C">
              <w:t> </w:t>
            </w:r>
            <w:r>
              <w:t>ppm (rabbits, 4 h)</w:t>
            </w:r>
          </w:p>
          <w:p w14:paraId="2EA244F5" w14:textId="6797960B" w:rsidR="00B540C8" w:rsidRDefault="003D5CA9" w:rsidP="00B540C8">
            <w:pPr>
              <w:pStyle w:val="Tabletextprimarysource"/>
              <w:numPr>
                <w:ilvl w:val="0"/>
                <w:numId w:val="2"/>
              </w:numPr>
            </w:pPr>
            <w:r>
              <w:t>Necropsy of rats showed dose-related lung and liver discolouration, bladder distention and gastrointestinal tract damage</w:t>
            </w:r>
          </w:p>
          <w:p w14:paraId="03909588" w14:textId="77777777" w:rsidR="003D5CA9" w:rsidRDefault="003D5CA9" w:rsidP="00B540C8">
            <w:pPr>
              <w:pStyle w:val="Tabletextprimarysource"/>
              <w:numPr>
                <w:ilvl w:val="0"/>
                <w:numId w:val="2"/>
              </w:numPr>
            </w:pPr>
            <w:r>
              <w:t>Strong eye irritant (rabbits); corneal ulceration, opacity, and iritis noted</w:t>
            </w:r>
          </w:p>
          <w:p w14:paraId="2D59F238" w14:textId="77777777" w:rsidR="003D5CA9" w:rsidRDefault="003D5CA9" w:rsidP="00B540C8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Dermal </w:t>
            </w: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>
              <w:t>: 15,000 mg/kg (rabbits); no allergenic effects noted in repeat dermal application experiment of same study</w:t>
            </w:r>
          </w:p>
          <w:p w14:paraId="2CBCA0E8" w14:textId="6B7A0C5C" w:rsidR="003D5CA9" w:rsidRDefault="003D5CA9" w:rsidP="00B540C8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Repeat inhalation study with exposure groups </w:t>
            </w:r>
            <w:r w:rsidR="003D40D0">
              <w:t xml:space="preserve">0, </w:t>
            </w:r>
            <w:r>
              <w:t>300, 1,000 and 3,000 ppm (rats, 6 h/d, 5</w:t>
            </w:r>
            <w:r w:rsidR="00E06B7C">
              <w:t> </w:t>
            </w:r>
            <w:r>
              <w:t>d/</w:t>
            </w:r>
            <w:proofErr w:type="spellStart"/>
            <w:r>
              <w:t>wk</w:t>
            </w:r>
            <w:proofErr w:type="spellEnd"/>
            <w:r>
              <w:t xml:space="preserve">, 13 </w:t>
            </w:r>
            <w:proofErr w:type="spellStart"/>
            <w:r>
              <w:t>wk</w:t>
            </w:r>
            <w:proofErr w:type="spellEnd"/>
            <w:r>
              <w:t>):</w:t>
            </w:r>
          </w:p>
          <w:p w14:paraId="6531AFF1" w14:textId="3098DA52" w:rsidR="003D5CA9" w:rsidRDefault="003D5CA9" w:rsidP="00FF748A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proofErr w:type="spellStart"/>
            <w:r>
              <w:t>NOAE</w:t>
            </w:r>
            <w:r w:rsidR="00FF748A">
              <w:t>C</w:t>
            </w:r>
            <w:proofErr w:type="spellEnd"/>
            <w:r>
              <w:t xml:space="preserve">: </w:t>
            </w:r>
            <w:r w:rsidR="00164FE7">
              <w:t xml:space="preserve">300 ppm for reduced white blood cell count and spleen weights; </w:t>
            </w:r>
            <w:proofErr w:type="spellStart"/>
            <w:r w:rsidR="00164FE7">
              <w:t>LOAE</w:t>
            </w:r>
            <w:r w:rsidR="003E0604">
              <w:t>C</w:t>
            </w:r>
            <w:proofErr w:type="spellEnd"/>
            <w:r w:rsidR="00164FE7">
              <w:t>: 1,000 ppm</w:t>
            </w:r>
          </w:p>
          <w:p w14:paraId="612DD577" w14:textId="77777777" w:rsidR="00164FE7" w:rsidRDefault="00164FE7" w:rsidP="00FF748A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3,000 ppm group showed decreased body weight, spleen weights, liver enlargement, bone marrow changes</w:t>
            </w:r>
          </w:p>
          <w:p w14:paraId="132929BB" w14:textId="6C7457F3" w:rsidR="008977EA" w:rsidRDefault="008977EA" w:rsidP="00164FE7">
            <w:pPr>
              <w:pStyle w:val="Tabletextprimarysource"/>
              <w:numPr>
                <w:ilvl w:val="0"/>
                <w:numId w:val="2"/>
              </w:numPr>
            </w:pPr>
            <w:r>
              <w:t>Dose-related decrease in foetal development rate in reproductive study near maternally toxic levels at 575</w:t>
            </w:r>
            <w:r w:rsidR="00E06B7C">
              <w:t>–</w:t>
            </w:r>
            <w:r>
              <w:t xml:space="preserve">1,150 mg/kg </w:t>
            </w:r>
            <w:r w:rsidR="00AB5C5B">
              <w:t xml:space="preserve">by gavage </w:t>
            </w:r>
            <w:r>
              <w:t xml:space="preserve">(rats, alternating on </w:t>
            </w:r>
            <w:r w:rsidR="00FF748A">
              <w:t>GD</w:t>
            </w:r>
            <w:r>
              <w:t xml:space="preserve"> 8</w:t>
            </w:r>
            <w:r w:rsidR="00C6526C">
              <w:t>–</w:t>
            </w:r>
            <w:r>
              <w:t xml:space="preserve">20) </w:t>
            </w:r>
          </w:p>
          <w:p w14:paraId="6A7AA085" w14:textId="05A2953E" w:rsidR="008977EA" w:rsidRDefault="00E06B7C" w:rsidP="00FF748A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m</w:t>
            </w:r>
            <w:r w:rsidR="008977EA">
              <w:t xml:space="preserve">aternal toxicity characterised by reduced </w:t>
            </w:r>
            <w:r w:rsidR="003D40D0">
              <w:t xml:space="preserve">body weight </w:t>
            </w:r>
            <w:r w:rsidR="008977EA">
              <w:t>gain, increased adrenal gland weights, and delayed foetal development</w:t>
            </w:r>
          </w:p>
          <w:p w14:paraId="3C28ADFF" w14:textId="4300D86F" w:rsidR="008977EA" w:rsidRDefault="00E06B7C" w:rsidP="00FF748A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r</w:t>
            </w:r>
            <w:r w:rsidR="008977EA">
              <w:t>elated fertility study at comparable</w:t>
            </w:r>
            <w:r w:rsidR="008434CA">
              <w:t xml:space="preserve"> oral</w:t>
            </w:r>
            <w:r w:rsidR="008977EA">
              <w:t xml:space="preserve"> doses reported no effects on male fertility (rats, 5 d/</w:t>
            </w:r>
            <w:proofErr w:type="spellStart"/>
            <w:r w:rsidR="008977EA">
              <w:t>wk</w:t>
            </w:r>
            <w:proofErr w:type="spellEnd"/>
            <w:r w:rsidR="008977EA">
              <w:t xml:space="preserve">, </w:t>
            </w:r>
            <w:r w:rsidR="008434CA">
              <w:t xml:space="preserve">8 </w:t>
            </w:r>
            <w:proofErr w:type="spellStart"/>
            <w:r w:rsidR="008434CA">
              <w:t>wk</w:t>
            </w:r>
            <w:proofErr w:type="spellEnd"/>
            <w:r w:rsidR="008434CA">
              <w:t>)</w:t>
            </w:r>
          </w:p>
          <w:p w14:paraId="081EEA9D" w14:textId="490658DD" w:rsidR="001D5162" w:rsidRDefault="008434CA" w:rsidP="001D5162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Microscopic changes to testes and altered spermatogenesis in repeat inhalation study at 825 ppm (rats, </w:t>
            </w:r>
            <w:r w:rsidR="001D5162">
              <w:t>5 h/d, 5 d/</w:t>
            </w:r>
            <w:proofErr w:type="spellStart"/>
            <w:r w:rsidR="001D5162">
              <w:t>wk</w:t>
            </w:r>
            <w:proofErr w:type="spellEnd"/>
            <w:r w:rsidR="001D5162">
              <w:t xml:space="preserve">, 1 yr); only </w:t>
            </w:r>
            <w:r w:rsidR="00C6526C">
              <w:t xml:space="preserve">1 </w:t>
            </w:r>
            <w:r w:rsidR="001D5162">
              <w:t>concentration tested</w:t>
            </w:r>
          </w:p>
          <w:p w14:paraId="735BCEF9" w14:textId="138BE09F" w:rsidR="001D5162" w:rsidRDefault="001D5162" w:rsidP="001D5162">
            <w:pPr>
              <w:pStyle w:val="Tabletextprimarysource"/>
              <w:numPr>
                <w:ilvl w:val="0"/>
                <w:numId w:val="2"/>
              </w:numPr>
            </w:pPr>
            <w:r>
              <w:t>No changes in pups, viability, or litter sizes at 125 ppm in 1-generation inhalational study (rats, 6 h/d, 5 d/</w:t>
            </w:r>
            <w:proofErr w:type="spellStart"/>
            <w:r>
              <w:t>wk</w:t>
            </w:r>
            <w:proofErr w:type="spellEnd"/>
            <w:r>
              <w:t>, 90</w:t>
            </w:r>
            <w:r w:rsidR="00C6526C">
              <w:t xml:space="preserve"> </w:t>
            </w:r>
            <w:r>
              <w:t>d)</w:t>
            </w:r>
          </w:p>
          <w:p w14:paraId="092B7D71" w14:textId="77777777" w:rsidR="006B4D4C" w:rsidRDefault="006B4D4C" w:rsidP="001D5162">
            <w:pPr>
              <w:pStyle w:val="Tabletextprimarysource"/>
              <w:numPr>
                <w:ilvl w:val="0"/>
                <w:numId w:val="2"/>
              </w:numPr>
            </w:pPr>
            <w:r>
              <w:lastRenderedPageBreak/>
              <w:t xml:space="preserve">Low potential for genotoxicity </w:t>
            </w:r>
            <w:r>
              <w:rPr>
                <w:i/>
              </w:rPr>
              <w:t xml:space="preserve">in vitro </w:t>
            </w:r>
            <w:r>
              <w:t xml:space="preserve">and </w:t>
            </w:r>
            <w:r>
              <w:rPr>
                <w:i/>
              </w:rPr>
              <w:t>in vivo</w:t>
            </w:r>
            <w:r>
              <w:t xml:space="preserve">; </w:t>
            </w:r>
            <w:r w:rsidR="00275411">
              <w:t>can cause single-strand DNA breaks at 290 mg/kg (rats), but not dose-dependent.</w:t>
            </w:r>
          </w:p>
          <w:p w14:paraId="5BFB5304" w14:textId="77777777" w:rsidR="00E06B7C" w:rsidRDefault="00E06B7C" w:rsidP="00FF748A">
            <w:pPr>
              <w:pStyle w:val="Tabletextprimarysource"/>
            </w:pPr>
          </w:p>
          <w:p w14:paraId="5FFA74A4" w14:textId="7D33CE43" w:rsidR="00E06B7C" w:rsidRPr="00DA352E" w:rsidRDefault="00E06B7C" w:rsidP="00FF748A">
            <w:pPr>
              <w:pStyle w:val="Tabletextprimarysource"/>
            </w:pPr>
            <w:r>
              <w:t>A skin notation not warranted due to evidence for low systemic toxicity in a dermal absorption study with rabbits. Insufficient data for recommending a TLV-STEL or notations for carcinogenicity or sensitisation.</w:t>
            </w:r>
          </w:p>
        </w:tc>
      </w:tr>
      <w:tr w:rsidR="00C978F0" w:rsidRPr="00DA352E" w14:paraId="53A5AF9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54F05FD" w14:textId="5EABBDE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A9697D">
                  <w:t>2017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A9697D">
                  <w:t>MAK: 50 ppm (150 mg/</w:t>
                </w:r>
                <w:proofErr w:type="spellStart"/>
                <w:r w:rsidR="00A9697D">
                  <w:t>m</w:t>
                </w:r>
                <w:r w:rsidR="00A9697D" w:rsidRPr="00A9697D">
                  <w:rPr>
                    <w:vertAlign w:val="superscript"/>
                  </w:rPr>
                  <w:t>3</w:t>
                </w:r>
                <w:proofErr w:type="spellEnd"/>
                <w:r w:rsidR="00A9697D">
                  <w:t>)</w:t>
                </w:r>
              </w:sdtContent>
            </w:sdt>
          </w:p>
        </w:tc>
      </w:tr>
      <w:tr w:rsidR="00C978F0" w:rsidRPr="00DA352E" w14:paraId="33602C7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4A4A41F" w14:textId="0F27E29B" w:rsidR="00407C92" w:rsidRDefault="00407C92" w:rsidP="003365A5">
            <w:pPr>
              <w:pStyle w:val="Tabletextprimarysource"/>
            </w:pPr>
            <w:r>
              <w:t>Summary of additional:</w:t>
            </w:r>
          </w:p>
          <w:p w14:paraId="362EDA04" w14:textId="398251E9" w:rsidR="00C978F0" w:rsidRDefault="00407C92" w:rsidP="003365A5">
            <w:pPr>
              <w:pStyle w:val="Tabletextprimarysource"/>
            </w:pPr>
            <w:r>
              <w:t xml:space="preserve">MAK derived from </w:t>
            </w:r>
            <w:proofErr w:type="spellStart"/>
            <w:r>
              <w:t>NOAEL</w:t>
            </w:r>
            <w:proofErr w:type="spellEnd"/>
            <w:r>
              <w:t xml:space="preserve"> of 300 ppm for </w:t>
            </w:r>
            <w:r w:rsidR="00FF748A">
              <w:t>WBC</w:t>
            </w:r>
            <w:r>
              <w:t xml:space="preserve"> counts from 13</w:t>
            </w:r>
            <w:r w:rsidR="00C6526C">
              <w:t xml:space="preserve"> </w:t>
            </w:r>
            <w:proofErr w:type="spellStart"/>
            <w:r>
              <w:t>wk</w:t>
            </w:r>
            <w:proofErr w:type="spellEnd"/>
            <w:r>
              <w:t xml:space="preserve"> inhalation study with rats (also </w:t>
            </w:r>
            <w:r w:rsidR="003D40D0">
              <w:t>used by</w:t>
            </w:r>
            <w:r>
              <w:t xml:space="preserve"> </w:t>
            </w:r>
            <w:proofErr w:type="spellStart"/>
            <w:r>
              <w:t>ACGIH</w:t>
            </w:r>
            <w:proofErr w:type="spellEnd"/>
            <w:r>
              <w:t xml:space="preserve">, 2018). </w:t>
            </w:r>
            <w:r w:rsidR="00447970">
              <w:t xml:space="preserve">An overall factor of 4 is applied the </w:t>
            </w:r>
            <w:proofErr w:type="spellStart"/>
            <w:r w:rsidR="00447970">
              <w:t>NOAEL</w:t>
            </w:r>
            <w:proofErr w:type="spellEnd"/>
            <w:r w:rsidR="00447970">
              <w:t xml:space="preserve"> of 300 ppm and rounded to </w:t>
            </w:r>
            <w:r w:rsidR="003D40D0">
              <w:t>50 </w:t>
            </w:r>
            <w:r w:rsidR="00447970">
              <w:t xml:space="preserve">ppm </w:t>
            </w:r>
            <w:r w:rsidR="00604363">
              <w:t>according to</w:t>
            </w:r>
            <w:r w:rsidR="00447970">
              <w:t xml:space="preserve"> preferred value approach</w:t>
            </w:r>
            <w:r w:rsidR="007738CE">
              <w:t xml:space="preserve"> by </w:t>
            </w:r>
            <w:proofErr w:type="spellStart"/>
            <w:r w:rsidR="007738CE">
              <w:t>DFG</w:t>
            </w:r>
            <w:proofErr w:type="spellEnd"/>
            <w:r w:rsidR="00447970">
              <w:t xml:space="preserve">. </w:t>
            </w:r>
            <w:r>
              <w:t>Previous MAK of 100 ppm withdrawn following re-evaluation in 2017 despite being based o</w:t>
            </w:r>
            <w:r w:rsidR="00447970">
              <w:t>n the same study; rationale for previous value or its reduction to the current MAK</w:t>
            </w:r>
            <w:r>
              <w:t xml:space="preserve"> is not discussed.</w:t>
            </w:r>
          </w:p>
          <w:p w14:paraId="22FD9450" w14:textId="0177E15F" w:rsidR="008A15DE" w:rsidRPr="008A15DE" w:rsidRDefault="008A15DE" w:rsidP="003365A5">
            <w:pPr>
              <w:pStyle w:val="Tabletextprimarysource"/>
            </w:pPr>
            <w:r>
              <w:t>Skin notation retained from previous assessment; 8</w:t>
            </w:r>
            <w:r w:rsidR="00C6526C">
              <w:t xml:space="preserve"> </w:t>
            </w:r>
            <w:r>
              <w:t xml:space="preserve">h exposure at the previous MAK (100 ppm) </w:t>
            </w:r>
            <w:r>
              <w:rPr>
                <w:rFonts w:cs="Arial"/>
              </w:rPr>
              <w:t>≡</w:t>
            </w:r>
            <w:r>
              <w:t xml:space="preserve">3,000 mg assuming a respiratory volume of 10 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>, based on dermal flux calculations an effective dermal dose may reach 1,626 mg assuming a 1</w:t>
            </w:r>
            <w:r w:rsidR="00C6526C">
              <w:t xml:space="preserve"> </w:t>
            </w:r>
            <w:r>
              <w:t xml:space="preserve">h exposure to 2,000 </w:t>
            </w:r>
            <w:proofErr w:type="spellStart"/>
            <w:r w:rsidR="00C6526C">
              <w:t>cm</w:t>
            </w:r>
            <w:r w:rsidR="00C6526C">
              <w:rPr>
                <w:vertAlign w:val="superscript"/>
              </w:rPr>
              <w:t>²</w:t>
            </w:r>
            <w:proofErr w:type="spellEnd"/>
            <w:r w:rsidR="00C6526C">
              <w:t xml:space="preserve"> </w:t>
            </w:r>
            <w:r>
              <w:t xml:space="preserve">of skin. </w:t>
            </w:r>
            <w:r w:rsidR="00105EA7">
              <w:t>Therefore,</w:t>
            </w:r>
            <w:r>
              <w:t xml:space="preserve"> </w:t>
            </w:r>
            <w:r w:rsidR="00105EA7">
              <w:t xml:space="preserve">the </w:t>
            </w:r>
            <w:r>
              <w:t xml:space="preserve">dermal </w:t>
            </w:r>
            <w:r w:rsidR="00105EA7">
              <w:t>route</w:t>
            </w:r>
            <w:r>
              <w:t xml:space="preserve"> would contribute significantly to overall </w:t>
            </w:r>
            <w:r w:rsidR="00105EA7">
              <w:t xml:space="preserve">exposure if the MAK </w:t>
            </w:r>
            <w:proofErr w:type="gramStart"/>
            <w:r w:rsidR="00105EA7">
              <w:t>is</w:t>
            </w:r>
            <w:proofErr w:type="gramEnd"/>
            <w:r w:rsidR="00105EA7">
              <w:t xml:space="preserve"> observed.</w:t>
            </w:r>
          </w:p>
          <w:p w14:paraId="2423B0BD" w14:textId="55A01736" w:rsidR="00E45EE0" w:rsidRDefault="00E45EE0" w:rsidP="003365A5">
            <w:pPr>
              <w:pStyle w:val="Tabletextprimarysource"/>
            </w:pPr>
            <w:r>
              <w:t>Human data:</w:t>
            </w:r>
          </w:p>
          <w:p w14:paraId="02ED0783" w14:textId="19A149B8" w:rsidR="00155B36" w:rsidRDefault="00447970" w:rsidP="00FF748A">
            <w:pPr>
              <w:pStyle w:val="Tabletextprimarysource"/>
              <w:numPr>
                <w:ilvl w:val="0"/>
                <w:numId w:val="2"/>
              </w:numPr>
            </w:pPr>
            <w:r>
              <w:t>Calculated dermal fluxes from 2 studies: 0.348 and 0.813 mg/</w:t>
            </w:r>
            <w:proofErr w:type="spellStart"/>
            <w:r w:rsidR="00C6526C">
              <w:t>cm</w:t>
            </w:r>
            <w:r w:rsidR="00C6526C">
              <w:rPr>
                <w:vertAlign w:val="superscript"/>
              </w:rPr>
              <w:t>²</w:t>
            </w:r>
            <w:proofErr w:type="spellEnd"/>
            <w:r>
              <w:t>/h; 1</w:t>
            </w:r>
            <w:r w:rsidR="00C6526C">
              <w:t xml:space="preserve"> </w:t>
            </w:r>
            <w:r>
              <w:t>h exposure to 2,</w:t>
            </w:r>
            <w:r w:rsidR="00C6526C">
              <w:t>000</w:t>
            </w:r>
            <w:r w:rsidR="00155B36">
              <w:t> </w:t>
            </w:r>
            <w:proofErr w:type="spellStart"/>
            <w:r w:rsidR="00C6526C">
              <w:t>cm</w:t>
            </w:r>
            <w:r w:rsidR="00C6526C">
              <w:rPr>
                <w:vertAlign w:val="superscript"/>
              </w:rPr>
              <w:t>²</w:t>
            </w:r>
            <w:proofErr w:type="spellEnd"/>
            <w:r w:rsidR="00C6526C">
              <w:t xml:space="preserve"> </w:t>
            </w:r>
            <w:r>
              <w:t xml:space="preserve">of skin </w:t>
            </w:r>
            <w:r>
              <w:rPr>
                <w:rFonts w:cs="Arial"/>
              </w:rPr>
              <w:t>≡</w:t>
            </w:r>
            <w:r>
              <w:t>696 or 1</w:t>
            </w:r>
            <w:r w:rsidR="008A15DE">
              <w:t>,</w:t>
            </w:r>
            <w:r>
              <w:t>626 mg</w:t>
            </w:r>
            <w:r w:rsidR="00BF539E">
              <w:t>.</w:t>
            </w:r>
          </w:p>
          <w:p w14:paraId="35B75144" w14:textId="445B7039" w:rsidR="00E45EE0" w:rsidRDefault="00E45EE0" w:rsidP="003365A5">
            <w:pPr>
              <w:pStyle w:val="Tabletextprimarysource"/>
            </w:pPr>
            <w:r>
              <w:t>Animal data:</w:t>
            </w:r>
          </w:p>
          <w:p w14:paraId="1B399AF2" w14:textId="1369DCDF" w:rsidR="00E45EE0" w:rsidRDefault="00E45EE0" w:rsidP="00E45EE0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No irritational effects reported </w:t>
            </w:r>
            <w:r w:rsidR="008A15DE">
              <w:t xml:space="preserve">at 3,000 ppm </w:t>
            </w:r>
            <w:r>
              <w:t>in the 13</w:t>
            </w:r>
            <w:r w:rsidR="00C6526C">
              <w:t xml:space="preserve"> </w:t>
            </w:r>
            <w:proofErr w:type="spellStart"/>
            <w:r>
              <w:t>wk</w:t>
            </w:r>
            <w:proofErr w:type="spellEnd"/>
            <w:r>
              <w:t xml:space="preserve"> inhalation study the MAK is derived from; critical effects are therefore considered to be systemic</w:t>
            </w:r>
          </w:p>
          <w:p w14:paraId="0BEAABDB" w14:textId="4DD47713" w:rsidR="008A15DE" w:rsidRDefault="00BF539E" w:rsidP="00FF748A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c</w:t>
            </w:r>
            <w:r w:rsidR="008A15DE">
              <w:t xml:space="preserve">ritical effect is not expected to increase with chronic exposure due to similar haematological findings after </w:t>
            </w:r>
            <w:proofErr w:type="spellStart"/>
            <w:r w:rsidR="008A15DE">
              <w:t>wk</w:t>
            </w:r>
            <w:proofErr w:type="spellEnd"/>
            <w:r w:rsidR="008A15DE">
              <w:t xml:space="preserve"> 4 and 13 of the study</w:t>
            </w:r>
          </w:p>
          <w:p w14:paraId="49A786A7" w14:textId="2B98887C" w:rsidR="00E307C6" w:rsidRDefault="003625B3" w:rsidP="00E307C6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Developmental study with oral dose groups 125, 250, 500 and 1,000 mg/kg/d (rats, </w:t>
            </w:r>
            <w:r w:rsidR="003E0604">
              <w:br/>
              <w:t xml:space="preserve">GD </w:t>
            </w:r>
            <w:r>
              <w:t>6</w:t>
            </w:r>
            <w:r w:rsidR="00C6526C">
              <w:t>–</w:t>
            </w:r>
            <w:r>
              <w:t xml:space="preserve">15) reported foetal heart and tail malformations, and maternal </w:t>
            </w:r>
            <w:proofErr w:type="spellStart"/>
            <w:r w:rsidR="003E0604">
              <w:t>bw</w:t>
            </w:r>
            <w:proofErr w:type="spellEnd"/>
            <w:r w:rsidR="003D40D0">
              <w:t xml:space="preserve"> </w:t>
            </w:r>
            <w:r w:rsidR="00183CAC">
              <w:t>reduction</w:t>
            </w:r>
          </w:p>
          <w:p w14:paraId="339A83AC" w14:textId="2D739264" w:rsidR="003C7F8F" w:rsidRDefault="003C7F8F" w:rsidP="00E307C6">
            <w:pPr>
              <w:pStyle w:val="Tabletextprimarysource"/>
              <w:numPr>
                <w:ilvl w:val="0"/>
                <w:numId w:val="2"/>
              </w:numPr>
            </w:pPr>
            <w:proofErr w:type="spellStart"/>
            <w:r>
              <w:t>NOAEL</w:t>
            </w:r>
            <w:proofErr w:type="spellEnd"/>
            <w:r>
              <w:t>:</w:t>
            </w:r>
          </w:p>
          <w:p w14:paraId="45B43615" w14:textId="0BBABA6D" w:rsidR="003625B3" w:rsidRDefault="00BF539E" w:rsidP="00FF748A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m</w:t>
            </w:r>
            <w:r w:rsidR="003625B3">
              <w:t xml:space="preserve">aternal </w:t>
            </w:r>
            <w:proofErr w:type="spellStart"/>
            <w:r w:rsidR="003625B3">
              <w:t>NOAEL</w:t>
            </w:r>
            <w:proofErr w:type="spellEnd"/>
            <w:r w:rsidR="003625B3">
              <w:t xml:space="preserve">: 500 mg/kg/d </w:t>
            </w:r>
            <w:r w:rsidR="00361C3E">
              <w:t xml:space="preserve">(rats, oral) </w:t>
            </w:r>
            <w:r w:rsidR="003625B3">
              <w:t xml:space="preserve">for reduced </w:t>
            </w:r>
            <w:proofErr w:type="spellStart"/>
            <w:r w:rsidR="003E0604">
              <w:t>bw</w:t>
            </w:r>
            <w:proofErr w:type="spellEnd"/>
            <w:r w:rsidR="003D40D0">
              <w:t xml:space="preserve"> </w:t>
            </w:r>
            <w:r w:rsidR="003625B3">
              <w:t>gain</w:t>
            </w:r>
          </w:p>
          <w:p w14:paraId="1FE02050" w14:textId="53051C63" w:rsidR="003625B3" w:rsidRDefault="00BF539E" w:rsidP="00FF748A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f</w:t>
            </w:r>
            <w:r w:rsidR="003625B3">
              <w:t xml:space="preserve">oetal </w:t>
            </w:r>
            <w:proofErr w:type="spellStart"/>
            <w:r w:rsidR="003625B3">
              <w:t>NOAEL</w:t>
            </w:r>
            <w:proofErr w:type="spellEnd"/>
            <w:r w:rsidR="003625B3">
              <w:t xml:space="preserve">: 250 mg/kg/d </w:t>
            </w:r>
            <w:r w:rsidR="00361C3E">
              <w:t xml:space="preserve">(rats, oral) </w:t>
            </w:r>
            <w:r w:rsidR="003625B3">
              <w:t xml:space="preserve">for developmental </w:t>
            </w:r>
            <w:r w:rsidR="002B6EAB">
              <w:t>malformations</w:t>
            </w:r>
          </w:p>
          <w:p w14:paraId="1086F695" w14:textId="4DCAAD30" w:rsidR="002B6EAB" w:rsidRDefault="00BF539E" w:rsidP="00FF748A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f</w:t>
            </w:r>
            <w:r w:rsidR="002B6EAB">
              <w:t xml:space="preserve">indings consistent with a similar, but inadequately conducted, study that reported maternal </w:t>
            </w:r>
            <w:proofErr w:type="spellStart"/>
            <w:r w:rsidR="002B6EAB">
              <w:t>NOAEL</w:t>
            </w:r>
            <w:proofErr w:type="spellEnd"/>
            <w:r w:rsidR="002B6EAB">
              <w:t xml:space="preserve">: 580 mg/kg/d and foetal </w:t>
            </w:r>
            <w:proofErr w:type="spellStart"/>
            <w:r w:rsidR="002B6EAB">
              <w:t>NOAEL</w:t>
            </w:r>
            <w:proofErr w:type="spellEnd"/>
            <w:r w:rsidR="002B6EAB">
              <w:t>: 145 mg/kg/d</w:t>
            </w:r>
          </w:p>
          <w:p w14:paraId="5EFC4C25" w14:textId="77777777" w:rsidR="00447970" w:rsidRDefault="00447970" w:rsidP="00E45EE0">
            <w:pPr>
              <w:pStyle w:val="Tabletextprimarysource"/>
              <w:numPr>
                <w:ilvl w:val="0"/>
                <w:numId w:val="2"/>
              </w:numPr>
            </w:pPr>
            <w:r>
              <w:t>Nasal and lung absorption rates of 66.6 and 2.1%, respectively at 500 ppm (dogs, 10 min)</w:t>
            </w:r>
          </w:p>
          <w:p w14:paraId="2C81F1B7" w14:textId="77777777" w:rsidR="00447970" w:rsidRDefault="00447970" w:rsidP="00E45EE0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2 inadequately </w:t>
            </w:r>
            <w:r w:rsidR="008A15DE">
              <w:t>documented</w:t>
            </w:r>
            <w:r>
              <w:t xml:space="preserve"> skin sensitisation </w:t>
            </w:r>
            <w:r w:rsidR="008A15DE">
              <w:t>studies</w:t>
            </w:r>
            <w:r>
              <w:t xml:space="preserve"> (guinea pigs) </w:t>
            </w:r>
            <w:r w:rsidR="008A15DE">
              <w:t>had equivocal results; not used in assessment for sensitisation potential</w:t>
            </w:r>
          </w:p>
          <w:p w14:paraId="0E5454B8" w14:textId="77777777" w:rsidR="00105EA7" w:rsidRDefault="00105EA7" w:rsidP="00E45EE0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Non-mutagenic </w:t>
            </w:r>
            <w:r>
              <w:rPr>
                <w:i/>
              </w:rPr>
              <w:t>in vitro</w:t>
            </w:r>
            <w:r>
              <w:t xml:space="preserve"> </w:t>
            </w:r>
            <w:r w:rsidR="00275411">
              <w:t xml:space="preserve">equivocal results </w:t>
            </w:r>
            <w:r w:rsidR="00275411">
              <w:rPr>
                <w:i/>
              </w:rPr>
              <w:t>in vivo</w:t>
            </w:r>
            <w:r w:rsidR="00275411">
              <w:t>: slight increase in micronucleus test with bone marrow cells (mice), no dose relationship for single-strand breaks (rats).</w:t>
            </w:r>
          </w:p>
          <w:p w14:paraId="164D6D20" w14:textId="74BCE970" w:rsidR="00155B36" w:rsidRPr="00DA352E" w:rsidRDefault="00155B36" w:rsidP="00FF748A">
            <w:pPr>
              <w:pStyle w:val="Tabletextprimarysource"/>
            </w:pPr>
          </w:p>
        </w:tc>
      </w:tr>
      <w:tr w:rsidR="00C978F0" w:rsidRPr="00DA352E" w14:paraId="46492D8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B974BF2" w14:textId="3CAECFF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A9697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proofErr w:type="spellStart"/>
                <w:r w:rsidR="00A9697D">
                  <w:t>NA</w:t>
                </w:r>
                <w:proofErr w:type="spellEnd"/>
              </w:sdtContent>
            </w:sdt>
          </w:p>
        </w:tc>
      </w:tr>
      <w:tr w:rsidR="00C978F0" w:rsidRPr="00DA352E" w14:paraId="469F464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0653B44" w14:textId="5D30B781" w:rsidR="00C978F0" w:rsidRPr="00DA352E" w:rsidRDefault="00A9697D" w:rsidP="003365A5">
            <w:pPr>
              <w:pStyle w:val="Tabletextprimarysource"/>
            </w:pPr>
            <w:r>
              <w:t>No report</w:t>
            </w:r>
            <w:r w:rsidR="00BF539E">
              <w:t>.</w:t>
            </w:r>
          </w:p>
        </w:tc>
      </w:tr>
      <w:tr w:rsidR="00DA352E" w:rsidRPr="00DA352E" w14:paraId="4758BB2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75873A0" w14:textId="4541F83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A9697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proofErr w:type="spellStart"/>
                <w:r w:rsidR="00A9697D">
                  <w:t>NA</w:t>
                </w:r>
                <w:proofErr w:type="spellEnd"/>
              </w:sdtContent>
            </w:sdt>
          </w:p>
        </w:tc>
      </w:tr>
      <w:tr w:rsidR="00DA352E" w:rsidRPr="00DA352E" w14:paraId="705D70C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211CFCB" w14:textId="54CF4E9C" w:rsidR="00DA352E" w:rsidRPr="00DA352E" w:rsidRDefault="00A9697D" w:rsidP="003365A5">
            <w:pPr>
              <w:pStyle w:val="Tabletextprimarysource"/>
            </w:pPr>
            <w:r>
              <w:t>No report</w:t>
            </w:r>
            <w:r w:rsidR="00BF539E">
              <w:t>.</w:t>
            </w:r>
          </w:p>
        </w:tc>
      </w:tr>
      <w:tr w:rsidR="00DA352E" w:rsidRPr="00DA352E" w14:paraId="2A8DF42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BBCF19D" w14:textId="4FCE264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A9697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proofErr w:type="spellStart"/>
                <w:r w:rsidR="00A9697D">
                  <w:t>NA</w:t>
                </w:r>
                <w:proofErr w:type="spellEnd"/>
              </w:sdtContent>
            </w:sdt>
          </w:p>
        </w:tc>
      </w:tr>
      <w:tr w:rsidR="00DA352E" w:rsidRPr="00DA352E" w14:paraId="111D709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2DCF130" w14:textId="54B6123B" w:rsidR="00DA352E" w:rsidRPr="00DA352E" w:rsidRDefault="00A9697D" w:rsidP="003365A5">
            <w:pPr>
              <w:pStyle w:val="Tabletextprimarysource"/>
            </w:pPr>
            <w:r>
              <w:t>No report</w:t>
            </w:r>
            <w:r w:rsidR="00BF539E">
              <w:t>.</w:t>
            </w:r>
          </w:p>
        </w:tc>
      </w:tr>
    </w:tbl>
    <w:p w14:paraId="31743202" w14:textId="77777777" w:rsidR="00A20751" w:rsidRPr="004C23F4" w:rsidRDefault="00A20751" w:rsidP="00FF748A">
      <w:pPr>
        <w:pStyle w:val="Heading3"/>
        <w:keepNext w:val="0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7F41C7FE" w14:textId="0629D6C2" w:rsidR="007E2A4B" w:rsidRDefault="00D40689" w:rsidP="00FF748A">
      <w:r>
        <w:lastRenderedPageBreak/>
        <w:t>NIL</w:t>
      </w:r>
      <w:r w:rsidR="00FF748A">
        <w:t>.</w:t>
      </w:r>
    </w:p>
    <w:bookmarkEnd w:id="0"/>
    <w:p w14:paraId="19A24DC4" w14:textId="77777777" w:rsidR="007E2A4B" w:rsidRDefault="007E2A4B" w:rsidP="00FF748A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6FD0FFE0" w14:textId="77777777" w:rsidTr="000F43BC">
        <w:trPr>
          <w:trHeight w:val="454"/>
          <w:tblHeader/>
        </w:trPr>
        <w:tc>
          <w:tcPr>
            <w:tcW w:w="6597" w:type="dxa"/>
            <w:vAlign w:val="center"/>
          </w:tcPr>
          <w:p w14:paraId="028E20AA" w14:textId="77777777" w:rsidR="002E0D61" w:rsidRDefault="00B1422A" w:rsidP="00FF748A">
            <w:pPr>
              <w:pStyle w:val="Tablefont"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9" w:type="dxa"/>
                <w:vAlign w:val="center"/>
              </w:tcPr>
              <w:p w14:paraId="2187BFAC" w14:textId="09F93D2F" w:rsidR="002E0D61" w:rsidRDefault="00275411" w:rsidP="00FF748A">
                <w:pPr>
                  <w:pStyle w:val="Tablefont"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18019733" w14:textId="77777777" w:rsidTr="003E0604">
        <w:trPr>
          <w:trHeight w:val="454"/>
        </w:trPr>
        <w:tc>
          <w:tcPr>
            <w:tcW w:w="6597" w:type="dxa"/>
            <w:vAlign w:val="center"/>
          </w:tcPr>
          <w:p w14:paraId="3FF535C7" w14:textId="77777777" w:rsidR="008A36CF" w:rsidRDefault="008A36CF" w:rsidP="00FF748A">
            <w:pPr>
              <w:pStyle w:val="Tablefont"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Content>
            <w:tc>
              <w:tcPr>
                <w:tcW w:w="2429" w:type="dxa"/>
                <w:vAlign w:val="center"/>
              </w:tcPr>
              <w:p w14:paraId="3D1CE172" w14:textId="7042AE45" w:rsidR="008A36CF" w:rsidRDefault="00275411" w:rsidP="00FF748A">
                <w:pPr>
                  <w:pStyle w:val="Tablefont"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FF748A" w14:paraId="039757E5" w14:textId="77777777" w:rsidTr="003E0604">
        <w:trPr>
          <w:trHeight w:val="454"/>
        </w:trPr>
        <w:sdt>
          <w:sdtPr>
            <w:rPr>
              <w:b/>
            </w:rPr>
            <w:id w:val="1830936485"/>
            <w:placeholder>
              <w:docPart w:val="1DD4219DF54B4A7C8DE2CF53D64861E4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9026" w:type="dxa"/>
                <w:gridSpan w:val="2"/>
                <w:vAlign w:val="center"/>
              </w:tcPr>
              <w:p w14:paraId="29858DA2" w14:textId="70634B66" w:rsidR="00FF748A" w:rsidRDefault="00FF748A" w:rsidP="00FF748A">
                <w:pPr>
                  <w:pStyle w:val="Tablefont"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2BAFD53B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901E2F5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39412E0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2A4D811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FA25F10" w14:textId="77777777" w:rsidTr="00812887">
        <w:trPr>
          <w:cantSplit/>
        </w:trPr>
        <w:tc>
          <w:tcPr>
            <w:tcW w:w="3227" w:type="dxa"/>
          </w:tcPr>
          <w:p w14:paraId="586CC897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0581ECC" w14:textId="485AB755" w:rsidR="00687890" w:rsidRPr="00DD2F9B" w:rsidRDefault="00A9697D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44D280D5" w14:textId="77777777" w:rsidTr="00812887">
        <w:trPr>
          <w:cantSplit/>
        </w:trPr>
        <w:tc>
          <w:tcPr>
            <w:tcW w:w="3227" w:type="dxa"/>
          </w:tcPr>
          <w:p w14:paraId="0325B252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5836AE88" w14:textId="69034DBC" w:rsidR="007925F0" w:rsidRPr="00DD2F9B" w:rsidRDefault="00A9697D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4E21D070" w14:textId="77777777" w:rsidTr="00812887">
        <w:trPr>
          <w:cantSplit/>
        </w:trPr>
        <w:tc>
          <w:tcPr>
            <w:tcW w:w="3227" w:type="dxa"/>
          </w:tcPr>
          <w:p w14:paraId="5AA54BA9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12547BE6" w14:textId="2E111211" w:rsidR="00AF483F" w:rsidRPr="00DD2F9B" w:rsidRDefault="00A9697D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D9CA3CE" w14:textId="77777777" w:rsidTr="00812887">
        <w:trPr>
          <w:cantSplit/>
        </w:trPr>
        <w:tc>
          <w:tcPr>
            <w:tcW w:w="3227" w:type="dxa"/>
          </w:tcPr>
          <w:p w14:paraId="02464723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D23B326" w14:textId="1EF1DF26" w:rsidR="00687890" w:rsidRPr="00DD2F9B" w:rsidRDefault="00275411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2880BBB1" w14:textId="77777777" w:rsidTr="00812887">
        <w:trPr>
          <w:cantSplit/>
        </w:trPr>
        <w:tc>
          <w:tcPr>
            <w:tcW w:w="3227" w:type="dxa"/>
          </w:tcPr>
          <w:p w14:paraId="3D44EF0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891B2B0" w14:textId="3D44AFA7" w:rsidR="00E41A26" w:rsidRPr="00DD2F9B" w:rsidRDefault="00A9697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F2E8A27" w14:textId="77777777" w:rsidTr="00812887">
        <w:trPr>
          <w:cantSplit/>
        </w:trPr>
        <w:tc>
          <w:tcPr>
            <w:tcW w:w="3227" w:type="dxa"/>
          </w:tcPr>
          <w:p w14:paraId="6DAD4027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2A83039E" w14:textId="4AF81F4A" w:rsidR="002E0D61" w:rsidRPr="00DD2F9B" w:rsidRDefault="00A9697D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121EC432" w14:textId="77777777" w:rsidTr="00812887">
        <w:trPr>
          <w:cantSplit/>
        </w:trPr>
        <w:tc>
          <w:tcPr>
            <w:tcW w:w="3227" w:type="dxa"/>
          </w:tcPr>
          <w:p w14:paraId="3776FE7E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6B0DF938" w14:textId="2EE09437" w:rsidR="002E0D61" w:rsidRPr="00DD2F9B" w:rsidRDefault="00A9697D" w:rsidP="00DD2F9B">
            <w:pPr>
              <w:pStyle w:val="Tablefont"/>
            </w:pPr>
            <w:r w:rsidRPr="00A9697D">
              <w:t>H (skin)</w:t>
            </w:r>
          </w:p>
        </w:tc>
      </w:tr>
      <w:tr w:rsidR="002E0D61" w:rsidRPr="004C23F4" w14:paraId="59B86553" w14:textId="77777777" w:rsidTr="00812887">
        <w:trPr>
          <w:cantSplit/>
        </w:trPr>
        <w:tc>
          <w:tcPr>
            <w:tcW w:w="3227" w:type="dxa"/>
          </w:tcPr>
          <w:p w14:paraId="4159668A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1DBF94B3" w14:textId="19C70848" w:rsidR="002E0D61" w:rsidRPr="00DD2F9B" w:rsidRDefault="00A9697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206A0B6" w14:textId="77777777" w:rsidTr="00812887">
        <w:trPr>
          <w:cantSplit/>
        </w:trPr>
        <w:tc>
          <w:tcPr>
            <w:tcW w:w="3227" w:type="dxa"/>
          </w:tcPr>
          <w:p w14:paraId="12141A3D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283F5E05" w14:textId="0B7F3E40" w:rsidR="002E0D61" w:rsidRPr="00DD2F9B" w:rsidRDefault="003D357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B64D623" w14:textId="77777777" w:rsidTr="00812887">
        <w:trPr>
          <w:cantSplit/>
        </w:trPr>
        <w:tc>
          <w:tcPr>
            <w:tcW w:w="3227" w:type="dxa"/>
          </w:tcPr>
          <w:p w14:paraId="7350371D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75F3AEF" w14:textId="36536E26" w:rsidR="00386093" w:rsidRPr="00DD2F9B" w:rsidRDefault="003D357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C023FEF" w14:textId="77777777" w:rsidTr="00812887">
        <w:trPr>
          <w:cantSplit/>
        </w:trPr>
        <w:tc>
          <w:tcPr>
            <w:tcW w:w="3227" w:type="dxa"/>
          </w:tcPr>
          <w:p w14:paraId="7677EB75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7190D32C" w14:textId="1BE35127" w:rsidR="00386093" w:rsidRPr="00DD2F9B" w:rsidRDefault="003D3575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D5BA4E4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FD19C57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92AEEC7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7678375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687F863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947" w:type="dxa"/>
              <w:tblLook w:val="04A0" w:firstRow="1" w:lastRow="0" w:firstColumn="1" w:lastColumn="0" w:noHBand="0" w:noVBand="1"/>
            </w:tblPr>
            <w:tblGrid>
              <w:gridCol w:w="3709"/>
              <w:gridCol w:w="530"/>
              <w:gridCol w:w="550"/>
              <w:gridCol w:w="4021"/>
            </w:tblGrid>
            <w:tr w:rsidR="005E7DBC" w:rsidRPr="005E7DBC" w14:paraId="38519111" w14:textId="77777777" w:rsidTr="005E7DBC">
              <w:trPr>
                <w:trHeight w:val="266"/>
              </w:trPr>
              <w:tc>
                <w:tcPr>
                  <w:tcW w:w="37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78BF28" w14:textId="77777777" w:rsidR="005E7DBC" w:rsidRPr="005E7DBC" w:rsidRDefault="005E7DBC" w:rsidP="005E7DB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7DB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5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4A13A8" w14:textId="77777777" w:rsidR="005E7DBC" w:rsidRPr="005E7DBC" w:rsidRDefault="005E7DBC" w:rsidP="005E7DB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7DB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E101B9" w14:textId="77777777" w:rsidR="005E7DBC" w:rsidRPr="005E7DBC" w:rsidRDefault="005E7DBC" w:rsidP="005E7DB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E7DB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0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0C136A" w14:textId="77777777" w:rsidR="005E7DBC" w:rsidRPr="005E7DBC" w:rsidRDefault="005E7DBC" w:rsidP="005E7DB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7DB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E7DBC" w:rsidRPr="005E7DBC" w14:paraId="12EBC53B" w14:textId="77777777" w:rsidTr="005E7DBC">
              <w:trPr>
                <w:trHeight w:val="266"/>
              </w:trPr>
              <w:tc>
                <w:tcPr>
                  <w:tcW w:w="37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36FE90" w14:textId="77777777" w:rsidR="005E7DBC" w:rsidRPr="005E7DBC" w:rsidRDefault="005E7DBC" w:rsidP="005E7DB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7DB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5E7DB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5E7DB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5E7DB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5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D0956E" w14:textId="77777777" w:rsidR="005E7DBC" w:rsidRPr="005E7DBC" w:rsidRDefault="005E7DBC" w:rsidP="005E7DB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7DB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0182DD" w14:textId="77777777" w:rsidR="005E7DBC" w:rsidRPr="005E7DBC" w:rsidRDefault="005E7DBC" w:rsidP="005E7DB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E7DB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0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063353" w14:textId="77777777" w:rsidR="005E7DBC" w:rsidRPr="005E7DBC" w:rsidRDefault="005E7DBC" w:rsidP="005E7DB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7DB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E7DBC" w:rsidRPr="005E7DBC" w14:paraId="3313EFD8" w14:textId="77777777" w:rsidTr="005E7DBC">
              <w:trPr>
                <w:trHeight w:val="266"/>
              </w:trPr>
              <w:tc>
                <w:tcPr>
                  <w:tcW w:w="37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FA263F" w14:textId="77777777" w:rsidR="005E7DBC" w:rsidRPr="005E7DBC" w:rsidRDefault="005E7DBC" w:rsidP="005E7DB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7DB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5E7DB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5E7DB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5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9A3979" w14:textId="77777777" w:rsidR="005E7DBC" w:rsidRPr="005E7DBC" w:rsidRDefault="005E7DBC" w:rsidP="005E7DB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7DB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9B90BB" w14:textId="77777777" w:rsidR="005E7DBC" w:rsidRPr="005E7DBC" w:rsidRDefault="005E7DBC" w:rsidP="005E7DB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E7DB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0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0C0B22" w14:textId="77777777" w:rsidR="005E7DBC" w:rsidRPr="005E7DBC" w:rsidRDefault="005E7DBC" w:rsidP="005E7DB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7DB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E7DBC" w:rsidRPr="005E7DBC" w14:paraId="150F870E" w14:textId="77777777" w:rsidTr="005E7DBC">
              <w:trPr>
                <w:trHeight w:val="266"/>
              </w:trPr>
              <w:tc>
                <w:tcPr>
                  <w:tcW w:w="37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E4F8CE" w14:textId="77777777" w:rsidR="005E7DBC" w:rsidRPr="005E7DBC" w:rsidRDefault="005E7DBC" w:rsidP="005E7DB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7DB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5E7DB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5E7DB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5E7DB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5E7DB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5E7DB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5E7DB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5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29A750" w14:textId="77777777" w:rsidR="005E7DBC" w:rsidRPr="005E7DBC" w:rsidRDefault="005E7DBC" w:rsidP="005E7DB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7DB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0495E8" w14:textId="77777777" w:rsidR="005E7DBC" w:rsidRPr="005E7DBC" w:rsidRDefault="005E7DBC" w:rsidP="005E7DB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E7DB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0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F7CA10" w14:textId="77777777" w:rsidR="005E7DBC" w:rsidRPr="005E7DBC" w:rsidRDefault="005E7DBC" w:rsidP="005E7DB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7DB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E7DBC" w:rsidRPr="005E7DBC" w14:paraId="383E78D3" w14:textId="77777777" w:rsidTr="005E7DBC">
              <w:trPr>
                <w:trHeight w:val="266"/>
              </w:trPr>
              <w:tc>
                <w:tcPr>
                  <w:tcW w:w="37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BCE341" w14:textId="77777777" w:rsidR="005E7DBC" w:rsidRPr="005E7DBC" w:rsidRDefault="005E7DBC" w:rsidP="005E7DB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7DBC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5E7DB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5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66ECCF" w14:textId="77777777" w:rsidR="005E7DBC" w:rsidRPr="005E7DBC" w:rsidRDefault="005E7DBC" w:rsidP="005E7DB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7DB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97A3E1" w14:textId="77777777" w:rsidR="005E7DBC" w:rsidRPr="005E7DBC" w:rsidRDefault="005E7DBC" w:rsidP="005E7DB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E7DB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0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76D10C" w14:textId="77777777" w:rsidR="005E7DBC" w:rsidRPr="005E7DBC" w:rsidRDefault="005E7DBC" w:rsidP="005E7DB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7DB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E7DBC" w:rsidRPr="005E7DBC" w14:paraId="5671B027" w14:textId="77777777" w:rsidTr="005E7DBC">
              <w:trPr>
                <w:trHeight w:val="266"/>
              </w:trPr>
              <w:tc>
                <w:tcPr>
                  <w:tcW w:w="37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AE0AB9" w14:textId="77777777" w:rsidR="005E7DBC" w:rsidRPr="005E7DBC" w:rsidRDefault="005E7DBC" w:rsidP="005E7DB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7DB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5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2DE2D67" w14:textId="77777777" w:rsidR="005E7DBC" w:rsidRPr="005E7DBC" w:rsidRDefault="005E7DBC" w:rsidP="005E7DB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5E7DBC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80AC3A" w14:textId="77777777" w:rsidR="005E7DBC" w:rsidRPr="005E7DBC" w:rsidRDefault="005E7DBC" w:rsidP="005E7DB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E7DB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2.00</w:t>
                  </w:r>
                </w:p>
              </w:tc>
              <w:tc>
                <w:tcPr>
                  <w:tcW w:w="40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5BDE72" w14:textId="77777777" w:rsidR="005E7DBC" w:rsidRPr="005E7DBC" w:rsidRDefault="005E7DBC" w:rsidP="005E7DB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7DB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E7DBC" w:rsidRPr="005E7DBC" w14:paraId="3ED5690D" w14:textId="77777777" w:rsidTr="005E7DBC">
              <w:trPr>
                <w:trHeight w:val="266"/>
              </w:trPr>
              <w:tc>
                <w:tcPr>
                  <w:tcW w:w="37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7FAD52" w14:textId="77777777" w:rsidR="005E7DBC" w:rsidRPr="005E7DBC" w:rsidRDefault="005E7DBC" w:rsidP="005E7DB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7DB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2904DE" w14:textId="77777777" w:rsidR="005E7DBC" w:rsidRPr="005E7DBC" w:rsidRDefault="005E7DBC" w:rsidP="005E7DB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7DB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ACAFEF" w14:textId="77777777" w:rsidR="005E7DBC" w:rsidRPr="005E7DBC" w:rsidRDefault="005E7DBC" w:rsidP="005E7DB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E7DB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</w:t>
                  </w:r>
                </w:p>
              </w:tc>
              <w:tc>
                <w:tcPr>
                  <w:tcW w:w="40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E64443" w14:textId="77777777" w:rsidR="005E7DBC" w:rsidRPr="005E7DBC" w:rsidRDefault="005E7DBC" w:rsidP="005E7DBC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7DBC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insufficient data to assign a skin notation</w:t>
                  </w:r>
                </w:p>
              </w:tc>
            </w:tr>
          </w:tbl>
          <w:p w14:paraId="2F1728E0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4950ADBB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3BE70C10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725A884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3ABE91AA" w14:textId="7036F74E" w:rsidR="00EB3D1B" w:rsidRDefault="003D3575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29C68B78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6EA1211" w14:textId="77777777" w:rsidTr="000F43BC">
        <w:trPr>
          <w:cantSplit/>
          <w:tblHeader/>
        </w:trPr>
        <w:tc>
          <w:tcPr>
            <w:tcW w:w="4077" w:type="dxa"/>
            <w:vAlign w:val="center"/>
          </w:tcPr>
          <w:p w14:paraId="40E14346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1CDEB59D" w14:textId="665B3710" w:rsidR="001B79E5" w:rsidRDefault="00EB6E01" w:rsidP="001B79E5">
                <w:pPr>
                  <w:pStyle w:val="Tablefont"/>
                </w:pPr>
                <w:r>
                  <w:t>74.08</w:t>
                </w:r>
              </w:p>
            </w:tc>
          </w:sdtContent>
        </w:sdt>
      </w:tr>
      <w:tr w:rsidR="00A31D99" w:rsidRPr="004C23F4" w14:paraId="36F0CA58" w14:textId="77777777" w:rsidTr="00FF748A">
        <w:trPr>
          <w:cantSplit/>
        </w:trPr>
        <w:tc>
          <w:tcPr>
            <w:tcW w:w="4077" w:type="dxa"/>
            <w:vAlign w:val="center"/>
          </w:tcPr>
          <w:p w14:paraId="7CC3DB55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00C23ED3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3CC6326" w14:textId="77777777" w:rsidTr="00FF748A">
        <w:trPr>
          <w:cantSplit/>
        </w:trPr>
        <w:tc>
          <w:tcPr>
            <w:tcW w:w="4077" w:type="dxa"/>
            <w:vAlign w:val="center"/>
          </w:tcPr>
          <w:p w14:paraId="4E8F537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6B818B5D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B94F865" w14:textId="77777777" w:rsidTr="00FF748A">
        <w:trPr>
          <w:cantSplit/>
        </w:trPr>
        <w:tc>
          <w:tcPr>
            <w:tcW w:w="4077" w:type="dxa"/>
            <w:vAlign w:val="center"/>
          </w:tcPr>
          <w:p w14:paraId="33048617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4F98FFAA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C001975" w14:textId="77777777" w:rsidTr="00FF748A">
        <w:trPr>
          <w:cantSplit/>
        </w:trPr>
        <w:tc>
          <w:tcPr>
            <w:tcW w:w="4077" w:type="dxa"/>
            <w:vAlign w:val="center"/>
          </w:tcPr>
          <w:p w14:paraId="5D0A1A26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679A0D60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92A70E6" w14:textId="77777777" w:rsidTr="00FF748A">
        <w:trPr>
          <w:cantSplit/>
        </w:trPr>
        <w:tc>
          <w:tcPr>
            <w:tcW w:w="4077" w:type="dxa"/>
            <w:vAlign w:val="center"/>
          </w:tcPr>
          <w:p w14:paraId="4ADD6177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9F0E268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0C39D51D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97802BD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1B17DC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133C0CB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F309FE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7C0DE213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BA6F5C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7732002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69FC451" w14:textId="505A6B85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1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37DB9ACB" w14:textId="6631749B" w:rsidR="00E45EE0" w:rsidRDefault="00E45EE0" w:rsidP="00084859">
      <w:r>
        <w:t xml:space="preserve">Deutsche </w:t>
      </w:r>
      <w:proofErr w:type="spellStart"/>
      <w:r>
        <w:t>Forschungsgemeinschaft</w:t>
      </w:r>
      <w:proofErr w:type="spellEnd"/>
      <w:r>
        <w:t xml:space="preserve"> (</w:t>
      </w:r>
      <w:proofErr w:type="spellStart"/>
      <w:r>
        <w:t>DFG</w:t>
      </w:r>
      <w:proofErr w:type="spellEnd"/>
      <w:r>
        <w:t xml:space="preserve">) (2007) </w:t>
      </w:r>
      <w:r w:rsidRPr="003D3575">
        <w:t>1,3-Dioxolan</w:t>
      </w:r>
      <w:r>
        <w:t xml:space="preserve"> – MAK value documentation, German language edition.</w:t>
      </w:r>
    </w:p>
    <w:p w14:paraId="351A7BA4" w14:textId="1CF4C2E1" w:rsidR="003D3575" w:rsidRPr="00351FE0" w:rsidRDefault="003D3575" w:rsidP="00084859">
      <w:r>
        <w:t xml:space="preserve">Deutsche </w:t>
      </w:r>
      <w:proofErr w:type="spellStart"/>
      <w:r>
        <w:t>Forschungsgemeinschaft</w:t>
      </w:r>
      <w:proofErr w:type="spellEnd"/>
      <w:r>
        <w:t xml:space="preserve"> (</w:t>
      </w:r>
      <w:proofErr w:type="spellStart"/>
      <w:r>
        <w:t>DFG</w:t>
      </w:r>
      <w:proofErr w:type="spellEnd"/>
      <w:r>
        <w:t xml:space="preserve">) (2018) </w:t>
      </w:r>
      <w:r w:rsidRPr="003D3575">
        <w:t>1,3-Dioxolane</w:t>
      </w:r>
      <w:r>
        <w:t xml:space="preserve"> – MAK value documentation.</w:t>
      </w:r>
    </w:p>
    <w:sectPr w:rsidR="003D3575" w:rsidRPr="00351FE0" w:rsidSect="00B87D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69753" w14:textId="77777777" w:rsidR="00B97A13" w:rsidRDefault="00B97A13" w:rsidP="00F43AD5">
      <w:pPr>
        <w:spacing w:after="0" w:line="240" w:lineRule="auto"/>
      </w:pPr>
      <w:r>
        <w:separator/>
      </w:r>
    </w:p>
  </w:endnote>
  <w:endnote w:type="continuationSeparator" w:id="0">
    <w:p w14:paraId="1E65C017" w14:textId="77777777" w:rsidR="00B97A13" w:rsidRDefault="00B97A1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30A77" w14:textId="77777777" w:rsidR="000F43BC" w:rsidRDefault="000F43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8D326" w14:textId="77777777" w:rsidR="000F43BC" w:rsidRDefault="000F43B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F4F13" w14:textId="77777777" w:rsidR="000F43BC" w:rsidRDefault="000F43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3E0D3" w14:textId="77777777" w:rsidR="00B97A13" w:rsidRDefault="00B97A13" w:rsidP="00F43AD5">
      <w:pPr>
        <w:spacing w:after="0" w:line="240" w:lineRule="auto"/>
      </w:pPr>
      <w:r>
        <w:separator/>
      </w:r>
    </w:p>
  </w:footnote>
  <w:footnote w:type="continuationSeparator" w:id="0">
    <w:p w14:paraId="4095FDFF" w14:textId="77777777" w:rsidR="00B97A13" w:rsidRDefault="00B97A1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7ED08" w14:textId="77777777" w:rsidR="000F43BC" w:rsidRDefault="000F43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E9F55" w14:textId="6EDB189D" w:rsidR="000F43BC" w:rsidRDefault="000F43BC" w:rsidP="000F43BC">
    <w:pPr>
      <w:pStyle w:val="Header"/>
      <w:jc w:val="right"/>
    </w:pPr>
    <w:r>
      <w:rPr>
        <w:noProof/>
        <w:lang w:eastAsia="en-AU"/>
      </w:rPr>
      <w:drawing>
        <wp:inline distT="0" distB="0" distL="0" distR="0" wp14:anchorId="54E36A20" wp14:editId="336B3D32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CF1900" w14:textId="77777777" w:rsidR="008A36CF" w:rsidRDefault="008A36CF" w:rsidP="00F43AD5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B2DE9" w14:textId="77777777" w:rsidR="000F43BC" w:rsidRDefault="000F43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492597"/>
    <w:multiLevelType w:val="hybridMultilevel"/>
    <w:tmpl w:val="4F52785E"/>
    <w:lvl w:ilvl="0" w:tplc="C9A4396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4E240A"/>
    <w:multiLevelType w:val="hybridMultilevel"/>
    <w:tmpl w:val="77CC6AB4"/>
    <w:lvl w:ilvl="0" w:tplc="B7A00CF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81162E"/>
    <w:multiLevelType w:val="hybridMultilevel"/>
    <w:tmpl w:val="A386D7B2"/>
    <w:lvl w:ilvl="0" w:tplc="6E8E9CC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8538136">
    <w:abstractNumId w:val="0"/>
  </w:num>
  <w:num w:numId="2" w16cid:durableId="911895595">
    <w:abstractNumId w:val="1"/>
  </w:num>
  <w:num w:numId="3" w16cid:durableId="3641847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319C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43BC"/>
    <w:rsid w:val="0010461E"/>
    <w:rsid w:val="00105EA7"/>
    <w:rsid w:val="00106FAA"/>
    <w:rsid w:val="00113443"/>
    <w:rsid w:val="001269A7"/>
    <w:rsid w:val="00131092"/>
    <w:rsid w:val="00132688"/>
    <w:rsid w:val="00140E6A"/>
    <w:rsid w:val="00146545"/>
    <w:rsid w:val="00146B75"/>
    <w:rsid w:val="0015266D"/>
    <w:rsid w:val="0015288A"/>
    <w:rsid w:val="00155B36"/>
    <w:rsid w:val="00160F47"/>
    <w:rsid w:val="00164FE7"/>
    <w:rsid w:val="00177CA1"/>
    <w:rsid w:val="00183823"/>
    <w:rsid w:val="00183942"/>
    <w:rsid w:val="00183CAC"/>
    <w:rsid w:val="001A009E"/>
    <w:rsid w:val="001A1287"/>
    <w:rsid w:val="001A3859"/>
    <w:rsid w:val="001A3C9D"/>
    <w:rsid w:val="001A43F8"/>
    <w:rsid w:val="001B79E5"/>
    <w:rsid w:val="001C4C44"/>
    <w:rsid w:val="001D5162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1485"/>
    <w:rsid w:val="0025734A"/>
    <w:rsid w:val="00263255"/>
    <w:rsid w:val="00275411"/>
    <w:rsid w:val="00276494"/>
    <w:rsid w:val="00277B0C"/>
    <w:rsid w:val="002B1A2C"/>
    <w:rsid w:val="002B6EAB"/>
    <w:rsid w:val="002C34F2"/>
    <w:rsid w:val="002C58FF"/>
    <w:rsid w:val="002C7AFE"/>
    <w:rsid w:val="002D05D2"/>
    <w:rsid w:val="002E0D61"/>
    <w:rsid w:val="002E4C7B"/>
    <w:rsid w:val="0030740C"/>
    <w:rsid w:val="00315833"/>
    <w:rsid w:val="00316CD4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1C3E"/>
    <w:rsid w:val="003625B3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7F8F"/>
    <w:rsid w:val="003D3575"/>
    <w:rsid w:val="003D40D0"/>
    <w:rsid w:val="003D4FA3"/>
    <w:rsid w:val="003D5CA9"/>
    <w:rsid w:val="003E0604"/>
    <w:rsid w:val="003E0807"/>
    <w:rsid w:val="003E51FB"/>
    <w:rsid w:val="003E6B39"/>
    <w:rsid w:val="003F07E1"/>
    <w:rsid w:val="004030BC"/>
    <w:rsid w:val="00403F7D"/>
    <w:rsid w:val="00406785"/>
    <w:rsid w:val="004079B4"/>
    <w:rsid w:val="00407C92"/>
    <w:rsid w:val="00417A56"/>
    <w:rsid w:val="00420957"/>
    <w:rsid w:val="00422A10"/>
    <w:rsid w:val="00430179"/>
    <w:rsid w:val="0043234D"/>
    <w:rsid w:val="00437849"/>
    <w:rsid w:val="004414B5"/>
    <w:rsid w:val="00444482"/>
    <w:rsid w:val="00444B42"/>
    <w:rsid w:val="00445E44"/>
    <w:rsid w:val="00447970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66A4"/>
    <w:rsid w:val="00581055"/>
    <w:rsid w:val="00582B69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E7DBC"/>
    <w:rsid w:val="006013C1"/>
    <w:rsid w:val="00604363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D4C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38CE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0641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4CA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77EA"/>
    <w:rsid w:val="008A1596"/>
    <w:rsid w:val="008A15DE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1761F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9697D"/>
    <w:rsid w:val="00AB2672"/>
    <w:rsid w:val="00AB2817"/>
    <w:rsid w:val="00AB43C4"/>
    <w:rsid w:val="00AB5C5B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540C8"/>
    <w:rsid w:val="00B61B5F"/>
    <w:rsid w:val="00B71188"/>
    <w:rsid w:val="00B76A41"/>
    <w:rsid w:val="00B87D4C"/>
    <w:rsid w:val="00B93646"/>
    <w:rsid w:val="00B97A13"/>
    <w:rsid w:val="00BA0B38"/>
    <w:rsid w:val="00BA1DBB"/>
    <w:rsid w:val="00BA4510"/>
    <w:rsid w:val="00BA529A"/>
    <w:rsid w:val="00BB1E8A"/>
    <w:rsid w:val="00BB612A"/>
    <w:rsid w:val="00BD499F"/>
    <w:rsid w:val="00BD56DE"/>
    <w:rsid w:val="00BF2406"/>
    <w:rsid w:val="00BF539E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26C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0689"/>
    <w:rsid w:val="00D44C89"/>
    <w:rsid w:val="00D516CD"/>
    <w:rsid w:val="00D668E6"/>
    <w:rsid w:val="00D70670"/>
    <w:rsid w:val="00D74D80"/>
    <w:rsid w:val="00D76624"/>
    <w:rsid w:val="00D8130D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B7C"/>
    <w:rsid w:val="00E06F40"/>
    <w:rsid w:val="00E07CE8"/>
    <w:rsid w:val="00E26A07"/>
    <w:rsid w:val="00E307C6"/>
    <w:rsid w:val="00E32595"/>
    <w:rsid w:val="00E37CFD"/>
    <w:rsid w:val="00E41A26"/>
    <w:rsid w:val="00E45EE0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B6E01"/>
    <w:rsid w:val="00EC3693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218C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D6650"/>
    <w:rsid w:val="00FF5C3D"/>
    <w:rsid w:val="00FF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361C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C3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C3E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C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1C3E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4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gih.org/tlv-bei-guidelines/policies-procedures-presentation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15835315E44A48FDB390397C5B9DBC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A115D9-3154-4EFF-B192-29C29EE775B0}"/>
      </w:docPartPr>
      <w:docPartBody>
        <w:p w:rsidR="00EC38B6" w:rsidRDefault="007F653E" w:rsidP="007F653E">
          <w:pPr>
            <w:pStyle w:val="15835315E44A48FDB390397C5B9DBC48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1DD4219DF54B4A7C8DE2CF53D64861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D92D3F-1676-4918-B174-2F831CD846C8}"/>
      </w:docPartPr>
      <w:docPartBody>
        <w:p w:rsidR="005F0BF0" w:rsidRDefault="009972B9" w:rsidP="009972B9">
          <w:pPr>
            <w:pStyle w:val="1DD4219DF54B4A7C8DE2CF53D64861E4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64055"/>
    <w:rsid w:val="005F0BF0"/>
    <w:rsid w:val="0060146C"/>
    <w:rsid w:val="007F653E"/>
    <w:rsid w:val="009972B9"/>
    <w:rsid w:val="00D21A9F"/>
    <w:rsid w:val="00EC38B6"/>
    <w:rsid w:val="00F04733"/>
    <w:rsid w:val="00FD16AE"/>
    <w:rsid w:val="00FD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972B9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15835315E44A48FDB390397C5B9DBC48">
    <w:name w:val="15835315E44A48FDB390397C5B9DBC48"/>
    <w:rsid w:val="007F653E"/>
  </w:style>
  <w:style w:type="paragraph" w:customStyle="1" w:styleId="1DD4219DF54B4A7C8DE2CF53D64861E4">
    <w:name w:val="1DD4219DF54B4A7C8DE2CF53D64861E4"/>
    <w:rsid w:val="009972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1CFF65-D319-4843-A7DD-6EFCD8DD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customXml/itemProps4.xml><?xml version="1.0" encoding="utf-8"?>
<ds:datastoreItem xmlns:ds="http://schemas.openxmlformats.org/officeDocument/2006/customXml" ds:itemID="{91BC434D-F386-4E29-BDB7-03751F714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5</Pages>
  <Words>1240</Words>
  <Characters>7506</Characters>
  <Application>Microsoft Office Word</Application>
  <DocSecurity>0</DocSecurity>
  <Lines>258</Lines>
  <Paragraphs>198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20</cp:revision>
  <cp:lastPrinted>2018-10-22T22:41:00Z</cp:lastPrinted>
  <dcterms:created xsi:type="dcterms:W3CDTF">2019-08-22T04:32:00Z</dcterms:created>
  <dcterms:modified xsi:type="dcterms:W3CDTF">2026-01-08T23:35:00Z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2025-12-22T05:10:17Z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585d43c7-3744-41a0-843e-e75f00124541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