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sdt>
      <w:sdtPr>
        <w:rPr>
          <w:rFonts w:ascii="Arial" w:hAnsi="Arial" w:cs="Arial"/>
        </w:rPr>
        <w:alias w:val="NameofChemical"/>
        <w:tag w:val="NameofChemical"/>
        <w:id w:val="1425919599"/>
        <w:lock w:val="sdtLocked"/>
        <w:placeholder>
          <w:docPart w:val="CE1736E50B02464986D1BEC8B7ACDE96"/>
        </w:placeholder>
        <w:text/>
      </w:sdtPr>
      <w:sdtEndPr/>
      <w:sdtContent>
        <w:p w14:paraId="3C58BF8D" w14:textId="431DA3D8" w:rsidR="00BD499F" w:rsidRPr="004C23F4" w:rsidRDefault="00DA2DFF" w:rsidP="00B40C60">
          <w:pPr>
            <w:pStyle w:val="Heading1"/>
            <w:jc w:val="center"/>
            <w:rPr>
              <w:rFonts w:ascii="Arial" w:hAnsi="Arial" w:cs="Arial"/>
            </w:rPr>
          </w:pPr>
          <w:r w:rsidRPr="00DA2DFF">
            <w:rPr>
              <w:rFonts w:ascii="Arial" w:hAnsi="Arial" w:cs="Arial"/>
            </w:rPr>
            <w:t>Dinitro-o-cresol</w:t>
          </w:r>
        </w:p>
      </w:sdtContent>
    </w:sdt>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Table"/>
        <w:tblDescription w:val="Chemical description details form"/>
      </w:tblPr>
      <w:tblGrid>
        <w:gridCol w:w="3985"/>
        <w:gridCol w:w="5041"/>
      </w:tblGrid>
      <w:tr w:rsidR="00F43AD5" w:rsidRPr="004C23F4" w14:paraId="624E96D8" w14:textId="77777777" w:rsidTr="00B76A41">
        <w:trPr>
          <w:cantSplit/>
          <w:tblHeader/>
        </w:trPr>
        <w:tc>
          <w:tcPr>
            <w:tcW w:w="4077" w:type="dxa"/>
          </w:tcPr>
          <w:p w14:paraId="33B96136" w14:textId="77777777" w:rsidR="00F43AD5" w:rsidRPr="00921DE7" w:rsidRDefault="00CB1CB1" w:rsidP="00B76A41">
            <w:pPr>
              <w:pStyle w:val="Tablerowright"/>
            </w:pPr>
            <w:r w:rsidRPr="00921DE7">
              <w:t>CAS number:</w:t>
            </w:r>
          </w:p>
        </w:tc>
        <w:tc>
          <w:tcPr>
            <w:tcW w:w="5165" w:type="dxa"/>
          </w:tcPr>
          <w:p w14:paraId="69D3180D" w14:textId="0805906D" w:rsidR="00F43AD5" w:rsidRPr="00717D45" w:rsidRDefault="00DA2DFF" w:rsidP="00B76A41">
            <w:pPr>
              <w:pStyle w:val="Tablefont"/>
            </w:pPr>
            <w:r w:rsidRPr="00DA2DFF">
              <w:t>534-52-1</w:t>
            </w:r>
          </w:p>
        </w:tc>
      </w:tr>
      <w:tr w:rsidR="00F43AD5" w:rsidRPr="001342A2" w14:paraId="40B2C3F6" w14:textId="77777777" w:rsidTr="00B76A41">
        <w:trPr>
          <w:cantSplit/>
        </w:trPr>
        <w:tc>
          <w:tcPr>
            <w:tcW w:w="4077" w:type="dxa"/>
          </w:tcPr>
          <w:p w14:paraId="7BFDBA6D" w14:textId="77777777" w:rsidR="00F43AD5" w:rsidRPr="00921DE7" w:rsidRDefault="00CB1CB1" w:rsidP="00B76A41">
            <w:pPr>
              <w:pStyle w:val="Tablerowright"/>
            </w:pPr>
            <w:r w:rsidRPr="00921DE7">
              <w:t>Synonyms:</w:t>
            </w:r>
          </w:p>
        </w:tc>
        <w:tc>
          <w:tcPr>
            <w:tcW w:w="5165" w:type="dxa"/>
          </w:tcPr>
          <w:p w14:paraId="4FE5DF42" w14:textId="128AF0E9" w:rsidR="00F43AD5" w:rsidRPr="001342A2" w:rsidRDefault="00DA2DFF" w:rsidP="00B76A41">
            <w:pPr>
              <w:pStyle w:val="Tablefont"/>
              <w:rPr>
                <w:lang w:val="it-IT"/>
              </w:rPr>
            </w:pPr>
            <w:r w:rsidRPr="001342A2">
              <w:rPr>
                <w:lang w:val="it-IT"/>
              </w:rPr>
              <w:t xml:space="preserve">DNOC, </w:t>
            </w:r>
            <w:r w:rsidR="003C69DE" w:rsidRPr="001342A2">
              <w:rPr>
                <w:lang w:val="it-IT"/>
              </w:rPr>
              <w:t>2-m</w:t>
            </w:r>
            <w:r w:rsidRPr="001342A2">
              <w:rPr>
                <w:lang w:val="it-IT"/>
              </w:rPr>
              <w:t>ethyl-4,6-dinitrophenol</w:t>
            </w:r>
            <w:r w:rsidR="003C69DE" w:rsidRPr="001342A2">
              <w:rPr>
                <w:lang w:val="it-IT"/>
              </w:rPr>
              <w:t>, 4,6-d</w:t>
            </w:r>
            <w:r w:rsidRPr="001342A2">
              <w:rPr>
                <w:lang w:val="it-IT"/>
              </w:rPr>
              <w:t>intro-o-cresol</w:t>
            </w:r>
          </w:p>
        </w:tc>
      </w:tr>
      <w:tr w:rsidR="00F43AD5" w:rsidRPr="004C23F4" w14:paraId="03167034" w14:textId="77777777" w:rsidTr="00B76A41">
        <w:trPr>
          <w:cantSplit/>
        </w:trPr>
        <w:tc>
          <w:tcPr>
            <w:tcW w:w="4077" w:type="dxa"/>
          </w:tcPr>
          <w:p w14:paraId="25149E2B" w14:textId="77777777" w:rsidR="00F43AD5" w:rsidRPr="00921DE7" w:rsidRDefault="00CB1CB1" w:rsidP="00B76A41">
            <w:pPr>
              <w:pStyle w:val="Tablerowright"/>
            </w:pPr>
            <w:r w:rsidRPr="00921DE7">
              <w:t>Chemical formula:</w:t>
            </w:r>
          </w:p>
        </w:tc>
        <w:tc>
          <w:tcPr>
            <w:tcW w:w="5165" w:type="dxa"/>
          </w:tcPr>
          <w:p w14:paraId="23049D62" w14:textId="5114A594" w:rsidR="00F43AD5" w:rsidRPr="00717D45" w:rsidRDefault="00DA2DFF" w:rsidP="00B76A41">
            <w:pPr>
              <w:pStyle w:val="Tablefont"/>
            </w:pPr>
            <w:proofErr w:type="spellStart"/>
            <w:r>
              <w:t>C</w:t>
            </w:r>
            <w:r w:rsidRPr="00DA2DFF">
              <w:rPr>
                <w:vertAlign w:val="subscript"/>
              </w:rPr>
              <w:t>7</w:t>
            </w:r>
            <w:r>
              <w:t>H</w:t>
            </w:r>
            <w:r w:rsidRPr="00DA2DFF">
              <w:rPr>
                <w:vertAlign w:val="subscript"/>
              </w:rPr>
              <w:t>6</w:t>
            </w:r>
            <w:r>
              <w:t>N</w:t>
            </w:r>
            <w:r w:rsidRPr="00DA2DFF">
              <w:rPr>
                <w:vertAlign w:val="subscript"/>
              </w:rPr>
              <w:t>2</w:t>
            </w:r>
            <w:r>
              <w:t>O</w:t>
            </w:r>
            <w:r w:rsidRPr="00DA2DFF">
              <w:rPr>
                <w:vertAlign w:val="subscript"/>
              </w:rPr>
              <w:t>5</w:t>
            </w:r>
            <w:proofErr w:type="spellEnd"/>
          </w:p>
        </w:tc>
      </w:tr>
      <w:tr w:rsidR="00F43AD5" w:rsidRPr="004C23F4" w14:paraId="23EE4A26" w14:textId="77777777" w:rsidTr="00B76A41">
        <w:trPr>
          <w:cantSplit/>
        </w:trPr>
        <w:tc>
          <w:tcPr>
            <w:tcW w:w="4077" w:type="dxa"/>
          </w:tcPr>
          <w:p w14:paraId="0EDB25D4" w14:textId="77777777" w:rsidR="00F43AD5" w:rsidRPr="00921DE7" w:rsidRDefault="00CB1CB1" w:rsidP="00B76A41">
            <w:pPr>
              <w:pStyle w:val="Tablerowright"/>
            </w:pPr>
            <w:r w:rsidRPr="00921DE7">
              <w:t>Structural formula:</w:t>
            </w:r>
          </w:p>
        </w:tc>
        <w:tc>
          <w:tcPr>
            <w:tcW w:w="5165" w:type="dxa"/>
          </w:tcPr>
          <w:p w14:paraId="0846EC92" w14:textId="43A6F499" w:rsidR="00F43AD5" w:rsidRPr="0073235F" w:rsidRDefault="00DA2DFF" w:rsidP="00B76A41">
            <w:pPr>
              <w:pStyle w:val="Tablerowheading"/>
              <w:rPr>
                <w:b w:val="0"/>
              </w:rPr>
            </w:pPr>
            <w:r w:rsidRPr="0089712B">
              <w:rPr>
                <w:b w:val="0"/>
              </w:rPr>
              <w:t>—</w:t>
            </w:r>
          </w:p>
        </w:tc>
      </w:tr>
    </w:tbl>
    <w:p w14:paraId="079F549F" w14:textId="0E84DA57" w:rsidR="00AE2745" w:rsidRDefault="00AE2745" w:rsidP="00AE2745">
      <w:pPr>
        <w:pStyle w:val="WES"/>
        <w:tabs>
          <w:tab w:val="left" w:pos="2041"/>
        </w:tabs>
      </w:pPr>
      <w:r>
        <w:tab/>
      </w:r>
      <w:r w:rsidRPr="002C58FF">
        <w:t xml:space="preserve">Workplace </w:t>
      </w:r>
      <w:r>
        <w:t>exposure s</w:t>
      </w:r>
      <w:r w:rsidRPr="002C58FF">
        <w:t xml:space="preserve">tandard </w:t>
      </w:r>
      <w:sdt>
        <w:sdtPr>
          <w:rPr>
            <w:rStyle w:val="WESstatus"/>
          </w:rPr>
          <w:id w:val="-1336530191"/>
          <w:placeholder>
            <w:docPart w:val="E23B83A762C94EBA8097A4DA3FB4D503"/>
          </w:placeholder>
          <w:comboBox>
            <w:listItem w:displayText="(amended)" w:value="(amended)"/>
            <w:listItem w:displayText="(interim)" w:value="(interim)"/>
            <w:listItem w:displayText="(new)" w:value="(new)"/>
            <w:listItem w:displayText="(retained)" w:value="(retained)"/>
          </w:comboBox>
        </w:sdtPr>
        <w:sdtEndPr>
          <w:rPr>
            <w:rStyle w:val="WESstatus"/>
          </w:rPr>
        </w:sdtEndPr>
        <w:sdtContent>
          <w:r w:rsidR="00910AD2">
            <w:rPr>
              <w:rStyle w:val="WESstatus"/>
            </w:rPr>
            <w:t>(retained)</w:t>
          </w:r>
        </w:sdtContent>
      </w:sdt>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Table"/>
        <w:tblDescription w:val="Chemical description details form"/>
      </w:tblPr>
      <w:tblGrid>
        <w:gridCol w:w="4005"/>
        <w:gridCol w:w="5021"/>
      </w:tblGrid>
      <w:tr w:rsidR="002C7AFE" w:rsidRPr="004C23F4" w14:paraId="5761A419" w14:textId="77777777" w:rsidTr="009C746E">
        <w:trPr>
          <w:cantSplit/>
          <w:tblHeader/>
        </w:trPr>
        <w:tc>
          <w:tcPr>
            <w:tcW w:w="4005" w:type="dxa"/>
            <w:vAlign w:val="center"/>
          </w:tcPr>
          <w:p w14:paraId="067E0FD0" w14:textId="77777777" w:rsidR="002C7AFE" w:rsidRPr="002C58FF" w:rsidRDefault="00921DE7" w:rsidP="00921DE7">
            <w:pPr>
              <w:pStyle w:val="Tablerowright"/>
            </w:pPr>
            <w:r>
              <w:t>TWA:</w:t>
            </w:r>
          </w:p>
        </w:tc>
        <w:tc>
          <w:tcPr>
            <w:tcW w:w="5021" w:type="dxa"/>
          </w:tcPr>
          <w:p w14:paraId="2D314CF2" w14:textId="084A1585" w:rsidR="002C7AFE" w:rsidRPr="00910AD2" w:rsidRDefault="00910AD2" w:rsidP="00017C82">
            <w:pPr>
              <w:pStyle w:val="Tablefont"/>
              <w:rPr>
                <w:b/>
                <w:vertAlign w:val="superscript"/>
              </w:rPr>
            </w:pPr>
            <w:r>
              <w:rPr>
                <w:b/>
              </w:rPr>
              <w:t>0.2 mg/</w:t>
            </w:r>
            <w:proofErr w:type="spellStart"/>
            <w:r>
              <w:rPr>
                <w:b/>
              </w:rPr>
              <w:t>m</w:t>
            </w:r>
            <w:r>
              <w:rPr>
                <w:b/>
                <w:vertAlign w:val="superscript"/>
              </w:rPr>
              <w:t>3</w:t>
            </w:r>
            <w:proofErr w:type="spellEnd"/>
          </w:p>
        </w:tc>
      </w:tr>
      <w:tr w:rsidR="002C7AFE" w:rsidRPr="004C23F4" w14:paraId="512119C5" w14:textId="77777777" w:rsidTr="009C746E">
        <w:trPr>
          <w:cantSplit/>
        </w:trPr>
        <w:tc>
          <w:tcPr>
            <w:tcW w:w="4005" w:type="dxa"/>
            <w:vAlign w:val="center"/>
          </w:tcPr>
          <w:p w14:paraId="57E13829" w14:textId="77777777" w:rsidR="002C7AFE" w:rsidRPr="002C58FF" w:rsidRDefault="002C7AFE" w:rsidP="00921DE7">
            <w:pPr>
              <w:pStyle w:val="Tablerowright"/>
            </w:pPr>
            <w:r w:rsidRPr="002C58FF">
              <w:t>STEL</w:t>
            </w:r>
            <w:r w:rsidR="00921DE7">
              <w:t>:</w:t>
            </w:r>
          </w:p>
        </w:tc>
        <w:tc>
          <w:tcPr>
            <w:tcW w:w="5021" w:type="dxa"/>
          </w:tcPr>
          <w:p w14:paraId="76345801" w14:textId="30223633" w:rsidR="002C7AFE" w:rsidRPr="00EB3D1B" w:rsidRDefault="0073235F" w:rsidP="00017C82">
            <w:pPr>
              <w:pStyle w:val="Tablefont"/>
              <w:rPr>
                <w:b/>
              </w:rPr>
            </w:pPr>
            <w:r>
              <w:rPr>
                <w:b/>
              </w:rPr>
              <w:t>—</w:t>
            </w:r>
          </w:p>
        </w:tc>
      </w:tr>
      <w:tr w:rsidR="002C7AFE" w:rsidRPr="004C23F4" w14:paraId="6469797E" w14:textId="77777777" w:rsidTr="009C746E">
        <w:trPr>
          <w:cantSplit/>
        </w:trPr>
        <w:tc>
          <w:tcPr>
            <w:tcW w:w="4005" w:type="dxa"/>
            <w:vAlign w:val="center"/>
          </w:tcPr>
          <w:p w14:paraId="7DE67AB2" w14:textId="77777777" w:rsidR="002C7AFE" w:rsidRPr="002C58FF" w:rsidRDefault="00921DE7" w:rsidP="00921DE7">
            <w:pPr>
              <w:pStyle w:val="Tablerowright"/>
            </w:pPr>
            <w:r>
              <w:t>Peak limitation:</w:t>
            </w:r>
          </w:p>
        </w:tc>
        <w:tc>
          <w:tcPr>
            <w:tcW w:w="5021" w:type="dxa"/>
          </w:tcPr>
          <w:p w14:paraId="0DFE0098" w14:textId="29D582F8" w:rsidR="002C7AFE" w:rsidRPr="00EB3D1B" w:rsidRDefault="0089712B" w:rsidP="00017C82">
            <w:pPr>
              <w:pStyle w:val="Tablefont"/>
              <w:rPr>
                <w:b/>
              </w:rPr>
            </w:pPr>
            <w:r>
              <w:rPr>
                <w:b/>
              </w:rPr>
              <w:t xml:space="preserve">Sk., </w:t>
            </w:r>
            <w:proofErr w:type="spellStart"/>
            <w:r>
              <w:rPr>
                <w:b/>
              </w:rPr>
              <w:t>DSEN</w:t>
            </w:r>
            <w:proofErr w:type="spellEnd"/>
          </w:p>
        </w:tc>
      </w:tr>
      <w:tr w:rsidR="002C7AFE" w:rsidRPr="004C23F4" w14:paraId="7808ADD4" w14:textId="77777777" w:rsidTr="009C746E">
        <w:trPr>
          <w:cantSplit/>
        </w:trPr>
        <w:tc>
          <w:tcPr>
            <w:tcW w:w="4005" w:type="dxa"/>
          </w:tcPr>
          <w:p w14:paraId="3D66D268" w14:textId="77777777" w:rsidR="002C7AFE" w:rsidRPr="002C58FF" w:rsidRDefault="00A2073D" w:rsidP="003241A8">
            <w:pPr>
              <w:pStyle w:val="Tablerowright"/>
            </w:pPr>
            <w:r>
              <w:rPr>
                <w:b w:val="0"/>
                <w:bCs/>
                <w:color w:val="000000" w:themeColor="text1"/>
              </w:rPr>
              <w:tab/>
            </w:r>
            <w:r w:rsidR="00921DE7" w:rsidRPr="003241A8">
              <w:t>Notations</w:t>
            </w:r>
            <w:r w:rsidR="00921DE7">
              <w:t>:</w:t>
            </w:r>
          </w:p>
        </w:tc>
        <w:tc>
          <w:tcPr>
            <w:tcW w:w="5021" w:type="dxa"/>
          </w:tcPr>
          <w:p w14:paraId="2CA2AE62" w14:textId="3B1AA1F1" w:rsidR="002C7AFE" w:rsidRPr="00EB3D1B" w:rsidRDefault="0073235F" w:rsidP="008A36CF">
            <w:pPr>
              <w:pStyle w:val="Tablefont"/>
              <w:rPr>
                <w:b/>
              </w:rPr>
            </w:pPr>
            <w:r>
              <w:rPr>
                <w:b/>
              </w:rPr>
              <w:t>—</w:t>
            </w:r>
          </w:p>
        </w:tc>
      </w:tr>
      <w:tr w:rsidR="002C7AFE" w:rsidRPr="004C23F4" w14:paraId="13018108" w14:textId="77777777" w:rsidTr="009C746E">
        <w:trPr>
          <w:cantSplit/>
        </w:trPr>
        <w:tc>
          <w:tcPr>
            <w:tcW w:w="4005" w:type="dxa"/>
            <w:vAlign w:val="center"/>
          </w:tcPr>
          <w:p w14:paraId="0001A21E" w14:textId="77777777" w:rsidR="00F10C97" w:rsidRPr="002C58FF" w:rsidRDefault="00921DE7" w:rsidP="009F04D2">
            <w:pPr>
              <w:pStyle w:val="Tablerowright"/>
            </w:pPr>
            <w:proofErr w:type="spellStart"/>
            <w:r>
              <w:t>IDLH</w:t>
            </w:r>
            <w:proofErr w:type="spellEnd"/>
            <w:r>
              <w:t>:</w:t>
            </w:r>
          </w:p>
        </w:tc>
        <w:tc>
          <w:tcPr>
            <w:tcW w:w="5021" w:type="dxa"/>
          </w:tcPr>
          <w:p w14:paraId="59B5155D" w14:textId="0B43C719" w:rsidR="002C7AFE" w:rsidRPr="00EB3D1B" w:rsidRDefault="00DA2DFF" w:rsidP="00017C82">
            <w:pPr>
              <w:pStyle w:val="Tablefont"/>
              <w:rPr>
                <w:b/>
              </w:rPr>
            </w:pPr>
            <w:r>
              <w:rPr>
                <w:b/>
              </w:rPr>
              <w:t>5 mg/</w:t>
            </w:r>
            <w:proofErr w:type="spellStart"/>
            <w:r>
              <w:rPr>
                <w:b/>
              </w:rPr>
              <w:t>m</w:t>
            </w:r>
            <w:r w:rsidRPr="00DA2DFF">
              <w:rPr>
                <w:b/>
                <w:vertAlign w:val="superscript"/>
              </w:rPr>
              <w:t>3</w:t>
            </w:r>
            <w:proofErr w:type="spellEnd"/>
          </w:p>
        </w:tc>
      </w:tr>
      <w:tr w:rsidR="009C746E" w:rsidRPr="004C23F4" w14:paraId="3D658320" w14:textId="77777777" w:rsidTr="00ED25B7">
        <w:trPr>
          <w:cantSplit/>
        </w:trPr>
        <w:tc>
          <w:tcPr>
            <w:tcW w:w="9026" w:type="dxa"/>
            <w:gridSpan w:val="2"/>
            <w:vAlign w:val="center"/>
          </w:tcPr>
          <w:p w14:paraId="495AD9E2" w14:textId="2AC720E7" w:rsidR="009C746E" w:rsidRPr="00EB3D1B" w:rsidRDefault="009C746E" w:rsidP="00017C82">
            <w:pPr>
              <w:pStyle w:val="Tablefont"/>
              <w:rPr>
                <w:b/>
              </w:rPr>
            </w:pPr>
            <w:r w:rsidRPr="00C9508E">
              <w:rPr>
                <w:b/>
              </w:rPr>
              <w:t>Sampling and analysis:</w:t>
            </w:r>
            <w:r w:rsidRPr="00EC521E">
              <w:rPr>
                <w:rStyle w:val="WESstatus"/>
                <w:color w:val="auto"/>
              </w:rPr>
              <w:t xml:space="preserve"> </w:t>
            </w:r>
            <w:sdt>
              <w:sdtPr>
                <w:rPr>
                  <w:rStyle w:val="WESstatus"/>
                  <w:color w:val="auto"/>
                </w:rPr>
                <w:id w:val="-2105258949"/>
                <w:placeholder>
                  <w:docPart w:val="BA85BA3CA0604014A6C0ADF767CCFB6C"/>
                </w:placeholder>
                <w:comboBox>
                  <w:listItem w:displayText="(Click here to enter)" w:value="(Click here to enter)"/>
                  <w:listItem w:displayText="The recommended value is likely to be below the current limit of detection for standard sampling and analysis techniques." w:value="The recommended value is likely to be below the current limit of detection for standard sampling and analysis techniques."/>
                  <w:listItem w:displayText="The recommended value is quantifiable through available sampling and analysis techniques. " w:value="The recommended value is quantifiable through available sampling and analysis techniques. "/>
                  <w:listItem w:displayText="There is uncertainty regarding quantification of the recommended value with available sampling and/or analysis techniques." w:value="There is uncertainty regarding quantification of the recommended value with available sampling and/or analysis techniques."/>
                </w:comboBox>
              </w:sdtPr>
              <w:sdtEndPr>
                <w:rPr>
                  <w:rStyle w:val="WESstatus"/>
                </w:rPr>
              </w:sdtEndPr>
              <w:sdtContent>
                <w:r>
                  <w:rPr>
                    <w:rStyle w:val="WESstatus"/>
                    <w:color w:val="auto"/>
                  </w:rPr>
                  <w:t xml:space="preserve">The recommended value is quantifiable through available sampling and analysis techniques. </w:t>
                </w:r>
              </w:sdtContent>
            </w:sdt>
          </w:p>
        </w:tc>
      </w:tr>
    </w:tbl>
    <w:p w14:paraId="7A643C29" w14:textId="77777777" w:rsidR="00CB1CB1" w:rsidRPr="003365A5" w:rsidRDefault="00F10C97" w:rsidP="003365A5">
      <w:pPr>
        <w:pStyle w:val="Heading2"/>
      </w:pPr>
      <w:r>
        <w:t>Recommendation and basis for workplace exposure standard</w:t>
      </w:r>
    </w:p>
    <w:p w14:paraId="7264F36B" w14:textId="1C58A8C5" w:rsidR="006639B4" w:rsidRPr="00910AD2" w:rsidRDefault="00910AD2" w:rsidP="000C139A">
      <w:pPr>
        <w:rPr>
          <w:rFonts w:cs="Arial"/>
        </w:rPr>
      </w:pPr>
      <w:r>
        <w:rPr>
          <w:rFonts w:cs="Arial"/>
        </w:rPr>
        <w:t xml:space="preserve">The </w:t>
      </w:r>
      <w:r w:rsidR="001342A2">
        <w:rPr>
          <w:rFonts w:cs="Arial"/>
        </w:rPr>
        <w:t xml:space="preserve">current </w:t>
      </w:r>
      <w:r>
        <w:rPr>
          <w:rFonts w:cs="Arial"/>
        </w:rPr>
        <w:t>TWA of 0.2 mg/</w:t>
      </w:r>
      <w:proofErr w:type="spellStart"/>
      <w:r>
        <w:rPr>
          <w:rFonts w:cs="Arial"/>
        </w:rPr>
        <w:t>m</w:t>
      </w:r>
      <w:r>
        <w:rPr>
          <w:rFonts w:cs="Arial"/>
          <w:vertAlign w:val="superscript"/>
        </w:rPr>
        <w:t>3</w:t>
      </w:r>
      <w:proofErr w:type="spellEnd"/>
      <w:r>
        <w:rPr>
          <w:rFonts w:cs="Arial"/>
        </w:rPr>
        <w:t xml:space="preserve"> is recommended to protect for the accumulation</w:t>
      </w:r>
      <w:r w:rsidR="00A2511F">
        <w:rPr>
          <w:rFonts w:cs="Arial"/>
        </w:rPr>
        <w:t xml:space="preserve"> of dinitro-o-cresol</w:t>
      </w:r>
      <w:r>
        <w:rPr>
          <w:rFonts w:cs="Arial"/>
        </w:rPr>
        <w:t xml:space="preserve"> in </w:t>
      </w:r>
      <w:r w:rsidR="00A2511F">
        <w:rPr>
          <w:rFonts w:cs="Arial"/>
        </w:rPr>
        <w:t xml:space="preserve">the </w:t>
      </w:r>
      <w:r>
        <w:rPr>
          <w:rFonts w:cs="Arial"/>
        </w:rPr>
        <w:t xml:space="preserve">blood and </w:t>
      </w:r>
      <w:r w:rsidR="00A2511F">
        <w:t>the disruption</w:t>
      </w:r>
      <w:r>
        <w:t xml:space="preserve"> of metabolic processes and </w:t>
      </w:r>
      <w:r w:rsidR="00A2511F">
        <w:t xml:space="preserve">metabolic </w:t>
      </w:r>
      <w:r>
        <w:t>rate that can lead to elevated body temperature, headache and malaise</w:t>
      </w:r>
      <w:r w:rsidR="009C746E">
        <w:t xml:space="preserve"> in exposed workers</w:t>
      </w:r>
      <w:r>
        <w:t>.</w:t>
      </w:r>
    </w:p>
    <w:p w14:paraId="25DB39E6" w14:textId="77777777" w:rsidR="00C7155E" w:rsidRPr="004C23F4" w:rsidRDefault="00F10C97" w:rsidP="003365A5">
      <w:pPr>
        <w:pStyle w:val="Heading2"/>
      </w:pPr>
      <w:r>
        <w:t>Discussion and conclusions</w:t>
      </w:r>
    </w:p>
    <w:p w14:paraId="761D786D" w14:textId="77777777" w:rsidR="00285E59" w:rsidRDefault="00910AD2" w:rsidP="00910AD2">
      <w:r>
        <w:t>Dinitro-o-cresol (</w:t>
      </w:r>
      <w:proofErr w:type="spellStart"/>
      <w:r>
        <w:t>DNOC</w:t>
      </w:r>
      <w:proofErr w:type="spellEnd"/>
      <w:r>
        <w:t xml:space="preserve">) is used as </w:t>
      </w:r>
      <w:proofErr w:type="gramStart"/>
      <w:r>
        <w:t>a</w:t>
      </w:r>
      <w:proofErr w:type="gramEnd"/>
      <w:r>
        <w:t xml:space="preserve"> herbicide and insecticide and is a cumulative poison in humans that is absorbed through the skin. </w:t>
      </w:r>
    </w:p>
    <w:p w14:paraId="352B117B" w14:textId="11817C01" w:rsidR="00910AD2" w:rsidRDefault="00E21929" w:rsidP="00910AD2">
      <w:r>
        <w:t>Limited toxicological data exists</w:t>
      </w:r>
      <w:r w:rsidR="001342A2">
        <w:t>.</w:t>
      </w:r>
      <w:r w:rsidR="009C746E">
        <w:t xml:space="preserve"> </w:t>
      </w:r>
      <w:r w:rsidR="001342A2">
        <w:t>C</w:t>
      </w:r>
      <w:r w:rsidR="009C746E">
        <w:t>ritical effects include metabolic processes and hyperpyrexia.</w:t>
      </w:r>
      <w:r w:rsidR="00285E59">
        <w:t xml:space="preserve"> </w:t>
      </w:r>
      <w:r w:rsidR="00910AD2">
        <w:t xml:space="preserve">There </w:t>
      </w:r>
      <w:r w:rsidR="00285E59">
        <w:t xml:space="preserve">are </w:t>
      </w:r>
      <w:r w:rsidR="00910AD2">
        <w:t xml:space="preserve">reports of death from exposure in manufacturing of </w:t>
      </w:r>
      <w:proofErr w:type="spellStart"/>
      <w:r w:rsidR="00910AD2">
        <w:t>DNOC</w:t>
      </w:r>
      <w:proofErr w:type="spellEnd"/>
      <w:r w:rsidR="00910AD2">
        <w:t xml:space="preserve"> and in </w:t>
      </w:r>
      <w:r w:rsidR="001342A2">
        <w:t xml:space="preserve">agricultural </w:t>
      </w:r>
      <w:r w:rsidR="00910AD2">
        <w:t>workers.</w:t>
      </w:r>
      <w:r w:rsidR="004E16AB">
        <w:t xml:space="preserve"> </w:t>
      </w:r>
      <w:r w:rsidR="00910AD2">
        <w:t>Symptoms of poisoning include emesis and headache, jaundiced skin, especially on the limbs, tachypnoea, weak heartbeat and severe general depression. Industrial reports noted non-fatal intoxication from exposure to 4.7 mg/</w:t>
      </w:r>
      <w:proofErr w:type="spellStart"/>
      <w:r w:rsidR="00910AD2">
        <w:t>m</w:t>
      </w:r>
      <w:r w:rsidR="00910AD2">
        <w:rPr>
          <w:vertAlign w:val="superscript"/>
        </w:rPr>
        <w:t>3</w:t>
      </w:r>
      <w:proofErr w:type="spellEnd"/>
      <w:r w:rsidR="00910AD2">
        <w:t xml:space="preserve"> with no difficulties reported in workers at 2.5 mg/</w:t>
      </w:r>
      <w:proofErr w:type="spellStart"/>
      <w:r w:rsidR="00910AD2">
        <w:t>m</w:t>
      </w:r>
      <w:r w:rsidR="00910AD2">
        <w:rPr>
          <w:vertAlign w:val="superscript"/>
        </w:rPr>
        <w:t>3</w:t>
      </w:r>
      <w:proofErr w:type="spellEnd"/>
      <w:r w:rsidR="00910AD2" w:rsidRPr="0089712B">
        <w:rPr>
          <w:vertAlign w:val="superscript"/>
        </w:rPr>
        <w:t xml:space="preserve"> </w:t>
      </w:r>
      <w:r w:rsidR="00910AD2">
        <w:t>(</w:t>
      </w:r>
      <w:proofErr w:type="spellStart"/>
      <w:r w:rsidR="00910AD2">
        <w:t>ACGIH</w:t>
      </w:r>
      <w:proofErr w:type="spellEnd"/>
      <w:r w:rsidR="00910AD2">
        <w:t>,</w:t>
      </w:r>
      <w:r w:rsidR="00F426CF">
        <w:t> </w:t>
      </w:r>
      <w:r w:rsidR="00910AD2">
        <w:t>2018).</w:t>
      </w:r>
    </w:p>
    <w:p w14:paraId="048D9E7F" w14:textId="3A9435AB" w:rsidR="00A2511F" w:rsidRDefault="001342A2" w:rsidP="00A2511F">
      <w:r>
        <w:t>The current</w:t>
      </w:r>
      <w:r w:rsidRPr="00A2511F">
        <w:t xml:space="preserve"> </w:t>
      </w:r>
      <w:r w:rsidR="00A2511F" w:rsidRPr="00A2511F">
        <w:t xml:space="preserve">TWA of </w:t>
      </w:r>
      <w:r w:rsidR="00A2511F">
        <w:t>0.</w:t>
      </w:r>
      <w:r w:rsidR="00A2511F" w:rsidRPr="00A2511F">
        <w:t xml:space="preserve">2 </w:t>
      </w:r>
      <w:r w:rsidR="00A2511F">
        <w:t>mg/</w:t>
      </w:r>
      <w:proofErr w:type="spellStart"/>
      <w:r w:rsidR="00A2511F">
        <w:t>m</w:t>
      </w:r>
      <w:r w:rsidR="00A2511F">
        <w:rPr>
          <w:vertAlign w:val="superscript"/>
        </w:rPr>
        <w:t>3</w:t>
      </w:r>
      <w:proofErr w:type="spellEnd"/>
      <w:r w:rsidR="00A2511F">
        <w:t xml:space="preserve"> </w:t>
      </w:r>
      <w:r w:rsidR="00A2511F" w:rsidRPr="00A2511F">
        <w:t>is recommended</w:t>
      </w:r>
      <w:r w:rsidR="00C14340">
        <w:t>;</w:t>
      </w:r>
      <w:r w:rsidR="00A2511F" w:rsidRPr="00A2511F">
        <w:t xml:space="preserve"> based on the weight of evidence presented it is considered protective for </w:t>
      </w:r>
      <w:r w:rsidR="00A2511F">
        <w:t>metabolic related</w:t>
      </w:r>
      <w:r w:rsidR="00A2511F" w:rsidRPr="00A2511F">
        <w:t xml:space="preserve"> effects reported in</w:t>
      </w:r>
      <w:r w:rsidR="00A2511F">
        <w:t xml:space="preserve"> workers.</w:t>
      </w:r>
      <w:r w:rsidR="00A2511F" w:rsidRPr="00A2511F">
        <w:t xml:space="preserve"> </w:t>
      </w:r>
    </w:p>
    <w:p w14:paraId="14E9E307" w14:textId="2009AE11" w:rsidR="004529F0" w:rsidRPr="004C23F4" w:rsidRDefault="004529F0" w:rsidP="004529F0">
      <w:pPr>
        <w:pStyle w:val="Heading2"/>
      </w:pPr>
      <w:r>
        <w:t>Recommendation for notations</w:t>
      </w:r>
    </w:p>
    <w:p w14:paraId="1F1FBA23" w14:textId="3DB6A94A" w:rsidR="00DA2DFF" w:rsidRPr="00A70823" w:rsidRDefault="00DA2DFF" w:rsidP="00DA2DFF">
      <w:pPr>
        <w:rPr>
          <w:rFonts w:cs="Arial"/>
        </w:rPr>
      </w:pPr>
      <w:r w:rsidRPr="00A70823">
        <w:rPr>
          <w:rFonts w:cs="Arial"/>
        </w:rPr>
        <w:t>Not classified as a carcinogen according to the Globally Harmonized System of Classification and Labelling o</w:t>
      </w:r>
      <w:r w:rsidR="009C746E">
        <w:rPr>
          <w:rFonts w:cs="Arial"/>
        </w:rPr>
        <w:t>f</w:t>
      </w:r>
      <w:r w:rsidRPr="00A70823">
        <w:rPr>
          <w:rFonts w:cs="Arial"/>
        </w:rPr>
        <w:t xml:space="preserve"> Chemicals (GHS). </w:t>
      </w:r>
    </w:p>
    <w:p w14:paraId="1F34A22A" w14:textId="18DA9C19" w:rsidR="00DA2DFF" w:rsidRPr="00A70823" w:rsidRDefault="00E21929" w:rsidP="00DA2DFF">
      <w:pPr>
        <w:rPr>
          <w:rFonts w:cs="Arial"/>
        </w:rPr>
      </w:pPr>
      <w:r>
        <w:rPr>
          <w:rFonts w:cs="Arial"/>
        </w:rPr>
        <w:t>C</w:t>
      </w:r>
      <w:r w:rsidR="00DA2DFF" w:rsidRPr="00A70823">
        <w:rPr>
          <w:rFonts w:cs="Arial"/>
        </w:rPr>
        <w:t>lassified as a skin</w:t>
      </w:r>
      <w:r w:rsidR="00707B81">
        <w:rPr>
          <w:rFonts w:cs="Arial"/>
        </w:rPr>
        <w:t xml:space="preserve"> </w:t>
      </w:r>
      <w:r w:rsidR="00707B81" w:rsidRPr="00A70823">
        <w:rPr>
          <w:rFonts w:cs="Arial"/>
        </w:rPr>
        <w:t>sensitiser</w:t>
      </w:r>
      <w:r w:rsidR="00DA2DFF" w:rsidRPr="00A70823">
        <w:rPr>
          <w:rFonts w:cs="Arial"/>
        </w:rPr>
        <w:t xml:space="preserve"> </w:t>
      </w:r>
      <w:r w:rsidR="00285E59">
        <w:rPr>
          <w:rFonts w:cs="Arial"/>
        </w:rPr>
        <w:t>and</w:t>
      </w:r>
      <w:r>
        <w:rPr>
          <w:rFonts w:cs="Arial"/>
        </w:rPr>
        <w:t xml:space="preserve"> not a</w:t>
      </w:r>
      <w:r w:rsidRPr="00A70823">
        <w:rPr>
          <w:rFonts w:cs="Arial"/>
        </w:rPr>
        <w:t xml:space="preserve"> respiratory</w:t>
      </w:r>
      <w:r w:rsidR="00DA2DFF" w:rsidRPr="00A70823">
        <w:rPr>
          <w:rFonts w:cs="Arial"/>
        </w:rPr>
        <w:t xml:space="preserve"> sensitiser according to the GHS.</w:t>
      </w:r>
    </w:p>
    <w:p w14:paraId="72CB9E30" w14:textId="207AC8FA" w:rsidR="0025734A" w:rsidRPr="004C23F4" w:rsidRDefault="00910AD2">
      <w:pPr>
        <w:rPr>
          <w:rFonts w:cs="Arial"/>
        </w:rPr>
      </w:pPr>
      <w:r>
        <w:rPr>
          <w:rFonts w:cs="Arial"/>
        </w:rPr>
        <w:t xml:space="preserve">A skin notation is recommended based on evidence </w:t>
      </w:r>
      <w:r w:rsidR="0089712B">
        <w:rPr>
          <w:rFonts w:cs="Arial"/>
        </w:rPr>
        <w:t xml:space="preserve">of </w:t>
      </w:r>
      <w:r w:rsidR="00285E59">
        <w:rPr>
          <w:rFonts w:cs="Arial"/>
        </w:rPr>
        <w:t xml:space="preserve">dermal </w:t>
      </w:r>
      <w:r w:rsidR="0089712B">
        <w:rPr>
          <w:rFonts w:cs="Arial"/>
        </w:rPr>
        <w:t xml:space="preserve">absorption </w:t>
      </w:r>
      <w:r w:rsidR="00285E59">
        <w:rPr>
          <w:rFonts w:cs="Arial"/>
        </w:rPr>
        <w:t xml:space="preserve">and systemic </w:t>
      </w:r>
      <w:r w:rsidR="0089712B">
        <w:rPr>
          <w:rFonts w:cs="Arial"/>
        </w:rPr>
        <w:t xml:space="preserve">effects </w:t>
      </w:r>
      <w:r>
        <w:rPr>
          <w:rFonts w:cs="Arial"/>
        </w:rPr>
        <w:t>in humans.</w:t>
      </w:r>
    </w:p>
    <w:p w14:paraId="07FEE5A9" w14:textId="77777777" w:rsidR="005E6979" w:rsidRPr="004C23F4" w:rsidRDefault="005E6979">
      <w:pPr>
        <w:rPr>
          <w:rFonts w:cs="Arial"/>
        </w:rPr>
        <w:sectPr w:rsidR="005E6979" w:rsidRPr="004C23F4" w:rsidSect="00B479A9">
          <w:headerReference w:type="even" r:id="rId11"/>
          <w:headerReference w:type="default" r:id="rId12"/>
          <w:footerReference w:type="even" r:id="rId13"/>
          <w:footerReference w:type="default" r:id="rId14"/>
          <w:headerReference w:type="first" r:id="rId15"/>
          <w:footerReference w:type="first" r:id="rId16"/>
          <w:pgSz w:w="11906" w:h="16838"/>
          <w:pgMar w:top="1985" w:right="1440" w:bottom="1440" w:left="1440" w:header="708" w:footer="283" w:gutter="0"/>
          <w:cols w:space="708"/>
          <w:docGrid w:linePitch="360"/>
        </w:sectPr>
      </w:pPr>
    </w:p>
    <w:p w14:paraId="58BD3519" w14:textId="77777777" w:rsidR="0034744C" w:rsidRPr="004C23F4" w:rsidRDefault="005E6979" w:rsidP="005E6979">
      <w:pPr>
        <w:pStyle w:val="Heading1"/>
        <w:rPr>
          <w:rFonts w:ascii="Arial" w:hAnsi="Arial" w:cs="Arial"/>
        </w:rPr>
      </w:pPr>
      <w:r w:rsidRPr="004C23F4">
        <w:rPr>
          <w:rFonts w:ascii="Arial" w:hAnsi="Arial" w:cs="Arial"/>
        </w:rPr>
        <w:lastRenderedPageBreak/>
        <w:t>Appendix</w:t>
      </w:r>
    </w:p>
    <w:p w14:paraId="6DAADC77" w14:textId="77777777" w:rsidR="008D026D" w:rsidRPr="003365A5" w:rsidRDefault="00B479A9" w:rsidP="003365A5">
      <w:pPr>
        <w:pStyle w:val="Heading3"/>
      </w:pPr>
      <w:r w:rsidRPr="003365A5">
        <w:t>Primary sources with reports</w:t>
      </w:r>
    </w:p>
    <w:tbl>
      <w:tblPr>
        <w:tblStyle w:val="LightList"/>
        <w:tblW w:w="5008" w:type="pct"/>
        <w:tbl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insideH w:val="none" w:sz="0" w:space="0" w:color="auto"/>
        </w:tblBorders>
        <w:tblLayout w:type="fixed"/>
        <w:tblLook w:val="0600" w:firstRow="0" w:lastRow="0" w:firstColumn="0" w:lastColumn="0" w:noHBand="1" w:noVBand="1"/>
        <w:tblCaption w:val="Table"/>
        <w:tblDescription w:val="Listing primary sources with reports"/>
      </w:tblPr>
      <w:tblGrid>
        <w:gridCol w:w="9006"/>
        <w:gridCol w:w="14"/>
      </w:tblGrid>
      <w:tr w:rsidR="00C978F0" w:rsidRPr="00DA352E" w14:paraId="6C4AF373" w14:textId="77777777" w:rsidTr="00DE26E8">
        <w:trPr>
          <w:gridAfter w:val="1"/>
          <w:wAfter w:w="8" w:type="pct"/>
          <w:cantSplit/>
          <w:trHeight w:val="393"/>
          <w:tblHeader/>
        </w:trPr>
        <w:tc>
          <w:tcPr>
            <w:tcW w:w="4992" w:type="pct"/>
            <w:shd w:val="clear" w:color="auto" w:fill="BFBFBF" w:themeFill="background1" w:themeFillShade="BF"/>
            <w:vAlign w:val="center"/>
          </w:tcPr>
          <w:p w14:paraId="4ED8C002" w14:textId="77777777" w:rsidR="00C978F0" w:rsidRPr="00DA352E" w:rsidRDefault="00C978F0" w:rsidP="00C67FFB">
            <w:pPr>
              <w:pStyle w:val="Tableheader"/>
              <w:tabs>
                <w:tab w:val="left" w:pos="1418"/>
                <w:tab w:val="left" w:pos="2552"/>
                <w:tab w:val="right" w:pos="8489"/>
              </w:tabs>
            </w:pPr>
            <w:r w:rsidRPr="00DA352E">
              <w:t>Source</w:t>
            </w:r>
            <w:r w:rsidR="00DA352E">
              <w:tab/>
              <w:t>Year set</w:t>
            </w:r>
            <w:r w:rsidR="00DA352E">
              <w:tab/>
              <w:t>Standard</w:t>
            </w:r>
            <w:r w:rsidR="00974F2D">
              <w:tab/>
            </w:r>
          </w:p>
        </w:tc>
      </w:tr>
      <w:tr w:rsidR="00DE26E8" w:rsidRPr="003365A5" w14:paraId="1B5AC711" w14:textId="77777777" w:rsidTr="00DE26E8">
        <w:trPr>
          <w:cantSplit/>
        </w:trPr>
        <w:tc>
          <w:tcPr>
            <w:tcW w:w="5000" w:type="pct"/>
            <w:gridSpan w:val="2"/>
            <w:shd w:val="clear" w:color="auto" w:fill="F2F2F2" w:themeFill="background1" w:themeFillShade="F2"/>
          </w:tcPr>
          <w:p w14:paraId="126A841B" w14:textId="647ADC46" w:rsidR="00DE26E8" w:rsidRPr="003365A5" w:rsidRDefault="00DE26E8" w:rsidP="0051509C">
            <w:pPr>
              <w:pStyle w:val="Tablerowheadingitalic"/>
              <w:tabs>
                <w:tab w:val="clear" w:pos="2268"/>
                <w:tab w:val="clear" w:pos="5670"/>
                <w:tab w:val="left" w:pos="1418"/>
                <w:tab w:val="left" w:pos="2552"/>
              </w:tabs>
            </w:pPr>
            <w:r w:rsidRPr="003365A5">
              <w:t>SWA</w:t>
            </w:r>
            <w:r w:rsidRPr="003365A5">
              <w:tab/>
            </w:r>
            <w:sdt>
              <w:sdtPr>
                <w:id w:val="-2034099983"/>
                <w:placeholder>
                  <w:docPart w:val="0A35AF4547E94E219E26BC12DBC33282"/>
                </w:placeholder>
                <w:text/>
              </w:sdtPr>
              <w:sdtEndPr/>
              <w:sdtContent>
                <w:r w:rsidR="00DA2DFF">
                  <w:t>1991</w:t>
                </w:r>
              </w:sdtContent>
            </w:sdt>
            <w:r w:rsidRPr="003365A5">
              <w:tab/>
            </w:r>
            <w:r>
              <w:tab/>
            </w:r>
            <w:sdt>
              <w:sdtPr>
                <w:alias w:val="SWA WES"/>
                <w:tag w:val="SWA WES"/>
                <w:id w:val="857077202"/>
                <w:placeholder>
                  <w:docPart w:val="81CFEC2FDBC5451289F394E66D92D1A0"/>
                </w:placeholder>
              </w:sdtPr>
              <w:sdtEndPr/>
              <w:sdtContent>
                <w:r w:rsidR="00DA2DFF">
                  <w:t>TWA: 0.2 mg/</w:t>
                </w:r>
                <w:proofErr w:type="spellStart"/>
                <w:r w:rsidR="00DA2DFF">
                  <w:t>m</w:t>
                </w:r>
                <w:r w:rsidR="00DA2DFF" w:rsidRPr="00DA2DFF">
                  <w:rPr>
                    <w:vertAlign w:val="superscript"/>
                  </w:rPr>
                  <w:t>3</w:t>
                </w:r>
                <w:proofErr w:type="spellEnd"/>
              </w:sdtContent>
            </w:sdt>
          </w:p>
        </w:tc>
      </w:tr>
      <w:tr w:rsidR="00C978F0" w:rsidRPr="00DA352E" w14:paraId="2F7C6954" w14:textId="77777777" w:rsidTr="00DE26E8">
        <w:trPr>
          <w:gridAfter w:val="1"/>
          <w:wAfter w:w="8" w:type="pct"/>
          <w:cantSplit/>
        </w:trPr>
        <w:tc>
          <w:tcPr>
            <w:tcW w:w="4992" w:type="pct"/>
          </w:tcPr>
          <w:p w14:paraId="0493A70E" w14:textId="77777777" w:rsidR="00C978F0" w:rsidRPr="00DA352E" w:rsidRDefault="00C978F0" w:rsidP="003365A5">
            <w:pPr>
              <w:pStyle w:val="Tabletextprimarysource"/>
            </w:pPr>
          </w:p>
        </w:tc>
      </w:tr>
      <w:tr w:rsidR="00C978F0" w:rsidRPr="00DA352E" w14:paraId="2F0125B6" w14:textId="77777777" w:rsidTr="00DE26E8">
        <w:trPr>
          <w:gridAfter w:val="1"/>
          <w:wAfter w:w="8" w:type="pct"/>
          <w:cantSplit/>
        </w:trPr>
        <w:tc>
          <w:tcPr>
            <w:tcW w:w="4992" w:type="pct"/>
            <w:shd w:val="clear" w:color="auto" w:fill="F2F2F2" w:themeFill="background1" w:themeFillShade="F2"/>
          </w:tcPr>
          <w:p w14:paraId="52E1798E" w14:textId="7B701FDF" w:rsidR="00C978F0" w:rsidRPr="00DA352E" w:rsidRDefault="00DA352E" w:rsidP="0051509C">
            <w:pPr>
              <w:pStyle w:val="Tablerowheadingitalic"/>
              <w:tabs>
                <w:tab w:val="clear" w:pos="2268"/>
                <w:tab w:val="clear" w:pos="5670"/>
                <w:tab w:val="left" w:pos="1418"/>
                <w:tab w:val="left" w:pos="2552"/>
              </w:tabs>
            </w:pPr>
            <w:proofErr w:type="spellStart"/>
            <w:r w:rsidRPr="00DA352E">
              <w:t>ACGIH</w:t>
            </w:r>
            <w:proofErr w:type="spellEnd"/>
            <w:r w:rsidR="00916EC0">
              <w:t xml:space="preserve"> </w:t>
            </w:r>
            <w:r w:rsidR="00916EC0" w:rsidRPr="003365A5">
              <w:tab/>
            </w:r>
            <w:sdt>
              <w:sdtPr>
                <w:id w:val="444816450"/>
                <w:placeholder>
                  <w:docPart w:val="C8FBF9621EB94FE084F687C8955AF85F"/>
                </w:placeholder>
                <w:text/>
              </w:sdtPr>
              <w:sdtEndPr/>
              <w:sdtContent>
                <w:r w:rsidR="00DA2DFF">
                  <w:t>2001</w:t>
                </w:r>
              </w:sdtContent>
            </w:sdt>
            <w:r w:rsidR="00916EC0" w:rsidRPr="003365A5">
              <w:tab/>
            </w:r>
            <w:r w:rsidR="0051509C">
              <w:tab/>
            </w:r>
            <w:sdt>
              <w:sdtPr>
                <w:alias w:val="ACGIH WES equivalent"/>
                <w:tag w:val="ACGIH WES equivalent"/>
                <w:id w:val="-1676410403"/>
                <w:placeholder>
                  <w:docPart w:val="522022AAE76B4622AC0DF750489702EB"/>
                </w:placeholder>
              </w:sdtPr>
              <w:sdtEndPr/>
              <w:sdtContent>
                <w:r w:rsidR="00DA2DFF">
                  <w:t>TLV-TWA: 0.2 mg/</w:t>
                </w:r>
                <w:proofErr w:type="spellStart"/>
                <w:r w:rsidR="00DA2DFF">
                  <w:t>m</w:t>
                </w:r>
                <w:r w:rsidR="00DA2DFF" w:rsidRPr="00DA2DFF">
                  <w:rPr>
                    <w:vertAlign w:val="superscript"/>
                  </w:rPr>
                  <w:t>3</w:t>
                </w:r>
                <w:proofErr w:type="spellEnd"/>
              </w:sdtContent>
            </w:sdt>
          </w:p>
        </w:tc>
      </w:tr>
      <w:tr w:rsidR="00C978F0" w:rsidRPr="00DA352E" w14:paraId="47AD0327" w14:textId="77777777" w:rsidTr="00DE26E8">
        <w:trPr>
          <w:gridAfter w:val="1"/>
          <w:wAfter w:w="8" w:type="pct"/>
          <w:cantSplit/>
        </w:trPr>
        <w:tc>
          <w:tcPr>
            <w:tcW w:w="4992" w:type="pct"/>
          </w:tcPr>
          <w:p w14:paraId="4653AC7C" w14:textId="5AA44FAD" w:rsidR="00C978F0" w:rsidRDefault="00255BE3" w:rsidP="003365A5">
            <w:pPr>
              <w:pStyle w:val="Tabletextprimarysource"/>
            </w:pPr>
            <w:r>
              <w:t>TLV-TWA recommended to minimise the potential for disruption of metabolic processes and rate that can lead to elevated body temperature (hyperpyrexia), headache and malaise</w:t>
            </w:r>
            <w:r w:rsidR="0073235F">
              <w:t>.</w:t>
            </w:r>
          </w:p>
          <w:p w14:paraId="528D1AD4" w14:textId="77777777" w:rsidR="00255BE3" w:rsidRDefault="00255BE3" w:rsidP="003365A5">
            <w:pPr>
              <w:pStyle w:val="Tabletextprimarysource"/>
            </w:pPr>
            <w:r>
              <w:t>Summary of data:</w:t>
            </w:r>
          </w:p>
          <w:p w14:paraId="1F033F4A" w14:textId="2BC19F99" w:rsidR="00255BE3" w:rsidRDefault="00255BE3" w:rsidP="003365A5">
            <w:pPr>
              <w:pStyle w:val="Tabletextprimarysource"/>
            </w:pPr>
            <w:r>
              <w:t>Human data:</w:t>
            </w:r>
          </w:p>
          <w:p w14:paraId="78E967BD" w14:textId="190ED03B" w:rsidR="00285E59" w:rsidRDefault="00255BE3" w:rsidP="00285E59">
            <w:pPr>
              <w:pStyle w:val="ListBullet"/>
              <w:spacing w:before="60" w:after="60"/>
              <w:ind w:left="714" w:hanging="357"/>
              <w:contextualSpacing w:val="0"/>
            </w:pPr>
            <w:r>
              <w:t>Absorbed through the respiratory</w:t>
            </w:r>
            <w:r w:rsidR="00285E59">
              <w:t xml:space="preserve"> system,</w:t>
            </w:r>
            <w:r>
              <w:t xml:space="preserve"> </w:t>
            </w:r>
            <w:r w:rsidR="00285E59">
              <w:t>GIT</w:t>
            </w:r>
            <w:r>
              <w:t xml:space="preserve"> and through the skin</w:t>
            </w:r>
            <w:r w:rsidR="00825225">
              <w:t>:</w:t>
            </w:r>
          </w:p>
          <w:p w14:paraId="3E148002" w14:textId="6E31B901" w:rsidR="00255BE3" w:rsidRDefault="00255BE3" w:rsidP="00B11D62">
            <w:pPr>
              <w:pStyle w:val="ListBullet"/>
              <w:numPr>
                <w:ilvl w:val="0"/>
                <w:numId w:val="7"/>
              </w:numPr>
              <w:spacing w:before="60" w:after="60"/>
              <w:ind w:left="1094" w:hanging="357"/>
              <w:contextualSpacing w:val="0"/>
            </w:pPr>
            <w:r>
              <w:t>accumulates in blood</w:t>
            </w:r>
          </w:p>
          <w:p w14:paraId="6391B3E6" w14:textId="7808C688" w:rsidR="00255BE3" w:rsidRDefault="00255BE3" w:rsidP="00285E59">
            <w:pPr>
              <w:pStyle w:val="ListBullet"/>
              <w:spacing w:before="60" w:after="60"/>
              <w:ind w:left="714" w:hanging="357"/>
              <w:contextualSpacing w:val="0"/>
            </w:pPr>
            <w:r>
              <w:t>Reports of death from exposure in manufacturing and in agriculture workers</w:t>
            </w:r>
          </w:p>
          <w:p w14:paraId="03B54965" w14:textId="25B1218F" w:rsidR="00255BE3" w:rsidRDefault="009C746E" w:rsidP="00285E59">
            <w:pPr>
              <w:pStyle w:val="ListBullet"/>
              <w:spacing w:before="60" w:after="60"/>
              <w:ind w:left="714" w:hanging="357"/>
              <w:contextualSpacing w:val="0"/>
            </w:pPr>
            <w:r>
              <w:t>Cumulative poison in humans</w:t>
            </w:r>
            <w:r w:rsidR="00255BE3">
              <w:t xml:space="preserve"> </w:t>
            </w:r>
            <w:r w:rsidR="00285E59">
              <w:t xml:space="preserve">when </w:t>
            </w:r>
            <w:r w:rsidR="00255BE3">
              <w:t>absorbed through the skin</w:t>
            </w:r>
          </w:p>
          <w:p w14:paraId="6C8F7996" w14:textId="77777777" w:rsidR="00285E59" w:rsidRDefault="00255BE3" w:rsidP="00285E59">
            <w:pPr>
              <w:pStyle w:val="ListBullet"/>
              <w:spacing w:before="60" w:after="60"/>
              <w:ind w:left="714" w:hanging="357"/>
              <w:contextualSpacing w:val="0"/>
            </w:pPr>
            <w:r>
              <w:t xml:space="preserve">Symptoms from case study of poisoning </w:t>
            </w:r>
            <w:r w:rsidRPr="00B11D62">
              <w:t>via</w:t>
            </w:r>
            <w:r>
              <w:t xml:space="preserve"> skin absorption of a child included: </w:t>
            </w:r>
          </w:p>
          <w:p w14:paraId="4FE97D00" w14:textId="6C9197E1" w:rsidR="00285E59" w:rsidRDefault="00255BE3" w:rsidP="00B11D62">
            <w:pPr>
              <w:pStyle w:val="ListBullet"/>
              <w:numPr>
                <w:ilvl w:val="0"/>
                <w:numId w:val="7"/>
              </w:numPr>
              <w:spacing w:before="60" w:after="60"/>
              <w:ind w:left="1094" w:hanging="357"/>
              <w:contextualSpacing w:val="0"/>
            </w:pPr>
            <w:r>
              <w:t xml:space="preserve">emesis and headache, jaundiced skin, especially on the limbs, </w:t>
            </w:r>
            <w:r w:rsidR="005214E4">
              <w:t>tachypnoea</w:t>
            </w:r>
            <w:r>
              <w:t>, weak heartbeat and severe general depression</w:t>
            </w:r>
          </w:p>
          <w:p w14:paraId="2FBCBF09" w14:textId="049357D3" w:rsidR="00255BE3" w:rsidRDefault="00285E59" w:rsidP="00B11D62">
            <w:pPr>
              <w:pStyle w:val="ListBullet"/>
              <w:numPr>
                <w:ilvl w:val="0"/>
                <w:numId w:val="7"/>
              </w:numPr>
              <w:spacing w:before="60" w:after="60"/>
              <w:ind w:left="1094" w:hanging="357"/>
              <w:contextualSpacing w:val="0"/>
            </w:pPr>
            <w:r>
              <w:t>a</w:t>
            </w:r>
            <w:r w:rsidR="005214E4">
              <w:t>utopsy revealed focal haemorrhages in the intestinal mucosa, pronounced capillary blood (plethora) in the brain, liver, lungs, intestinal walls, myocardium, and kidneys as well as oedema of the lung and brain</w:t>
            </w:r>
          </w:p>
          <w:p w14:paraId="5CCF3FE5" w14:textId="0FFBE04D" w:rsidR="00285E59" w:rsidRDefault="00255BE3" w:rsidP="00285E59">
            <w:pPr>
              <w:pStyle w:val="ListBullet"/>
              <w:spacing w:before="60" w:after="60"/>
              <w:ind w:left="714" w:hanging="357"/>
              <w:contextualSpacing w:val="0"/>
            </w:pPr>
            <w:r>
              <w:t>Blood levels of 15</w:t>
            </w:r>
            <w:r w:rsidR="00C6072F">
              <w:t>–</w:t>
            </w:r>
            <w:r>
              <w:t xml:space="preserve">20 </w:t>
            </w:r>
            <w:r>
              <w:rPr>
                <w:rFonts w:cs="Arial"/>
              </w:rPr>
              <w:t>µ</w:t>
            </w:r>
            <w:r>
              <w:t xml:space="preserve">g/g in volunteers resulted in </w:t>
            </w:r>
            <w:r w:rsidR="001342A2">
              <w:t xml:space="preserve">symptoms of </w:t>
            </w:r>
            <w:r>
              <w:t>poison</w:t>
            </w:r>
            <w:r w:rsidR="001342A2">
              <w:t>ing</w:t>
            </w:r>
            <w:r w:rsidR="00825225">
              <w:t>:</w:t>
            </w:r>
          </w:p>
          <w:p w14:paraId="2A8F3223" w14:textId="5C1B8E8B" w:rsidR="00285E59" w:rsidRDefault="001342A2" w:rsidP="00B11D62">
            <w:pPr>
              <w:pStyle w:val="ListBullet"/>
              <w:numPr>
                <w:ilvl w:val="0"/>
                <w:numId w:val="7"/>
              </w:numPr>
              <w:spacing w:before="60" w:after="60"/>
              <w:ind w:left="1094" w:hanging="357"/>
              <w:contextualSpacing w:val="0"/>
            </w:pPr>
            <w:r>
              <w:t xml:space="preserve">systemic </w:t>
            </w:r>
            <w:r w:rsidR="005214E4">
              <w:t>levels are from considerable accumulation</w:t>
            </w:r>
          </w:p>
          <w:p w14:paraId="56DE6200" w14:textId="4CD8AFA8" w:rsidR="00285E59" w:rsidRDefault="005214E4" w:rsidP="00B11D62">
            <w:pPr>
              <w:pStyle w:val="ListBullet"/>
              <w:numPr>
                <w:ilvl w:val="0"/>
                <w:numId w:val="7"/>
              </w:numPr>
              <w:spacing w:before="60" w:after="60"/>
              <w:ind w:left="1094" w:hanging="357"/>
              <w:contextualSpacing w:val="0"/>
            </w:pPr>
            <w:r>
              <w:t xml:space="preserve">single dose of 75 mg </w:t>
            </w:r>
            <w:r w:rsidR="001342A2">
              <w:t xml:space="preserve">caused </w:t>
            </w:r>
            <w:r>
              <w:t>no toxic effect</w:t>
            </w:r>
          </w:p>
          <w:p w14:paraId="4E1E7EC6" w14:textId="287C927E" w:rsidR="00255BE3" w:rsidRDefault="005214E4" w:rsidP="00B11D62">
            <w:pPr>
              <w:pStyle w:val="ListBullet"/>
              <w:numPr>
                <w:ilvl w:val="0"/>
                <w:numId w:val="7"/>
              </w:numPr>
              <w:spacing w:before="60" w:after="60"/>
              <w:ind w:left="1094" w:hanging="357"/>
              <w:contextualSpacing w:val="0"/>
            </w:pPr>
            <w:r>
              <w:t>5 doses resulted in headache, lassitude and malaise</w:t>
            </w:r>
          </w:p>
          <w:p w14:paraId="421905E5" w14:textId="55D79A70" w:rsidR="00764575" w:rsidRDefault="005214E4" w:rsidP="005214E4">
            <w:pPr>
              <w:pStyle w:val="ListBullet"/>
              <w:spacing w:before="60" w:after="60"/>
              <w:ind w:left="714" w:hanging="357"/>
              <w:contextualSpacing w:val="0"/>
            </w:pPr>
            <w:r>
              <w:t>Non-fatal intoxication at 4.7 mg/</w:t>
            </w:r>
            <w:proofErr w:type="spellStart"/>
            <w:r>
              <w:t>m</w:t>
            </w:r>
            <w:r>
              <w:rPr>
                <w:vertAlign w:val="superscript"/>
              </w:rPr>
              <w:t>3</w:t>
            </w:r>
            <w:proofErr w:type="spellEnd"/>
            <w:r>
              <w:t>; no difficulties reported in workers at 2.5 mg/</w:t>
            </w:r>
            <w:proofErr w:type="spellStart"/>
            <w:r>
              <w:t>m</w:t>
            </w:r>
            <w:r>
              <w:rPr>
                <w:vertAlign w:val="superscript"/>
              </w:rPr>
              <w:t>3</w:t>
            </w:r>
            <w:proofErr w:type="spellEnd"/>
            <w:r w:rsidR="009C746E">
              <w:t>.</w:t>
            </w:r>
          </w:p>
          <w:p w14:paraId="65329A89" w14:textId="79F188C6" w:rsidR="005214E4" w:rsidRDefault="005214E4" w:rsidP="005214E4">
            <w:pPr>
              <w:pStyle w:val="Tabletextprimarysource"/>
            </w:pPr>
            <w:r>
              <w:t>Animal data:</w:t>
            </w:r>
          </w:p>
          <w:p w14:paraId="31E61BAC" w14:textId="413BFC4A" w:rsidR="005214E4" w:rsidRDefault="005214E4" w:rsidP="00285E59">
            <w:pPr>
              <w:pStyle w:val="ListBullet"/>
              <w:spacing w:before="60" w:after="60"/>
              <w:ind w:left="714" w:hanging="357"/>
              <w:contextualSpacing w:val="0"/>
            </w:pPr>
            <w:r>
              <w:t>Cats survived 4 h exposure to 1.4 mg/</w:t>
            </w:r>
            <w:proofErr w:type="spellStart"/>
            <w:r>
              <w:t>m</w:t>
            </w:r>
            <w:r>
              <w:rPr>
                <w:vertAlign w:val="superscript"/>
              </w:rPr>
              <w:t>3</w:t>
            </w:r>
            <w:proofErr w:type="spellEnd"/>
            <w:r>
              <w:t xml:space="preserve"> aerosol; 3 cats survived daily exposure of 0.2</w:t>
            </w:r>
            <w:r w:rsidR="00C6072F">
              <w:t> </w:t>
            </w:r>
            <w:r>
              <w:t>mg/</w:t>
            </w:r>
            <w:proofErr w:type="spellStart"/>
            <w:r>
              <w:t>m</w:t>
            </w:r>
            <w:r>
              <w:rPr>
                <w:vertAlign w:val="superscript"/>
              </w:rPr>
              <w:t>3</w:t>
            </w:r>
            <w:proofErr w:type="spellEnd"/>
            <w:r>
              <w:t xml:space="preserve"> for 3 </w:t>
            </w:r>
            <w:proofErr w:type="spellStart"/>
            <w:r>
              <w:t>mo</w:t>
            </w:r>
            <w:proofErr w:type="spellEnd"/>
          </w:p>
          <w:p w14:paraId="6C9AC768" w14:textId="2036667E" w:rsidR="005214E4" w:rsidRDefault="005214E4" w:rsidP="00285E59">
            <w:pPr>
              <w:pStyle w:val="ListBullet"/>
              <w:spacing w:before="60" w:after="60"/>
              <w:ind w:left="714" w:hanging="357"/>
              <w:contextualSpacing w:val="0"/>
            </w:pPr>
            <w:r>
              <w:t xml:space="preserve">In a feeding study, rats tolerated 100 ppm for 6 </w:t>
            </w:r>
            <w:proofErr w:type="spellStart"/>
            <w:proofErr w:type="gramStart"/>
            <w:r>
              <w:t>mo</w:t>
            </w:r>
            <w:proofErr w:type="spellEnd"/>
            <w:r>
              <w:t>;</w:t>
            </w:r>
            <w:proofErr w:type="gramEnd"/>
            <w:r>
              <w:t xml:space="preserve"> </w:t>
            </w:r>
            <w:r w:rsidR="009C746E">
              <w:rPr>
                <w:rFonts w:cs="Arial"/>
              </w:rPr>
              <w:t>≡</w:t>
            </w:r>
            <w:r>
              <w:t>350 mg/kg/d in humans</w:t>
            </w:r>
            <w:r w:rsidR="009C746E">
              <w:t>.</w:t>
            </w:r>
          </w:p>
          <w:p w14:paraId="745D08B4" w14:textId="77777777" w:rsidR="00285E59" w:rsidRDefault="00285E59" w:rsidP="003365A5">
            <w:pPr>
              <w:pStyle w:val="Tabletextprimarysource"/>
            </w:pPr>
          </w:p>
          <w:p w14:paraId="0A470D5E" w14:textId="7C697290" w:rsidR="00255BE3" w:rsidRDefault="005214E4" w:rsidP="003365A5">
            <w:pPr>
              <w:pStyle w:val="Tabletextprimarysource"/>
            </w:pPr>
            <w:r>
              <w:t>Insufficient data to recommend sensitisation or carcinogenicity notations or a TLV-STEL.</w:t>
            </w:r>
          </w:p>
          <w:p w14:paraId="5A108AE3" w14:textId="22EA1C29" w:rsidR="00C6072F" w:rsidRPr="00DA352E" w:rsidRDefault="00C6072F" w:rsidP="003365A5">
            <w:pPr>
              <w:pStyle w:val="Tabletextprimarysource"/>
            </w:pPr>
          </w:p>
        </w:tc>
      </w:tr>
      <w:tr w:rsidR="00C978F0" w:rsidRPr="00DA352E" w14:paraId="748917F5" w14:textId="77777777" w:rsidTr="00DE26E8">
        <w:trPr>
          <w:gridAfter w:val="1"/>
          <w:wAfter w:w="8" w:type="pct"/>
          <w:cantSplit/>
        </w:trPr>
        <w:tc>
          <w:tcPr>
            <w:tcW w:w="4992" w:type="pct"/>
            <w:shd w:val="clear" w:color="auto" w:fill="F2F2F2" w:themeFill="background1" w:themeFillShade="F2"/>
          </w:tcPr>
          <w:p w14:paraId="535EBD18" w14:textId="4D5C7719" w:rsidR="00C978F0" w:rsidRPr="00DA352E" w:rsidRDefault="00DA352E" w:rsidP="0051509C">
            <w:pPr>
              <w:pStyle w:val="Tablerowheadingitalic"/>
              <w:tabs>
                <w:tab w:val="clear" w:pos="2268"/>
                <w:tab w:val="clear" w:pos="5670"/>
                <w:tab w:val="left" w:pos="1418"/>
                <w:tab w:val="left" w:pos="2552"/>
              </w:tabs>
            </w:pPr>
            <w:proofErr w:type="spellStart"/>
            <w:r w:rsidRPr="00DA352E">
              <w:t>DFG</w:t>
            </w:r>
            <w:proofErr w:type="spellEnd"/>
            <w:r w:rsidR="00916EC0" w:rsidRPr="003365A5">
              <w:t xml:space="preserve"> </w:t>
            </w:r>
            <w:r w:rsidR="00916EC0" w:rsidRPr="003365A5">
              <w:tab/>
            </w:r>
            <w:sdt>
              <w:sdtPr>
                <w:id w:val="272751712"/>
                <w:placeholder>
                  <w:docPart w:val="6918C77959FE4E2CB3B6BD78ABC69E19"/>
                </w:placeholder>
                <w:text/>
              </w:sdtPr>
              <w:sdtEndPr/>
              <w:sdtContent>
                <w:r w:rsidR="00DA2DFF">
                  <w:t>1997</w:t>
                </w:r>
              </w:sdtContent>
            </w:sdt>
            <w:r w:rsidR="00916EC0" w:rsidRPr="003365A5">
              <w:tab/>
            </w:r>
            <w:r w:rsidR="0051509C">
              <w:tab/>
            </w:r>
            <w:sdt>
              <w:sdtPr>
                <w:alias w:val="DFG WES equivalent"/>
                <w:tag w:val="DFG WES equivalent"/>
                <w:id w:val="-736175395"/>
                <w:placeholder>
                  <w:docPart w:val="1ED9AEC91FDC4528B51A567B2B19EB9F"/>
                </w:placeholder>
              </w:sdtPr>
              <w:sdtEndPr/>
              <w:sdtContent>
                <w:r w:rsidR="00DA2DFF">
                  <w:t>Not assigned</w:t>
                </w:r>
              </w:sdtContent>
            </w:sdt>
          </w:p>
        </w:tc>
      </w:tr>
      <w:tr w:rsidR="00C978F0" w:rsidRPr="00DA352E" w14:paraId="3C50E88D" w14:textId="77777777" w:rsidTr="00DE26E8">
        <w:trPr>
          <w:gridAfter w:val="1"/>
          <w:wAfter w:w="8" w:type="pct"/>
          <w:cantSplit/>
        </w:trPr>
        <w:tc>
          <w:tcPr>
            <w:tcW w:w="4992" w:type="pct"/>
          </w:tcPr>
          <w:p w14:paraId="5235E4D8" w14:textId="64E0FF23" w:rsidR="005214E4" w:rsidRDefault="005214E4" w:rsidP="003365A5">
            <w:pPr>
              <w:pStyle w:val="Tabletextprimarysource"/>
            </w:pPr>
            <w:r>
              <w:t>Additional information:</w:t>
            </w:r>
          </w:p>
          <w:p w14:paraId="0493055F" w14:textId="78532203" w:rsidR="00C978F0" w:rsidRDefault="005214E4" w:rsidP="00285E59">
            <w:pPr>
              <w:pStyle w:val="ListBullet"/>
              <w:spacing w:before="60" w:after="60"/>
              <w:ind w:left="714" w:hanging="357"/>
              <w:contextualSpacing w:val="0"/>
            </w:pPr>
            <w:r>
              <w:t>Previous MAK of 0.2 mg/</w:t>
            </w:r>
            <w:proofErr w:type="spellStart"/>
            <w:r>
              <w:t>m</w:t>
            </w:r>
            <w:r>
              <w:rPr>
                <w:vertAlign w:val="superscript"/>
              </w:rPr>
              <w:t>3</w:t>
            </w:r>
            <w:proofErr w:type="spellEnd"/>
            <w:r>
              <w:t xml:space="preserve"> withdrawn due to l</w:t>
            </w:r>
            <w:r w:rsidR="00285E59">
              <w:t>ong</w:t>
            </w:r>
            <w:r>
              <w:t xml:space="preserve"> half-life in human blood compared to animals</w:t>
            </w:r>
          </w:p>
          <w:p w14:paraId="6DED83AF" w14:textId="77777777" w:rsidR="005214E4" w:rsidRDefault="00910AD2" w:rsidP="00285E59">
            <w:pPr>
              <w:pStyle w:val="ListBullet"/>
              <w:spacing w:before="60" w:after="60"/>
              <w:ind w:left="714" w:hanging="357"/>
              <w:contextualSpacing w:val="0"/>
            </w:pPr>
            <w:r>
              <w:t>No further information</w:t>
            </w:r>
            <w:r w:rsidR="0073235F">
              <w:t>.</w:t>
            </w:r>
          </w:p>
          <w:p w14:paraId="4A6914D4" w14:textId="058C2ED6" w:rsidR="00C6072F" w:rsidRPr="005214E4" w:rsidRDefault="00C6072F" w:rsidP="00285E59">
            <w:pPr>
              <w:pStyle w:val="ListBullet"/>
              <w:numPr>
                <w:ilvl w:val="0"/>
                <w:numId w:val="0"/>
              </w:numPr>
              <w:ind w:left="720"/>
            </w:pPr>
          </w:p>
        </w:tc>
      </w:tr>
      <w:tr w:rsidR="00C978F0" w:rsidRPr="00DA352E" w14:paraId="2E1EC984" w14:textId="77777777" w:rsidTr="00DE26E8">
        <w:trPr>
          <w:gridAfter w:val="1"/>
          <w:wAfter w:w="8" w:type="pct"/>
          <w:cantSplit/>
        </w:trPr>
        <w:tc>
          <w:tcPr>
            <w:tcW w:w="4992" w:type="pct"/>
            <w:shd w:val="clear" w:color="auto" w:fill="F2F2F2" w:themeFill="background1" w:themeFillShade="F2"/>
          </w:tcPr>
          <w:p w14:paraId="06F63368" w14:textId="05953EC0" w:rsidR="00C978F0" w:rsidRPr="00DA352E" w:rsidRDefault="00DA352E" w:rsidP="0051509C">
            <w:pPr>
              <w:pStyle w:val="Tablerowheadingitalic"/>
              <w:tabs>
                <w:tab w:val="clear" w:pos="2268"/>
                <w:tab w:val="clear" w:pos="5670"/>
                <w:tab w:val="left" w:pos="1418"/>
                <w:tab w:val="left" w:pos="2552"/>
              </w:tabs>
            </w:pPr>
            <w:proofErr w:type="spellStart"/>
            <w:r w:rsidRPr="00DA352E">
              <w:lastRenderedPageBreak/>
              <w:t>SCOEL</w:t>
            </w:r>
            <w:proofErr w:type="spellEnd"/>
            <w:r w:rsidR="00916EC0" w:rsidRPr="003365A5">
              <w:t xml:space="preserve"> </w:t>
            </w:r>
            <w:r w:rsidR="00916EC0" w:rsidRPr="003365A5">
              <w:tab/>
            </w:r>
            <w:sdt>
              <w:sdtPr>
                <w:id w:val="-768699850"/>
                <w:placeholder>
                  <w:docPart w:val="FDC2A24E7D2549238DA6EE03BD0A6AE0"/>
                </w:placeholder>
                <w:text/>
              </w:sdtPr>
              <w:sdtEndPr/>
              <w:sdtContent>
                <w:r w:rsidR="00DA2DFF">
                  <w:t>2004</w:t>
                </w:r>
              </w:sdtContent>
            </w:sdt>
            <w:r w:rsidR="00916EC0" w:rsidRPr="003365A5">
              <w:tab/>
            </w:r>
            <w:r w:rsidR="0051509C">
              <w:tab/>
            </w:r>
            <w:sdt>
              <w:sdtPr>
                <w:alias w:val="SCOEL WES equivalent"/>
                <w:tag w:val="SCOEL WES equivalent"/>
                <w:id w:val="-1474213062"/>
                <w:placeholder>
                  <w:docPart w:val="9E827C9D0DA949E385F2E9AB4264125E"/>
                </w:placeholder>
              </w:sdtPr>
              <w:sdtEndPr/>
              <w:sdtContent>
                <w:r w:rsidR="00DA2DFF">
                  <w:t>Not assigned</w:t>
                </w:r>
              </w:sdtContent>
            </w:sdt>
          </w:p>
        </w:tc>
      </w:tr>
      <w:tr w:rsidR="00C978F0" w:rsidRPr="00DA352E" w14:paraId="32439089" w14:textId="77777777" w:rsidTr="00DE26E8">
        <w:trPr>
          <w:gridAfter w:val="1"/>
          <w:wAfter w:w="8" w:type="pct"/>
          <w:cantSplit/>
        </w:trPr>
        <w:tc>
          <w:tcPr>
            <w:tcW w:w="4992" w:type="pct"/>
          </w:tcPr>
          <w:p w14:paraId="788DA873" w14:textId="57A7C95F" w:rsidR="00C978F0" w:rsidRDefault="00910AD2" w:rsidP="003365A5">
            <w:pPr>
              <w:pStyle w:val="Tabletextprimarysource"/>
            </w:pPr>
            <w:r>
              <w:t>Additional information:</w:t>
            </w:r>
          </w:p>
          <w:p w14:paraId="58E1AF9D" w14:textId="4C9142C6" w:rsidR="00910AD2" w:rsidRDefault="00910AD2" w:rsidP="00285E59">
            <w:pPr>
              <w:pStyle w:val="ListBullet"/>
              <w:spacing w:before="60" w:after="60"/>
              <w:ind w:left="714" w:hanging="357"/>
              <w:contextualSpacing w:val="0"/>
            </w:pPr>
            <w:r>
              <w:t>No adequate inhalation studies in animals which would enable derivation of a TWA</w:t>
            </w:r>
          </w:p>
          <w:p w14:paraId="46A5B2BE" w14:textId="207768B4" w:rsidR="00910AD2" w:rsidRDefault="00910AD2" w:rsidP="00285E59">
            <w:pPr>
              <w:pStyle w:val="ListBullet"/>
              <w:spacing w:before="60" w:after="60"/>
              <w:ind w:left="714" w:hanging="357"/>
              <w:contextualSpacing w:val="0"/>
            </w:pPr>
            <w:r>
              <w:t>Consider</w:t>
            </w:r>
            <w:r w:rsidR="009C746E">
              <w:t>ed</w:t>
            </w:r>
            <w:r>
              <w:t xml:space="preserve"> not possible to derive a </w:t>
            </w:r>
            <w:proofErr w:type="gramStart"/>
            <w:r>
              <w:t>scientifically-based</w:t>
            </w:r>
            <w:proofErr w:type="gramEnd"/>
            <w:r>
              <w:t xml:space="preserve"> </w:t>
            </w:r>
            <w:r w:rsidR="00707B81">
              <w:t>OEL</w:t>
            </w:r>
            <w:r>
              <w:t xml:space="preserve"> in air</w:t>
            </w:r>
          </w:p>
          <w:p w14:paraId="496162D8" w14:textId="337C18C9" w:rsidR="00910AD2" w:rsidRDefault="00910AD2" w:rsidP="00285E59">
            <w:pPr>
              <w:pStyle w:val="ListBullet"/>
              <w:spacing w:before="60" w:after="60"/>
              <w:ind w:left="714" w:hanging="357"/>
              <w:contextualSpacing w:val="0"/>
            </w:pPr>
            <w:r>
              <w:t xml:space="preserve">Blood levels up to 20 </w:t>
            </w:r>
            <w:r w:rsidRPr="0073235F">
              <w:t>µ</w:t>
            </w:r>
            <w:r>
              <w:t>g/</w:t>
            </w:r>
            <w:r w:rsidR="00F2424E">
              <w:t>mL</w:t>
            </w:r>
            <w:r>
              <w:t xml:space="preserve"> unlikely to result in adverse health effects.</w:t>
            </w:r>
          </w:p>
          <w:p w14:paraId="6E259149" w14:textId="5E53A157" w:rsidR="00C6072F" w:rsidRPr="00DA352E" w:rsidRDefault="00C6072F" w:rsidP="00285E59">
            <w:pPr>
              <w:pStyle w:val="ListBullet"/>
              <w:numPr>
                <w:ilvl w:val="0"/>
                <w:numId w:val="0"/>
              </w:numPr>
              <w:ind w:left="720"/>
            </w:pPr>
          </w:p>
        </w:tc>
      </w:tr>
      <w:tr w:rsidR="00DA352E" w:rsidRPr="00DA352E" w14:paraId="31FE0B3E" w14:textId="77777777" w:rsidTr="00DE26E8">
        <w:trPr>
          <w:gridAfter w:val="1"/>
          <w:wAfter w:w="8" w:type="pct"/>
          <w:cantSplit/>
        </w:trPr>
        <w:tc>
          <w:tcPr>
            <w:tcW w:w="4992" w:type="pct"/>
            <w:shd w:val="clear" w:color="auto" w:fill="F2F2F2" w:themeFill="background1" w:themeFillShade="F2"/>
          </w:tcPr>
          <w:p w14:paraId="650CAAB7" w14:textId="2A05DDB9" w:rsidR="00DA352E" w:rsidRPr="00DA352E" w:rsidRDefault="00DA352E" w:rsidP="0051509C">
            <w:pPr>
              <w:pStyle w:val="Tablerowheadingitalic"/>
              <w:tabs>
                <w:tab w:val="clear" w:pos="2268"/>
                <w:tab w:val="clear" w:pos="5670"/>
                <w:tab w:val="left" w:pos="1418"/>
                <w:tab w:val="left" w:pos="2552"/>
              </w:tabs>
            </w:pPr>
            <w:r w:rsidRPr="00DA352E">
              <w:t>OARS/AIHA</w:t>
            </w:r>
            <w:r w:rsidR="00916EC0" w:rsidRPr="003365A5">
              <w:t xml:space="preserve"> </w:t>
            </w:r>
            <w:r w:rsidR="00916EC0" w:rsidRPr="003365A5">
              <w:tab/>
            </w:r>
            <w:sdt>
              <w:sdtPr>
                <w:id w:val="-936748013"/>
                <w:placeholder>
                  <w:docPart w:val="47E4EC2DB10B4B8E8A66F7A5C13653CB"/>
                </w:placeholder>
                <w:text/>
              </w:sdtPr>
              <w:sdtEndPr/>
              <w:sdtContent>
                <w:r w:rsidR="00DA2DFF">
                  <w:t>NA</w:t>
                </w:r>
              </w:sdtContent>
            </w:sdt>
            <w:r w:rsidR="00916EC0" w:rsidRPr="003365A5">
              <w:tab/>
            </w:r>
            <w:r w:rsidR="0051509C">
              <w:tab/>
            </w:r>
            <w:sdt>
              <w:sdtPr>
                <w:alias w:val="OARS/AIHA WES equivalent"/>
                <w:tag w:val="OARS/AIHA WES equivalent"/>
                <w:id w:val="-1320338798"/>
                <w:placeholder>
                  <w:docPart w:val="5E4DD00C3A334F93BF5CC79754EBC5EA"/>
                </w:placeholder>
              </w:sdtPr>
              <w:sdtEndPr/>
              <w:sdtContent>
                <w:proofErr w:type="spellStart"/>
                <w:r w:rsidR="00DA2DFF">
                  <w:t>NA</w:t>
                </w:r>
                <w:proofErr w:type="spellEnd"/>
              </w:sdtContent>
            </w:sdt>
          </w:p>
        </w:tc>
      </w:tr>
      <w:tr w:rsidR="00DA352E" w:rsidRPr="00DA352E" w14:paraId="3E55C0FE" w14:textId="77777777" w:rsidTr="00DE26E8">
        <w:trPr>
          <w:gridAfter w:val="1"/>
          <w:wAfter w:w="8" w:type="pct"/>
          <w:cantSplit/>
        </w:trPr>
        <w:tc>
          <w:tcPr>
            <w:tcW w:w="4992" w:type="pct"/>
          </w:tcPr>
          <w:p w14:paraId="7A021E6A" w14:textId="135EABBF" w:rsidR="00DA352E" w:rsidRPr="00DA352E" w:rsidRDefault="00DA2DFF" w:rsidP="003365A5">
            <w:pPr>
              <w:pStyle w:val="Tabletextprimarysource"/>
            </w:pPr>
            <w:r>
              <w:t>No report</w:t>
            </w:r>
            <w:r w:rsidR="00707B81">
              <w:t>.</w:t>
            </w:r>
          </w:p>
        </w:tc>
      </w:tr>
      <w:tr w:rsidR="00DA352E" w:rsidRPr="00DA352E" w14:paraId="0BD2E70A" w14:textId="77777777" w:rsidTr="00DE26E8">
        <w:trPr>
          <w:gridAfter w:val="1"/>
          <w:wAfter w:w="8" w:type="pct"/>
          <w:cantSplit/>
        </w:trPr>
        <w:tc>
          <w:tcPr>
            <w:tcW w:w="4992" w:type="pct"/>
            <w:shd w:val="clear" w:color="auto" w:fill="F2F2F2" w:themeFill="background1" w:themeFillShade="F2"/>
          </w:tcPr>
          <w:p w14:paraId="7AD9AD1B" w14:textId="7CE05DA5" w:rsidR="00DA352E" w:rsidRPr="00DA352E" w:rsidRDefault="00DA352E" w:rsidP="0051509C">
            <w:pPr>
              <w:pStyle w:val="Tablerowheadingitalic"/>
              <w:tabs>
                <w:tab w:val="clear" w:pos="2268"/>
                <w:tab w:val="clear" w:pos="5670"/>
                <w:tab w:val="left" w:pos="1418"/>
                <w:tab w:val="left" w:pos="2552"/>
              </w:tabs>
            </w:pPr>
            <w:proofErr w:type="spellStart"/>
            <w:r w:rsidRPr="00DA352E">
              <w:t>HCOTN</w:t>
            </w:r>
            <w:proofErr w:type="spellEnd"/>
            <w:r w:rsidR="00916EC0" w:rsidRPr="003365A5">
              <w:t xml:space="preserve"> </w:t>
            </w:r>
            <w:r w:rsidR="00916EC0" w:rsidRPr="003365A5">
              <w:tab/>
            </w:r>
            <w:sdt>
              <w:sdtPr>
                <w:id w:val="1543090908"/>
                <w:placeholder>
                  <w:docPart w:val="EA1708404F1C4A3BB080A0D8EEB67D1D"/>
                </w:placeholder>
                <w:text/>
              </w:sdtPr>
              <w:sdtEndPr/>
              <w:sdtContent>
                <w:r w:rsidR="00DA2DFF">
                  <w:t>NA</w:t>
                </w:r>
              </w:sdtContent>
            </w:sdt>
            <w:r w:rsidR="00916EC0" w:rsidRPr="003365A5">
              <w:tab/>
            </w:r>
            <w:r w:rsidR="0051509C">
              <w:tab/>
            </w:r>
            <w:sdt>
              <w:sdtPr>
                <w:alias w:val="HCOTN WES equivalent"/>
                <w:tag w:val="HCOTN WES equivalent"/>
                <w:id w:val="1471562734"/>
                <w:placeholder>
                  <w:docPart w:val="F3D4204BA37A4A21A656C76DA4274412"/>
                </w:placeholder>
              </w:sdtPr>
              <w:sdtEndPr/>
              <w:sdtContent>
                <w:proofErr w:type="spellStart"/>
                <w:r w:rsidR="00DA2DFF">
                  <w:t>NA</w:t>
                </w:r>
                <w:proofErr w:type="spellEnd"/>
              </w:sdtContent>
            </w:sdt>
          </w:p>
        </w:tc>
      </w:tr>
      <w:tr w:rsidR="00DA352E" w:rsidRPr="00DA352E" w14:paraId="5F2D7E04" w14:textId="77777777" w:rsidTr="00DE26E8">
        <w:trPr>
          <w:gridAfter w:val="1"/>
          <w:wAfter w:w="8" w:type="pct"/>
          <w:cantSplit/>
        </w:trPr>
        <w:tc>
          <w:tcPr>
            <w:tcW w:w="4992" w:type="pct"/>
          </w:tcPr>
          <w:p w14:paraId="34F6126C" w14:textId="0EC58AFF" w:rsidR="00DA352E" w:rsidRPr="00DA352E" w:rsidRDefault="00DA2DFF" w:rsidP="003365A5">
            <w:pPr>
              <w:pStyle w:val="Tabletextprimarysource"/>
            </w:pPr>
            <w:r>
              <w:t>No report</w:t>
            </w:r>
            <w:r w:rsidR="00707B81">
              <w:t>.</w:t>
            </w:r>
          </w:p>
        </w:tc>
      </w:tr>
    </w:tbl>
    <w:p w14:paraId="6F4855EA" w14:textId="77777777" w:rsidR="00A20751" w:rsidRPr="004C23F4" w:rsidRDefault="00A20751" w:rsidP="003365A5">
      <w:pPr>
        <w:pStyle w:val="Heading3"/>
      </w:pPr>
      <w:bookmarkStart w:id="0" w:name="SecondSource"/>
      <w:r w:rsidRPr="004C23F4">
        <w:t xml:space="preserve">Secondary </w:t>
      </w:r>
      <w:r w:rsidR="0088798F">
        <w:t xml:space="preserve">source reports relied upon </w:t>
      </w:r>
    </w:p>
    <w:p w14:paraId="07F0994D" w14:textId="4DE1A11D" w:rsidR="007E2A4B" w:rsidRDefault="00910AD2">
      <w:r>
        <w:t>N</w:t>
      </w:r>
      <w:r w:rsidR="009C746E">
        <w:t>IL</w:t>
      </w:r>
      <w:r w:rsidR="00285E59">
        <w:t>.</w:t>
      </w:r>
    </w:p>
    <w:bookmarkEnd w:id="0"/>
    <w:p w14:paraId="3435DFDD" w14:textId="77777777" w:rsidR="007E2A4B" w:rsidRDefault="007E2A4B" w:rsidP="007E2A4B">
      <w:pPr>
        <w:pStyle w:val="Heading3"/>
      </w:pPr>
      <w:r>
        <w:t>Carcinogenicity — non-threshold based genotoxic carcinogens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Table"/>
        <w:tblDescription w:val="Listing secondary sources with reports"/>
      </w:tblPr>
      <w:tblGrid>
        <w:gridCol w:w="6603"/>
        <w:gridCol w:w="2423"/>
      </w:tblGrid>
      <w:tr w:rsidR="002E0D61" w14:paraId="0EC94425" w14:textId="77777777" w:rsidTr="00910AD2">
        <w:trPr>
          <w:trHeight w:val="454"/>
          <w:tblHeader/>
        </w:trPr>
        <w:tc>
          <w:tcPr>
            <w:tcW w:w="6603" w:type="dxa"/>
            <w:vAlign w:val="center"/>
          </w:tcPr>
          <w:p w14:paraId="11D9E04E" w14:textId="77777777" w:rsidR="002E0D61" w:rsidRDefault="00B1422A" w:rsidP="00C3091E">
            <w:pPr>
              <w:pStyle w:val="Tablefont"/>
              <w:keepNext/>
              <w:keepLines/>
              <w:spacing w:before="40" w:after="40"/>
            </w:pPr>
            <w:bookmarkStart w:id="1" w:name="GCQuest"/>
            <w:r>
              <w:t>Is the chemical mutagenic</w:t>
            </w:r>
            <w:r w:rsidR="002E0D61">
              <w:t>?</w:t>
            </w:r>
          </w:p>
        </w:tc>
        <w:sdt>
          <w:sdtPr>
            <w:id w:val="319705052"/>
            <w:placeholder>
              <w:docPart w:val="0168237C60E6479CAFA3D9A1A8409B78"/>
            </w:placeholder>
            <w:comboBox>
              <w:listItem w:value="Choose an item."/>
              <w:listItem w:displayText="Yes" w:value="Yes"/>
              <w:listItem w:displayText="No" w:value="No"/>
              <w:listItem w:displayText="Insufficient data" w:value="Insufficient data"/>
            </w:comboBox>
          </w:sdtPr>
          <w:sdtEndPr/>
          <w:sdtContent>
            <w:tc>
              <w:tcPr>
                <w:tcW w:w="2423" w:type="dxa"/>
                <w:vAlign w:val="center"/>
              </w:tcPr>
              <w:p w14:paraId="6E7EBA98" w14:textId="3C2FB480" w:rsidR="002E0D61" w:rsidRDefault="00910AD2" w:rsidP="00C3091E">
                <w:pPr>
                  <w:pStyle w:val="Tablefont"/>
                  <w:keepNext/>
                  <w:keepLines/>
                  <w:spacing w:before="40" w:after="40"/>
                </w:pPr>
                <w:r>
                  <w:t>No</w:t>
                </w:r>
              </w:p>
            </w:tc>
          </w:sdtContent>
        </w:sdt>
      </w:tr>
      <w:tr w:rsidR="008A36CF" w14:paraId="78A19AD4" w14:textId="77777777" w:rsidTr="00910AD2">
        <w:trPr>
          <w:trHeight w:val="454"/>
        </w:trPr>
        <w:sdt>
          <w:sdtPr>
            <w:rPr>
              <w:b/>
            </w:rPr>
            <w:id w:val="1830936485"/>
            <w:placeholder>
              <w:docPart w:val="CAD2D506A5824AB88D896BC2795BCEDE"/>
            </w:placeholder>
            <w:dropDownList>
              <w:listItem w:value="Choose an item."/>
              <w:listItem w:displayText="The chemical is a non-threshold based genotoxic carcinogen." w:value="The chemical is a non-threshold based genotoxic carcinogen."/>
              <w:listItem w:displayText="The chemical is not a non-threshold based genotoxic carcinogen." w:value="The chemical is not a non-threshold based genotoxic carcinogen."/>
              <w:listItem w:displayText="Insufficient data are available to determine if the chemical is a non-threshold based genotoxic carcinogen." w:value="Insufficient data are available to determine if the chemical is a non-threshold based genotoxic carcinogen."/>
            </w:dropDownList>
          </w:sdtPr>
          <w:sdtEndPr/>
          <w:sdtContent>
            <w:tc>
              <w:tcPr>
                <w:tcW w:w="6603" w:type="dxa"/>
                <w:vAlign w:val="center"/>
              </w:tcPr>
              <w:p w14:paraId="620E2747" w14:textId="16D54397" w:rsidR="008A36CF" w:rsidRPr="006901A2" w:rsidRDefault="00910AD2" w:rsidP="008A36CF">
                <w:pPr>
                  <w:pStyle w:val="Tablefont"/>
                  <w:keepNext/>
                  <w:keepLines/>
                  <w:spacing w:before="40" w:after="40"/>
                  <w:rPr>
                    <w:b/>
                  </w:rPr>
                </w:pPr>
                <w:r>
                  <w:rPr>
                    <w:b/>
                  </w:rPr>
                  <w:t>The chemical is not a non-threshold based genotoxic carcinogen.</w:t>
                </w:r>
              </w:p>
            </w:tc>
          </w:sdtContent>
        </w:sdt>
        <w:tc>
          <w:tcPr>
            <w:tcW w:w="2423" w:type="dxa"/>
            <w:vAlign w:val="center"/>
          </w:tcPr>
          <w:p w14:paraId="5405ABEE" w14:textId="77777777" w:rsidR="008A36CF" w:rsidRDefault="008A36CF" w:rsidP="008A36CF">
            <w:pPr>
              <w:pStyle w:val="Tablefont"/>
              <w:keepNext/>
              <w:keepLines/>
              <w:spacing w:before="40" w:after="40"/>
            </w:pPr>
          </w:p>
        </w:tc>
      </w:tr>
    </w:tbl>
    <w:bookmarkEnd w:id="1"/>
    <w:p w14:paraId="1D9DA743" w14:textId="77777777" w:rsidR="00687890" w:rsidRPr="004C23F4" w:rsidRDefault="00B479A9" w:rsidP="00474E33">
      <w:pPr>
        <w:pStyle w:val="Heading2"/>
      </w:pPr>
      <w:r w:rsidRPr="004C23F4">
        <w:t>Notations</w:t>
      </w:r>
    </w:p>
    <w:tbl>
      <w:tblPr>
        <w:tblStyle w:val="LightList"/>
        <w:tblW w:w="5000" w:type="pct"/>
        <w:tblBorders>
          <w:top w:val="single" w:sz="8" w:space="0" w:color="BFBFBF" w:themeColor="background1" w:themeShade="BF"/>
          <w:left w:val="none" w:sz="0" w:space="0" w:color="auto"/>
          <w:bottom w:val="single" w:sz="8" w:space="0" w:color="BFBFBF" w:themeColor="background1" w:themeShade="BF"/>
          <w:right w:val="none" w:sz="0" w:space="0" w:color="auto"/>
          <w:insideH w:val="single" w:sz="8" w:space="0" w:color="BFBFBF" w:themeColor="background1" w:themeShade="BF"/>
        </w:tblBorders>
        <w:tblLayout w:type="fixed"/>
        <w:tblLook w:val="0600" w:firstRow="0" w:lastRow="0" w:firstColumn="0" w:lastColumn="0" w:noHBand="1" w:noVBand="1"/>
        <w:tblCaption w:val="Table"/>
        <w:tblDescription w:val="Listing notations"/>
      </w:tblPr>
      <w:tblGrid>
        <w:gridCol w:w="3153"/>
        <w:gridCol w:w="5873"/>
      </w:tblGrid>
      <w:tr w:rsidR="00687890" w:rsidRPr="004C23F4" w14:paraId="4A72B758" w14:textId="77777777" w:rsidTr="00812887">
        <w:trPr>
          <w:cantSplit/>
          <w:tblHeader/>
        </w:trPr>
        <w:tc>
          <w:tcPr>
            <w:tcW w:w="3227" w:type="dxa"/>
            <w:shd w:val="clear" w:color="auto" w:fill="BFBFBF" w:themeFill="background1" w:themeFillShade="BF"/>
            <w:vAlign w:val="center"/>
          </w:tcPr>
          <w:p w14:paraId="442681EB" w14:textId="77777777" w:rsidR="00687890" w:rsidRPr="004C23F4" w:rsidRDefault="00687890" w:rsidP="00263255">
            <w:pPr>
              <w:pStyle w:val="Tableheader"/>
            </w:pPr>
            <w:bookmarkStart w:id="2" w:name="Notations"/>
            <w:r w:rsidRPr="004C23F4">
              <w:t>Source</w:t>
            </w:r>
          </w:p>
        </w:tc>
        <w:tc>
          <w:tcPr>
            <w:tcW w:w="6015" w:type="dxa"/>
            <w:shd w:val="clear" w:color="auto" w:fill="BFBFBF" w:themeFill="background1" w:themeFillShade="BF"/>
            <w:vAlign w:val="center"/>
          </w:tcPr>
          <w:p w14:paraId="1452E047" w14:textId="77777777" w:rsidR="00687890" w:rsidRPr="004C23F4" w:rsidRDefault="00687890" w:rsidP="00F4402E">
            <w:pPr>
              <w:pStyle w:val="Tableheader"/>
              <w:tabs>
                <w:tab w:val="right" w:pos="5272"/>
              </w:tabs>
            </w:pPr>
            <w:r w:rsidRPr="004C23F4">
              <w:t>Notations</w:t>
            </w:r>
            <w:r w:rsidR="003A2B94">
              <w:tab/>
            </w:r>
          </w:p>
        </w:tc>
      </w:tr>
      <w:tr w:rsidR="00687890" w:rsidRPr="004C23F4" w14:paraId="36C40827" w14:textId="77777777" w:rsidTr="00812887">
        <w:trPr>
          <w:cantSplit/>
        </w:trPr>
        <w:tc>
          <w:tcPr>
            <w:tcW w:w="3227" w:type="dxa"/>
          </w:tcPr>
          <w:p w14:paraId="2DF0839C" w14:textId="77777777" w:rsidR="004079B4" w:rsidRPr="004C23F4" w:rsidRDefault="00084513" w:rsidP="00F4402E">
            <w:pPr>
              <w:pStyle w:val="Tablefont"/>
            </w:pPr>
            <w:r w:rsidRPr="004C23F4">
              <w:t>SWA</w:t>
            </w:r>
          </w:p>
        </w:tc>
        <w:tc>
          <w:tcPr>
            <w:tcW w:w="6015" w:type="dxa"/>
          </w:tcPr>
          <w:p w14:paraId="7EF5CCF0" w14:textId="053E5750" w:rsidR="00687890" w:rsidRPr="00DD2F9B" w:rsidRDefault="00687890" w:rsidP="00DD2F9B">
            <w:pPr>
              <w:pStyle w:val="Tablefont"/>
            </w:pPr>
          </w:p>
        </w:tc>
      </w:tr>
      <w:tr w:rsidR="007925F0" w:rsidRPr="004C23F4" w14:paraId="42232807" w14:textId="77777777" w:rsidTr="00812887">
        <w:trPr>
          <w:cantSplit/>
        </w:trPr>
        <w:tc>
          <w:tcPr>
            <w:tcW w:w="3227" w:type="dxa"/>
          </w:tcPr>
          <w:p w14:paraId="1979887A" w14:textId="77777777" w:rsidR="004079B4" w:rsidRPr="004C23F4" w:rsidRDefault="007925F0" w:rsidP="00F4402E">
            <w:pPr>
              <w:pStyle w:val="Tablefont"/>
            </w:pPr>
            <w:proofErr w:type="spellStart"/>
            <w:r>
              <w:t>HCIS</w:t>
            </w:r>
            <w:proofErr w:type="spellEnd"/>
          </w:p>
        </w:tc>
        <w:tc>
          <w:tcPr>
            <w:tcW w:w="6015" w:type="dxa"/>
          </w:tcPr>
          <w:p w14:paraId="66756EA9" w14:textId="18356C18" w:rsidR="007925F0" w:rsidRPr="00DD2F9B" w:rsidRDefault="00DA2DFF" w:rsidP="00DD2F9B">
            <w:pPr>
              <w:pStyle w:val="Tablefont"/>
            </w:pPr>
            <w:r w:rsidRPr="00DA2DFF">
              <w:t>Skin sensitisation – category 1</w:t>
            </w:r>
          </w:p>
        </w:tc>
      </w:tr>
      <w:tr w:rsidR="00AF483F" w:rsidRPr="004C23F4" w14:paraId="41EBD8C0" w14:textId="77777777" w:rsidTr="00812887">
        <w:trPr>
          <w:cantSplit/>
        </w:trPr>
        <w:tc>
          <w:tcPr>
            <w:tcW w:w="3227" w:type="dxa"/>
          </w:tcPr>
          <w:p w14:paraId="59C37E31" w14:textId="77777777" w:rsidR="00AF483F" w:rsidRPr="004C23F4" w:rsidRDefault="00AF483F" w:rsidP="00F4402E">
            <w:pPr>
              <w:pStyle w:val="Tablefont"/>
            </w:pPr>
            <w:proofErr w:type="spellStart"/>
            <w:r>
              <w:t>NICNAS</w:t>
            </w:r>
            <w:proofErr w:type="spellEnd"/>
          </w:p>
        </w:tc>
        <w:tc>
          <w:tcPr>
            <w:tcW w:w="6015" w:type="dxa"/>
          </w:tcPr>
          <w:p w14:paraId="3BCCFBFC" w14:textId="19BC1F1D" w:rsidR="00AF483F" w:rsidRPr="00DD2F9B" w:rsidRDefault="00DA2DFF" w:rsidP="00DD2F9B">
            <w:pPr>
              <w:pStyle w:val="Tablefont"/>
            </w:pPr>
            <w:r>
              <w:t>NA</w:t>
            </w:r>
          </w:p>
        </w:tc>
      </w:tr>
      <w:tr w:rsidR="00687890" w:rsidRPr="004C23F4" w14:paraId="113E42FE" w14:textId="77777777" w:rsidTr="00812887">
        <w:trPr>
          <w:cantSplit/>
        </w:trPr>
        <w:tc>
          <w:tcPr>
            <w:tcW w:w="3227" w:type="dxa"/>
          </w:tcPr>
          <w:p w14:paraId="0FE70E4D" w14:textId="77777777" w:rsidR="004079B4" w:rsidRPr="004C23F4" w:rsidRDefault="00687890" w:rsidP="00F4402E">
            <w:pPr>
              <w:pStyle w:val="Tablefont"/>
            </w:pPr>
            <w:r w:rsidRPr="004C23F4">
              <w:t>EU Annex</w:t>
            </w:r>
          </w:p>
        </w:tc>
        <w:tc>
          <w:tcPr>
            <w:tcW w:w="6015" w:type="dxa"/>
          </w:tcPr>
          <w:p w14:paraId="2E1C5D91" w14:textId="36ED0C72" w:rsidR="00687890" w:rsidRPr="00DD2F9B" w:rsidRDefault="00DA2DFF" w:rsidP="00DD2F9B">
            <w:pPr>
              <w:pStyle w:val="Tablefont"/>
            </w:pPr>
            <w:r>
              <w:t>NA</w:t>
            </w:r>
          </w:p>
        </w:tc>
      </w:tr>
      <w:tr w:rsidR="00E41A26" w:rsidRPr="004C23F4" w14:paraId="19B94767" w14:textId="77777777" w:rsidTr="00812887">
        <w:trPr>
          <w:cantSplit/>
        </w:trPr>
        <w:tc>
          <w:tcPr>
            <w:tcW w:w="3227" w:type="dxa"/>
          </w:tcPr>
          <w:p w14:paraId="1C9CD069" w14:textId="77777777" w:rsidR="00E41A26" w:rsidRDefault="00E41A26" w:rsidP="00F4402E">
            <w:pPr>
              <w:pStyle w:val="Tablefont"/>
            </w:pPr>
            <w:r>
              <w:t>ECHA</w:t>
            </w:r>
          </w:p>
        </w:tc>
        <w:tc>
          <w:tcPr>
            <w:tcW w:w="6015" w:type="dxa"/>
          </w:tcPr>
          <w:p w14:paraId="46F40038" w14:textId="282AAAAB" w:rsidR="00E41A26" w:rsidRPr="00DD2F9B" w:rsidRDefault="00DA2DFF" w:rsidP="00DD2F9B">
            <w:pPr>
              <w:pStyle w:val="Tablefont"/>
            </w:pPr>
            <w:r w:rsidRPr="00DA2DFF">
              <w:t>Skin Sens. 1</w:t>
            </w:r>
          </w:p>
        </w:tc>
      </w:tr>
      <w:tr w:rsidR="002E0D61" w:rsidRPr="004C23F4" w14:paraId="19C7B376" w14:textId="77777777" w:rsidTr="00812887">
        <w:trPr>
          <w:cantSplit/>
        </w:trPr>
        <w:tc>
          <w:tcPr>
            <w:tcW w:w="3227" w:type="dxa"/>
          </w:tcPr>
          <w:p w14:paraId="73F4F2D6" w14:textId="77777777" w:rsidR="004079B4" w:rsidRPr="004C23F4" w:rsidRDefault="002E0D61" w:rsidP="00F4402E">
            <w:pPr>
              <w:pStyle w:val="Tablefont"/>
            </w:pPr>
            <w:proofErr w:type="spellStart"/>
            <w:r>
              <w:t>ACGIH</w:t>
            </w:r>
            <w:proofErr w:type="spellEnd"/>
          </w:p>
        </w:tc>
        <w:tc>
          <w:tcPr>
            <w:tcW w:w="6015" w:type="dxa"/>
          </w:tcPr>
          <w:p w14:paraId="1714F355" w14:textId="13AA2480" w:rsidR="002E0D61" w:rsidRPr="00DD2F9B" w:rsidRDefault="00DA2DFF" w:rsidP="00DD2F9B">
            <w:pPr>
              <w:pStyle w:val="Tablefont"/>
            </w:pPr>
            <w:r w:rsidRPr="00DA2DFF">
              <w:t>Skin</w:t>
            </w:r>
          </w:p>
        </w:tc>
      </w:tr>
      <w:tr w:rsidR="002E0D61" w:rsidRPr="004C23F4" w14:paraId="16D39DD6" w14:textId="77777777" w:rsidTr="00812887">
        <w:trPr>
          <w:cantSplit/>
        </w:trPr>
        <w:tc>
          <w:tcPr>
            <w:tcW w:w="3227" w:type="dxa"/>
          </w:tcPr>
          <w:p w14:paraId="1D3C7675" w14:textId="77777777" w:rsidR="004079B4" w:rsidRPr="004C23F4" w:rsidRDefault="002E0D61" w:rsidP="00F4402E">
            <w:pPr>
              <w:pStyle w:val="Tablefont"/>
            </w:pPr>
            <w:proofErr w:type="spellStart"/>
            <w:r>
              <w:t>DFG</w:t>
            </w:r>
            <w:proofErr w:type="spellEnd"/>
          </w:p>
        </w:tc>
        <w:tc>
          <w:tcPr>
            <w:tcW w:w="6015" w:type="dxa"/>
          </w:tcPr>
          <w:p w14:paraId="33993002" w14:textId="1C9FF818" w:rsidR="002E0D61" w:rsidRPr="00DD2F9B" w:rsidRDefault="00DA2DFF" w:rsidP="00DD2F9B">
            <w:pPr>
              <w:pStyle w:val="Tablefont"/>
            </w:pPr>
            <w:r w:rsidRPr="00DA2DFF">
              <w:t>H (skin)</w:t>
            </w:r>
          </w:p>
        </w:tc>
      </w:tr>
      <w:tr w:rsidR="002E0D61" w:rsidRPr="004C23F4" w14:paraId="3B5DD81A" w14:textId="77777777" w:rsidTr="00812887">
        <w:trPr>
          <w:cantSplit/>
        </w:trPr>
        <w:tc>
          <w:tcPr>
            <w:tcW w:w="3227" w:type="dxa"/>
          </w:tcPr>
          <w:p w14:paraId="4F5ADDCD" w14:textId="77777777" w:rsidR="004079B4" w:rsidRPr="004C23F4" w:rsidRDefault="002E0D61" w:rsidP="00F4402E">
            <w:pPr>
              <w:pStyle w:val="Tablefont"/>
            </w:pPr>
            <w:proofErr w:type="spellStart"/>
            <w:r>
              <w:t>SCOEL</w:t>
            </w:r>
            <w:proofErr w:type="spellEnd"/>
          </w:p>
        </w:tc>
        <w:tc>
          <w:tcPr>
            <w:tcW w:w="6015" w:type="dxa"/>
          </w:tcPr>
          <w:p w14:paraId="6BFBF11D" w14:textId="3175D59F" w:rsidR="002E0D61" w:rsidRPr="00DD2F9B" w:rsidRDefault="00DA2DFF" w:rsidP="00DD2F9B">
            <w:pPr>
              <w:pStyle w:val="Tablefont"/>
            </w:pPr>
            <w:r w:rsidRPr="00DA2DFF">
              <w:t>Skin</w:t>
            </w:r>
          </w:p>
        </w:tc>
      </w:tr>
      <w:tr w:rsidR="002E0D61" w:rsidRPr="004C23F4" w14:paraId="274AC548" w14:textId="77777777" w:rsidTr="00812887">
        <w:trPr>
          <w:cantSplit/>
        </w:trPr>
        <w:tc>
          <w:tcPr>
            <w:tcW w:w="3227" w:type="dxa"/>
          </w:tcPr>
          <w:p w14:paraId="1A382CF2" w14:textId="77777777" w:rsidR="004079B4" w:rsidRDefault="002E0D61" w:rsidP="00F4402E">
            <w:pPr>
              <w:pStyle w:val="Tablefont"/>
            </w:pPr>
            <w:proofErr w:type="spellStart"/>
            <w:r>
              <w:t>HCOTN</w:t>
            </w:r>
            <w:proofErr w:type="spellEnd"/>
          </w:p>
        </w:tc>
        <w:tc>
          <w:tcPr>
            <w:tcW w:w="6015" w:type="dxa"/>
          </w:tcPr>
          <w:p w14:paraId="78210F09" w14:textId="3FB26BD3" w:rsidR="002E0D61" w:rsidRPr="00DD2F9B" w:rsidRDefault="00DA2DFF" w:rsidP="00DD2F9B">
            <w:pPr>
              <w:pStyle w:val="Tablefont"/>
            </w:pPr>
            <w:r>
              <w:t>NA</w:t>
            </w:r>
          </w:p>
        </w:tc>
      </w:tr>
      <w:tr w:rsidR="00386093" w:rsidRPr="004C23F4" w14:paraId="6FC51889" w14:textId="77777777" w:rsidTr="00812887">
        <w:trPr>
          <w:cantSplit/>
        </w:trPr>
        <w:tc>
          <w:tcPr>
            <w:tcW w:w="3227" w:type="dxa"/>
          </w:tcPr>
          <w:p w14:paraId="7A7F1C1E" w14:textId="77777777" w:rsidR="004079B4" w:rsidRDefault="00386093" w:rsidP="00F4402E">
            <w:pPr>
              <w:pStyle w:val="Tablefont"/>
            </w:pPr>
            <w:r>
              <w:t>IARC</w:t>
            </w:r>
          </w:p>
        </w:tc>
        <w:tc>
          <w:tcPr>
            <w:tcW w:w="6015" w:type="dxa"/>
          </w:tcPr>
          <w:p w14:paraId="7966973E" w14:textId="313A913C" w:rsidR="00386093" w:rsidRPr="00DD2F9B" w:rsidRDefault="00DA2DFF" w:rsidP="00DD2F9B">
            <w:pPr>
              <w:pStyle w:val="Tablefont"/>
            </w:pPr>
            <w:r>
              <w:t>NA</w:t>
            </w:r>
          </w:p>
        </w:tc>
      </w:tr>
      <w:tr w:rsidR="00386093" w:rsidRPr="004C23F4" w14:paraId="04A06E63" w14:textId="77777777" w:rsidTr="00812887">
        <w:trPr>
          <w:cantSplit/>
        </w:trPr>
        <w:tc>
          <w:tcPr>
            <w:tcW w:w="3227" w:type="dxa"/>
          </w:tcPr>
          <w:p w14:paraId="774B3913" w14:textId="77777777" w:rsidR="004079B4" w:rsidRDefault="00386093" w:rsidP="00F4402E">
            <w:pPr>
              <w:pStyle w:val="Tablefont"/>
              <w:keepNext/>
            </w:pPr>
            <w:r>
              <w:t xml:space="preserve">US </w:t>
            </w:r>
            <w:proofErr w:type="spellStart"/>
            <w:r>
              <w:t>NIOSH</w:t>
            </w:r>
            <w:proofErr w:type="spellEnd"/>
          </w:p>
        </w:tc>
        <w:tc>
          <w:tcPr>
            <w:tcW w:w="6015" w:type="dxa"/>
          </w:tcPr>
          <w:p w14:paraId="1BD9911B" w14:textId="6C13FE86" w:rsidR="00386093" w:rsidRPr="00DD2F9B" w:rsidRDefault="00054152" w:rsidP="00D87570">
            <w:pPr>
              <w:pStyle w:val="Tablefont"/>
              <w:keepNext/>
            </w:pPr>
            <w:proofErr w:type="spellStart"/>
            <w:r w:rsidRPr="00054152">
              <w:t>SK:SYS</w:t>
            </w:r>
            <w:proofErr w:type="spellEnd"/>
          </w:p>
        </w:tc>
      </w:tr>
    </w:tbl>
    <w:bookmarkEnd w:id="2"/>
    <w:p w14:paraId="19B77A93" w14:textId="77777777" w:rsidR="00485BFD" w:rsidRDefault="00485BFD" w:rsidP="00485BFD">
      <w:pPr>
        <w:pStyle w:val="Tablefooter"/>
      </w:pPr>
      <w:r>
        <w:t>NA = not applicable (a recommendation has not been made by this Agency); —</w:t>
      </w:r>
      <w:r w:rsidR="00D87570">
        <w:t xml:space="preserve"> = the Agency has assessed available data for this chemical but has not recommended any notations</w:t>
      </w:r>
    </w:p>
    <w:p w14:paraId="2EE60C21" w14:textId="77777777" w:rsidR="00474E33" w:rsidRDefault="00474E33" w:rsidP="00474E33">
      <w:pPr>
        <w:pStyle w:val="Heading3"/>
      </w:pPr>
      <w:r>
        <w:lastRenderedPageBreak/>
        <w:t>Skin notation assessment</w:t>
      </w:r>
    </w:p>
    <w:tbl>
      <w:tblPr>
        <w:tblStyle w:val="TableGrid"/>
        <w:tblW w:w="5000" w:type="pct"/>
        <w:tblBorders>
          <w:top w:val="single" w:sz="8" w:space="0" w:color="BFBFBF" w:themeColor="background1" w:themeShade="BF"/>
          <w:left w:val="none" w:sz="0" w:space="0" w:color="auto"/>
          <w:bottom w:val="single" w:sz="8" w:space="0" w:color="BFBFBF" w:themeColor="background1" w:themeShade="BF"/>
          <w:right w:val="none" w:sz="0" w:space="0" w:color="auto"/>
          <w:insideH w:val="single" w:sz="8" w:space="0" w:color="BFBFBF" w:themeColor="background1" w:themeShade="BF"/>
          <w:insideV w:val="none" w:sz="0" w:space="0" w:color="auto"/>
        </w:tblBorders>
        <w:tblLook w:val="04A0" w:firstRow="1" w:lastRow="0" w:firstColumn="1" w:lastColumn="0" w:noHBand="0" w:noVBand="1"/>
        <w:tblCaption w:val="Table"/>
        <w:tblDescription w:val="Skin notation assessment calculation"/>
      </w:tblPr>
      <w:tblGrid>
        <w:gridCol w:w="9026"/>
      </w:tblGrid>
      <w:tr w:rsidR="00932DCE" w:rsidRPr="004C23F4" w14:paraId="3215A3A1" w14:textId="77777777" w:rsidTr="00EA6243">
        <w:trPr>
          <w:cantSplit/>
          <w:tblHeader/>
        </w:trPr>
        <w:tc>
          <w:tcPr>
            <w:tcW w:w="5000" w:type="pct"/>
            <w:shd w:val="clear" w:color="auto" w:fill="BFBFBF" w:themeFill="background1" w:themeFillShade="BF"/>
            <w:vAlign w:val="center"/>
          </w:tcPr>
          <w:p w14:paraId="4A6C26B4" w14:textId="77777777" w:rsidR="00932DCE" w:rsidRPr="004C23F4" w:rsidRDefault="00932DCE" w:rsidP="00F4402E">
            <w:pPr>
              <w:pStyle w:val="Tableheader"/>
              <w:keepNext/>
              <w:tabs>
                <w:tab w:val="right" w:pos="8800"/>
              </w:tabs>
            </w:pPr>
            <w:bookmarkStart w:id="3" w:name="SkinNot"/>
            <w:r>
              <w:t>Calculation</w:t>
            </w:r>
            <w:r w:rsidR="00177CA1">
              <w:tab/>
            </w:r>
          </w:p>
        </w:tc>
      </w:tr>
      <w:tr w:rsidR="00932DCE" w:rsidRPr="004C23F4" w14:paraId="5BAAEFB3" w14:textId="77777777" w:rsidTr="00EA6243">
        <w:trPr>
          <w:cantSplit/>
          <w:tblHeader/>
        </w:trPr>
        <w:tc>
          <w:tcPr>
            <w:tcW w:w="5000" w:type="pct"/>
            <w:vAlign w:val="center"/>
          </w:tcPr>
          <w:tbl>
            <w:tblPr>
              <w:tblW w:w="8864" w:type="dxa"/>
              <w:tblLook w:val="04A0" w:firstRow="1" w:lastRow="0" w:firstColumn="1" w:lastColumn="0" w:noHBand="0" w:noVBand="1"/>
            </w:tblPr>
            <w:tblGrid>
              <w:gridCol w:w="3828"/>
              <w:gridCol w:w="1128"/>
              <w:gridCol w:w="1128"/>
              <w:gridCol w:w="2726"/>
            </w:tblGrid>
            <w:tr w:rsidR="00910AD2" w:rsidRPr="00910AD2" w14:paraId="57FB132C" w14:textId="77777777" w:rsidTr="00910AD2">
              <w:trPr>
                <w:trHeight w:val="323"/>
              </w:trPr>
              <w:tc>
                <w:tcPr>
                  <w:tcW w:w="3853" w:type="dxa"/>
                  <w:tcBorders>
                    <w:top w:val="nil"/>
                    <w:left w:val="nil"/>
                    <w:bottom w:val="nil"/>
                    <w:right w:val="nil"/>
                  </w:tcBorders>
                  <w:shd w:val="clear" w:color="000000" w:fill="C5D9F1"/>
                  <w:noWrap/>
                  <w:vAlign w:val="center"/>
                  <w:hideMark/>
                </w:tcPr>
                <w:p w14:paraId="17D80170" w14:textId="77777777" w:rsidR="00910AD2" w:rsidRPr="00910AD2" w:rsidRDefault="00910AD2" w:rsidP="00910AD2">
                  <w:pPr>
                    <w:spacing w:after="0" w:line="240" w:lineRule="auto"/>
                    <w:jc w:val="right"/>
                    <w:rPr>
                      <w:rFonts w:ascii="Segoe UI" w:eastAsia="Times New Roman" w:hAnsi="Segoe UI" w:cs="Segoe UI"/>
                      <w:color w:val="000000"/>
                      <w:sz w:val="18"/>
                      <w:szCs w:val="18"/>
                      <w:lang w:eastAsia="en-AU"/>
                    </w:rPr>
                  </w:pPr>
                  <w:r w:rsidRPr="00910AD2">
                    <w:rPr>
                      <w:rFonts w:ascii="Segoe UI" w:eastAsia="Times New Roman" w:hAnsi="Segoe UI" w:cs="Segoe UI"/>
                      <w:color w:val="000000"/>
                      <w:sz w:val="18"/>
                      <w:szCs w:val="18"/>
                      <w:lang w:eastAsia="en-AU"/>
                    </w:rPr>
                    <w:t>Adverse effects in human case study:</w:t>
                  </w:r>
                </w:p>
              </w:tc>
              <w:tc>
                <w:tcPr>
                  <w:tcW w:w="1134" w:type="dxa"/>
                  <w:tcBorders>
                    <w:top w:val="nil"/>
                    <w:left w:val="nil"/>
                    <w:bottom w:val="nil"/>
                    <w:right w:val="nil"/>
                  </w:tcBorders>
                  <w:shd w:val="clear" w:color="000000" w:fill="FFEB9C"/>
                  <w:noWrap/>
                  <w:vAlign w:val="center"/>
                  <w:hideMark/>
                </w:tcPr>
                <w:p w14:paraId="54BBE2AE" w14:textId="77777777" w:rsidR="00910AD2" w:rsidRPr="00910AD2" w:rsidRDefault="00910AD2" w:rsidP="00910AD2">
                  <w:pPr>
                    <w:spacing w:after="0" w:line="240" w:lineRule="auto"/>
                    <w:jc w:val="center"/>
                    <w:rPr>
                      <w:rFonts w:ascii="Segoe UI" w:eastAsia="Times New Roman" w:hAnsi="Segoe UI" w:cs="Segoe UI"/>
                      <w:color w:val="9C6500"/>
                      <w:sz w:val="18"/>
                      <w:szCs w:val="18"/>
                      <w:lang w:eastAsia="en-AU"/>
                    </w:rPr>
                  </w:pPr>
                  <w:r w:rsidRPr="00910AD2">
                    <w:rPr>
                      <w:rFonts w:ascii="Segoe UI" w:eastAsia="Times New Roman" w:hAnsi="Segoe UI" w:cs="Segoe UI"/>
                      <w:color w:val="9C6500"/>
                      <w:sz w:val="18"/>
                      <w:szCs w:val="18"/>
                      <w:lang w:eastAsia="en-AU"/>
                    </w:rPr>
                    <w:t>yes</w:t>
                  </w:r>
                </w:p>
              </w:tc>
              <w:tc>
                <w:tcPr>
                  <w:tcW w:w="1134" w:type="dxa"/>
                  <w:tcBorders>
                    <w:top w:val="nil"/>
                    <w:left w:val="nil"/>
                    <w:bottom w:val="nil"/>
                    <w:right w:val="nil"/>
                  </w:tcBorders>
                  <w:shd w:val="clear" w:color="000000" w:fill="C5D9F1"/>
                  <w:noWrap/>
                  <w:vAlign w:val="center"/>
                  <w:hideMark/>
                </w:tcPr>
                <w:p w14:paraId="46F40181" w14:textId="77777777" w:rsidR="00910AD2" w:rsidRPr="00910AD2" w:rsidRDefault="00910AD2" w:rsidP="00910AD2">
                  <w:pPr>
                    <w:spacing w:after="0" w:line="240" w:lineRule="auto"/>
                    <w:jc w:val="right"/>
                    <w:rPr>
                      <w:rFonts w:ascii="Segoe UI" w:eastAsia="Times New Roman" w:hAnsi="Segoe UI" w:cs="Segoe UI"/>
                      <w:color w:val="C5D9F1"/>
                      <w:sz w:val="18"/>
                      <w:szCs w:val="18"/>
                      <w:lang w:eastAsia="en-AU"/>
                    </w:rPr>
                  </w:pPr>
                  <w:r w:rsidRPr="00910AD2">
                    <w:rPr>
                      <w:rFonts w:ascii="Segoe UI" w:eastAsia="Times New Roman" w:hAnsi="Segoe UI" w:cs="Segoe UI"/>
                      <w:color w:val="C5D9F1"/>
                      <w:sz w:val="18"/>
                      <w:szCs w:val="18"/>
                      <w:lang w:eastAsia="en-AU"/>
                    </w:rPr>
                    <w:t>4.00</w:t>
                  </w:r>
                </w:p>
              </w:tc>
              <w:tc>
                <w:tcPr>
                  <w:tcW w:w="2743" w:type="dxa"/>
                  <w:tcBorders>
                    <w:top w:val="nil"/>
                    <w:left w:val="nil"/>
                    <w:bottom w:val="nil"/>
                    <w:right w:val="nil"/>
                  </w:tcBorders>
                  <w:shd w:val="clear" w:color="000000" w:fill="C5D9F1"/>
                  <w:noWrap/>
                  <w:vAlign w:val="center"/>
                  <w:hideMark/>
                </w:tcPr>
                <w:p w14:paraId="19EA98F8" w14:textId="77777777" w:rsidR="00910AD2" w:rsidRPr="00910AD2" w:rsidRDefault="00910AD2" w:rsidP="00910AD2">
                  <w:pPr>
                    <w:spacing w:after="0" w:line="240" w:lineRule="auto"/>
                    <w:rPr>
                      <w:rFonts w:ascii="Segoe UI" w:eastAsia="Times New Roman" w:hAnsi="Segoe UI" w:cs="Segoe UI"/>
                      <w:color w:val="000000"/>
                      <w:sz w:val="18"/>
                      <w:szCs w:val="18"/>
                      <w:lang w:eastAsia="en-AU"/>
                    </w:rPr>
                  </w:pPr>
                  <w:r w:rsidRPr="00910AD2">
                    <w:rPr>
                      <w:rFonts w:ascii="Segoe UI" w:eastAsia="Times New Roman" w:hAnsi="Segoe UI" w:cs="Segoe UI"/>
                      <w:color w:val="000000"/>
                      <w:sz w:val="18"/>
                      <w:szCs w:val="18"/>
                      <w:lang w:eastAsia="en-AU"/>
                    </w:rPr>
                    <w:t> </w:t>
                  </w:r>
                </w:p>
              </w:tc>
            </w:tr>
            <w:tr w:rsidR="00910AD2" w:rsidRPr="00910AD2" w14:paraId="6319C83C" w14:textId="77777777" w:rsidTr="00910AD2">
              <w:trPr>
                <w:trHeight w:val="323"/>
              </w:trPr>
              <w:tc>
                <w:tcPr>
                  <w:tcW w:w="3853" w:type="dxa"/>
                  <w:tcBorders>
                    <w:top w:val="nil"/>
                    <w:left w:val="nil"/>
                    <w:bottom w:val="nil"/>
                    <w:right w:val="nil"/>
                  </w:tcBorders>
                  <w:shd w:val="clear" w:color="000000" w:fill="C5D9F1"/>
                  <w:noWrap/>
                  <w:vAlign w:val="center"/>
                  <w:hideMark/>
                </w:tcPr>
                <w:p w14:paraId="561B57D9" w14:textId="77777777" w:rsidR="00910AD2" w:rsidRPr="00910AD2" w:rsidRDefault="00910AD2" w:rsidP="00910AD2">
                  <w:pPr>
                    <w:spacing w:after="0" w:line="240" w:lineRule="auto"/>
                    <w:jc w:val="right"/>
                    <w:rPr>
                      <w:rFonts w:ascii="Segoe UI" w:eastAsia="Times New Roman" w:hAnsi="Segoe UI" w:cs="Segoe UI"/>
                      <w:color w:val="000000"/>
                      <w:sz w:val="18"/>
                      <w:szCs w:val="18"/>
                      <w:lang w:eastAsia="en-AU"/>
                    </w:rPr>
                  </w:pPr>
                  <w:r w:rsidRPr="00910AD2">
                    <w:rPr>
                      <w:rFonts w:ascii="Segoe UI" w:eastAsia="Times New Roman" w:hAnsi="Segoe UI" w:cs="Segoe UI"/>
                      <w:color w:val="000000"/>
                      <w:sz w:val="18"/>
                      <w:szCs w:val="18"/>
                      <w:lang w:eastAsia="en-AU"/>
                    </w:rPr>
                    <w:t xml:space="preserve">Dermal </w:t>
                  </w:r>
                  <w:proofErr w:type="spellStart"/>
                  <w:r w:rsidRPr="00910AD2">
                    <w:rPr>
                      <w:rFonts w:ascii="Segoe UI" w:eastAsia="Times New Roman" w:hAnsi="Segoe UI" w:cs="Segoe UI"/>
                      <w:color w:val="000000"/>
                      <w:sz w:val="18"/>
                      <w:szCs w:val="18"/>
                      <w:lang w:eastAsia="en-AU"/>
                    </w:rPr>
                    <w:t>LD</w:t>
                  </w:r>
                  <w:r w:rsidRPr="00910AD2">
                    <w:rPr>
                      <w:rFonts w:ascii="Segoe UI" w:eastAsia="Times New Roman" w:hAnsi="Segoe UI" w:cs="Segoe UI"/>
                      <w:color w:val="000000"/>
                      <w:sz w:val="18"/>
                      <w:szCs w:val="18"/>
                      <w:vertAlign w:val="subscript"/>
                      <w:lang w:eastAsia="en-AU"/>
                    </w:rPr>
                    <w:t>50</w:t>
                  </w:r>
                  <w:proofErr w:type="spellEnd"/>
                  <w:r w:rsidRPr="00910AD2">
                    <w:rPr>
                      <w:rFonts w:ascii="Segoe UI" w:eastAsia="Times New Roman" w:hAnsi="Segoe UI" w:cs="Segoe UI"/>
                      <w:color w:val="000000"/>
                      <w:sz w:val="18"/>
                      <w:szCs w:val="18"/>
                      <w:lang w:eastAsia="en-AU"/>
                    </w:rPr>
                    <w:t xml:space="preserve"> ≤1000 mg/kg:</w:t>
                  </w:r>
                </w:p>
              </w:tc>
              <w:tc>
                <w:tcPr>
                  <w:tcW w:w="1134" w:type="dxa"/>
                  <w:tcBorders>
                    <w:top w:val="nil"/>
                    <w:left w:val="nil"/>
                    <w:bottom w:val="nil"/>
                    <w:right w:val="nil"/>
                  </w:tcBorders>
                  <w:shd w:val="clear" w:color="000000" w:fill="C5D9F1"/>
                  <w:noWrap/>
                  <w:vAlign w:val="center"/>
                  <w:hideMark/>
                </w:tcPr>
                <w:p w14:paraId="72060A01" w14:textId="77777777" w:rsidR="00910AD2" w:rsidRPr="00910AD2" w:rsidRDefault="00910AD2" w:rsidP="00910AD2">
                  <w:pPr>
                    <w:spacing w:after="0" w:line="240" w:lineRule="auto"/>
                    <w:jc w:val="center"/>
                    <w:rPr>
                      <w:rFonts w:ascii="Segoe UI" w:eastAsia="Times New Roman" w:hAnsi="Segoe UI" w:cs="Segoe UI"/>
                      <w:color w:val="000000"/>
                      <w:sz w:val="18"/>
                      <w:szCs w:val="18"/>
                      <w:lang w:eastAsia="en-AU"/>
                    </w:rPr>
                  </w:pPr>
                  <w:r w:rsidRPr="00910AD2">
                    <w:rPr>
                      <w:rFonts w:ascii="Segoe UI" w:eastAsia="Times New Roman" w:hAnsi="Segoe UI" w:cs="Segoe UI"/>
                      <w:color w:val="000000"/>
                      <w:sz w:val="18"/>
                      <w:szCs w:val="18"/>
                      <w:lang w:eastAsia="en-AU"/>
                    </w:rPr>
                    <w:t> </w:t>
                  </w:r>
                </w:p>
              </w:tc>
              <w:tc>
                <w:tcPr>
                  <w:tcW w:w="1134" w:type="dxa"/>
                  <w:tcBorders>
                    <w:top w:val="nil"/>
                    <w:left w:val="nil"/>
                    <w:bottom w:val="nil"/>
                    <w:right w:val="nil"/>
                  </w:tcBorders>
                  <w:shd w:val="clear" w:color="000000" w:fill="C5D9F1"/>
                  <w:noWrap/>
                  <w:vAlign w:val="center"/>
                  <w:hideMark/>
                </w:tcPr>
                <w:p w14:paraId="6CBAB0F6" w14:textId="77777777" w:rsidR="00910AD2" w:rsidRPr="00910AD2" w:rsidRDefault="00910AD2" w:rsidP="00910AD2">
                  <w:pPr>
                    <w:spacing w:after="0" w:line="240" w:lineRule="auto"/>
                    <w:rPr>
                      <w:rFonts w:ascii="Segoe UI" w:eastAsia="Times New Roman" w:hAnsi="Segoe UI" w:cs="Segoe UI"/>
                      <w:color w:val="C5D9F1"/>
                      <w:sz w:val="18"/>
                      <w:szCs w:val="18"/>
                      <w:lang w:eastAsia="en-AU"/>
                    </w:rPr>
                  </w:pPr>
                  <w:r w:rsidRPr="00910AD2">
                    <w:rPr>
                      <w:rFonts w:ascii="Segoe UI" w:eastAsia="Times New Roman" w:hAnsi="Segoe UI" w:cs="Segoe UI"/>
                      <w:color w:val="C5D9F1"/>
                      <w:sz w:val="18"/>
                      <w:szCs w:val="18"/>
                      <w:lang w:eastAsia="en-AU"/>
                    </w:rPr>
                    <w:t> </w:t>
                  </w:r>
                </w:p>
              </w:tc>
              <w:tc>
                <w:tcPr>
                  <w:tcW w:w="2743" w:type="dxa"/>
                  <w:tcBorders>
                    <w:top w:val="nil"/>
                    <w:left w:val="nil"/>
                    <w:bottom w:val="nil"/>
                    <w:right w:val="nil"/>
                  </w:tcBorders>
                  <w:shd w:val="clear" w:color="000000" w:fill="C5D9F1"/>
                  <w:noWrap/>
                  <w:vAlign w:val="center"/>
                  <w:hideMark/>
                </w:tcPr>
                <w:p w14:paraId="5123BD16" w14:textId="77777777" w:rsidR="00910AD2" w:rsidRPr="00910AD2" w:rsidRDefault="00910AD2" w:rsidP="00910AD2">
                  <w:pPr>
                    <w:spacing w:after="0" w:line="240" w:lineRule="auto"/>
                    <w:rPr>
                      <w:rFonts w:ascii="Segoe UI" w:eastAsia="Times New Roman" w:hAnsi="Segoe UI" w:cs="Segoe UI"/>
                      <w:color w:val="000000"/>
                      <w:sz w:val="18"/>
                      <w:szCs w:val="18"/>
                      <w:lang w:eastAsia="en-AU"/>
                    </w:rPr>
                  </w:pPr>
                  <w:r w:rsidRPr="00910AD2">
                    <w:rPr>
                      <w:rFonts w:ascii="Segoe UI" w:eastAsia="Times New Roman" w:hAnsi="Segoe UI" w:cs="Segoe UI"/>
                      <w:color w:val="000000"/>
                      <w:sz w:val="18"/>
                      <w:szCs w:val="18"/>
                      <w:lang w:eastAsia="en-AU"/>
                    </w:rPr>
                    <w:t> </w:t>
                  </w:r>
                </w:p>
              </w:tc>
            </w:tr>
            <w:tr w:rsidR="00910AD2" w:rsidRPr="00910AD2" w14:paraId="450A4652" w14:textId="77777777" w:rsidTr="00910AD2">
              <w:trPr>
                <w:trHeight w:val="323"/>
              </w:trPr>
              <w:tc>
                <w:tcPr>
                  <w:tcW w:w="3853" w:type="dxa"/>
                  <w:tcBorders>
                    <w:top w:val="nil"/>
                    <w:left w:val="nil"/>
                    <w:bottom w:val="nil"/>
                    <w:right w:val="nil"/>
                  </w:tcBorders>
                  <w:shd w:val="clear" w:color="000000" w:fill="C5D9F1"/>
                  <w:noWrap/>
                  <w:vAlign w:val="center"/>
                  <w:hideMark/>
                </w:tcPr>
                <w:p w14:paraId="6F239E6E" w14:textId="77777777" w:rsidR="00910AD2" w:rsidRPr="00910AD2" w:rsidRDefault="00910AD2" w:rsidP="00910AD2">
                  <w:pPr>
                    <w:spacing w:after="0" w:line="240" w:lineRule="auto"/>
                    <w:jc w:val="right"/>
                    <w:rPr>
                      <w:rFonts w:ascii="Segoe UI" w:eastAsia="Times New Roman" w:hAnsi="Segoe UI" w:cs="Segoe UI"/>
                      <w:color w:val="000000"/>
                      <w:sz w:val="18"/>
                      <w:szCs w:val="18"/>
                      <w:lang w:eastAsia="en-AU"/>
                    </w:rPr>
                  </w:pPr>
                  <w:r w:rsidRPr="00910AD2">
                    <w:rPr>
                      <w:rFonts w:ascii="Segoe UI" w:eastAsia="Times New Roman" w:hAnsi="Segoe UI" w:cs="Segoe UI"/>
                      <w:color w:val="000000"/>
                      <w:sz w:val="18"/>
                      <w:szCs w:val="18"/>
                      <w:lang w:eastAsia="en-AU"/>
                    </w:rPr>
                    <w:t xml:space="preserve">Dermal repeat-dose </w:t>
                  </w:r>
                  <w:proofErr w:type="spellStart"/>
                  <w:r w:rsidRPr="00910AD2">
                    <w:rPr>
                      <w:rFonts w:ascii="Segoe UI" w:eastAsia="Times New Roman" w:hAnsi="Segoe UI" w:cs="Segoe UI"/>
                      <w:color w:val="000000"/>
                      <w:sz w:val="18"/>
                      <w:szCs w:val="18"/>
                      <w:lang w:eastAsia="en-AU"/>
                    </w:rPr>
                    <w:t>NOAEL</w:t>
                  </w:r>
                  <w:proofErr w:type="spellEnd"/>
                  <w:r w:rsidRPr="00910AD2">
                    <w:rPr>
                      <w:rFonts w:ascii="Segoe UI" w:eastAsia="Times New Roman" w:hAnsi="Segoe UI" w:cs="Segoe UI"/>
                      <w:color w:val="000000"/>
                      <w:sz w:val="18"/>
                      <w:szCs w:val="18"/>
                      <w:lang w:eastAsia="en-AU"/>
                    </w:rPr>
                    <w:t xml:space="preserve"> ≤200 mg/kg:</w:t>
                  </w:r>
                </w:p>
              </w:tc>
              <w:tc>
                <w:tcPr>
                  <w:tcW w:w="1134" w:type="dxa"/>
                  <w:tcBorders>
                    <w:top w:val="nil"/>
                    <w:left w:val="nil"/>
                    <w:bottom w:val="nil"/>
                    <w:right w:val="nil"/>
                  </w:tcBorders>
                  <w:shd w:val="clear" w:color="000000" w:fill="C5D9F1"/>
                  <w:noWrap/>
                  <w:vAlign w:val="center"/>
                  <w:hideMark/>
                </w:tcPr>
                <w:p w14:paraId="4481CCBC" w14:textId="77777777" w:rsidR="00910AD2" w:rsidRPr="00910AD2" w:rsidRDefault="00910AD2" w:rsidP="00910AD2">
                  <w:pPr>
                    <w:spacing w:after="0" w:line="240" w:lineRule="auto"/>
                    <w:jc w:val="center"/>
                    <w:rPr>
                      <w:rFonts w:ascii="Segoe UI" w:eastAsia="Times New Roman" w:hAnsi="Segoe UI" w:cs="Segoe UI"/>
                      <w:color w:val="000000"/>
                      <w:sz w:val="18"/>
                      <w:szCs w:val="18"/>
                      <w:lang w:eastAsia="en-AU"/>
                    </w:rPr>
                  </w:pPr>
                  <w:r w:rsidRPr="00910AD2">
                    <w:rPr>
                      <w:rFonts w:ascii="Segoe UI" w:eastAsia="Times New Roman" w:hAnsi="Segoe UI" w:cs="Segoe UI"/>
                      <w:color w:val="000000"/>
                      <w:sz w:val="18"/>
                      <w:szCs w:val="18"/>
                      <w:lang w:eastAsia="en-AU"/>
                    </w:rPr>
                    <w:t> </w:t>
                  </w:r>
                </w:p>
              </w:tc>
              <w:tc>
                <w:tcPr>
                  <w:tcW w:w="1134" w:type="dxa"/>
                  <w:tcBorders>
                    <w:top w:val="nil"/>
                    <w:left w:val="nil"/>
                    <w:bottom w:val="nil"/>
                    <w:right w:val="nil"/>
                  </w:tcBorders>
                  <w:shd w:val="clear" w:color="000000" w:fill="C5D9F1"/>
                  <w:noWrap/>
                  <w:vAlign w:val="center"/>
                  <w:hideMark/>
                </w:tcPr>
                <w:p w14:paraId="42981BFE" w14:textId="77777777" w:rsidR="00910AD2" w:rsidRPr="00910AD2" w:rsidRDefault="00910AD2" w:rsidP="00910AD2">
                  <w:pPr>
                    <w:spacing w:after="0" w:line="240" w:lineRule="auto"/>
                    <w:rPr>
                      <w:rFonts w:ascii="Segoe UI" w:eastAsia="Times New Roman" w:hAnsi="Segoe UI" w:cs="Segoe UI"/>
                      <w:color w:val="C5D9F1"/>
                      <w:sz w:val="18"/>
                      <w:szCs w:val="18"/>
                      <w:lang w:eastAsia="en-AU"/>
                    </w:rPr>
                  </w:pPr>
                  <w:r w:rsidRPr="00910AD2">
                    <w:rPr>
                      <w:rFonts w:ascii="Segoe UI" w:eastAsia="Times New Roman" w:hAnsi="Segoe UI" w:cs="Segoe UI"/>
                      <w:color w:val="C5D9F1"/>
                      <w:sz w:val="18"/>
                      <w:szCs w:val="18"/>
                      <w:lang w:eastAsia="en-AU"/>
                    </w:rPr>
                    <w:t> </w:t>
                  </w:r>
                </w:p>
              </w:tc>
              <w:tc>
                <w:tcPr>
                  <w:tcW w:w="2743" w:type="dxa"/>
                  <w:tcBorders>
                    <w:top w:val="nil"/>
                    <w:left w:val="nil"/>
                    <w:bottom w:val="nil"/>
                    <w:right w:val="nil"/>
                  </w:tcBorders>
                  <w:shd w:val="clear" w:color="000000" w:fill="C5D9F1"/>
                  <w:noWrap/>
                  <w:vAlign w:val="center"/>
                  <w:hideMark/>
                </w:tcPr>
                <w:p w14:paraId="6076B4FD" w14:textId="77777777" w:rsidR="00910AD2" w:rsidRPr="00910AD2" w:rsidRDefault="00910AD2" w:rsidP="00910AD2">
                  <w:pPr>
                    <w:spacing w:after="0" w:line="240" w:lineRule="auto"/>
                    <w:rPr>
                      <w:rFonts w:ascii="Segoe UI" w:eastAsia="Times New Roman" w:hAnsi="Segoe UI" w:cs="Segoe UI"/>
                      <w:color w:val="000000"/>
                      <w:sz w:val="18"/>
                      <w:szCs w:val="18"/>
                      <w:lang w:eastAsia="en-AU"/>
                    </w:rPr>
                  </w:pPr>
                  <w:r w:rsidRPr="00910AD2">
                    <w:rPr>
                      <w:rFonts w:ascii="Segoe UI" w:eastAsia="Times New Roman" w:hAnsi="Segoe UI" w:cs="Segoe UI"/>
                      <w:color w:val="000000"/>
                      <w:sz w:val="18"/>
                      <w:szCs w:val="18"/>
                      <w:lang w:eastAsia="en-AU"/>
                    </w:rPr>
                    <w:t> </w:t>
                  </w:r>
                </w:p>
              </w:tc>
            </w:tr>
            <w:tr w:rsidR="00910AD2" w:rsidRPr="00910AD2" w14:paraId="646E6395" w14:textId="77777777" w:rsidTr="00910AD2">
              <w:trPr>
                <w:trHeight w:val="323"/>
              </w:trPr>
              <w:tc>
                <w:tcPr>
                  <w:tcW w:w="3853" w:type="dxa"/>
                  <w:tcBorders>
                    <w:top w:val="nil"/>
                    <w:left w:val="nil"/>
                    <w:bottom w:val="nil"/>
                    <w:right w:val="nil"/>
                  </w:tcBorders>
                  <w:shd w:val="clear" w:color="000000" w:fill="C5D9F1"/>
                  <w:noWrap/>
                  <w:vAlign w:val="center"/>
                  <w:hideMark/>
                </w:tcPr>
                <w:p w14:paraId="36388DA8" w14:textId="77777777" w:rsidR="00910AD2" w:rsidRPr="00910AD2" w:rsidRDefault="00910AD2" w:rsidP="00910AD2">
                  <w:pPr>
                    <w:spacing w:after="0" w:line="240" w:lineRule="auto"/>
                    <w:jc w:val="right"/>
                    <w:rPr>
                      <w:rFonts w:ascii="Segoe UI" w:eastAsia="Times New Roman" w:hAnsi="Segoe UI" w:cs="Segoe UI"/>
                      <w:color w:val="000000"/>
                      <w:sz w:val="18"/>
                      <w:szCs w:val="18"/>
                      <w:lang w:eastAsia="en-AU"/>
                    </w:rPr>
                  </w:pPr>
                  <w:r w:rsidRPr="00910AD2">
                    <w:rPr>
                      <w:rFonts w:ascii="Segoe UI" w:eastAsia="Times New Roman" w:hAnsi="Segoe UI" w:cs="Segoe UI"/>
                      <w:color w:val="000000"/>
                      <w:sz w:val="18"/>
                      <w:szCs w:val="18"/>
                      <w:lang w:eastAsia="en-AU"/>
                    </w:rPr>
                    <w:t xml:space="preserve">Dermal </w:t>
                  </w:r>
                  <w:proofErr w:type="spellStart"/>
                  <w:r w:rsidRPr="00910AD2">
                    <w:rPr>
                      <w:rFonts w:ascii="Segoe UI" w:eastAsia="Times New Roman" w:hAnsi="Segoe UI" w:cs="Segoe UI"/>
                      <w:color w:val="000000"/>
                      <w:sz w:val="18"/>
                      <w:szCs w:val="18"/>
                      <w:lang w:eastAsia="en-AU"/>
                    </w:rPr>
                    <w:t>LD</w:t>
                  </w:r>
                  <w:r w:rsidRPr="00910AD2">
                    <w:rPr>
                      <w:rFonts w:ascii="Segoe UI" w:eastAsia="Times New Roman" w:hAnsi="Segoe UI" w:cs="Segoe UI"/>
                      <w:color w:val="000000"/>
                      <w:sz w:val="18"/>
                      <w:szCs w:val="18"/>
                      <w:vertAlign w:val="subscript"/>
                      <w:lang w:eastAsia="en-AU"/>
                    </w:rPr>
                    <w:t>50</w:t>
                  </w:r>
                  <w:proofErr w:type="spellEnd"/>
                  <w:r w:rsidRPr="00910AD2">
                    <w:rPr>
                      <w:rFonts w:ascii="Segoe UI" w:eastAsia="Times New Roman" w:hAnsi="Segoe UI" w:cs="Segoe UI"/>
                      <w:color w:val="000000"/>
                      <w:sz w:val="18"/>
                      <w:szCs w:val="18"/>
                      <w:lang w:eastAsia="en-AU"/>
                    </w:rPr>
                    <w:t xml:space="preserve">/Inhalation </w:t>
                  </w:r>
                  <w:proofErr w:type="spellStart"/>
                  <w:r w:rsidRPr="00910AD2">
                    <w:rPr>
                      <w:rFonts w:ascii="Segoe UI" w:eastAsia="Times New Roman" w:hAnsi="Segoe UI" w:cs="Segoe UI"/>
                      <w:color w:val="000000"/>
                      <w:sz w:val="18"/>
                      <w:szCs w:val="18"/>
                      <w:lang w:eastAsia="en-AU"/>
                    </w:rPr>
                    <w:t>LD</w:t>
                  </w:r>
                  <w:r w:rsidRPr="00910AD2">
                    <w:rPr>
                      <w:rFonts w:ascii="Segoe UI" w:eastAsia="Times New Roman" w:hAnsi="Segoe UI" w:cs="Segoe UI"/>
                      <w:color w:val="000000"/>
                      <w:sz w:val="18"/>
                      <w:szCs w:val="18"/>
                      <w:vertAlign w:val="subscript"/>
                      <w:lang w:eastAsia="en-AU"/>
                    </w:rPr>
                    <w:t>50</w:t>
                  </w:r>
                  <w:proofErr w:type="spellEnd"/>
                  <w:r w:rsidRPr="00910AD2">
                    <w:rPr>
                      <w:rFonts w:ascii="Segoe UI" w:eastAsia="Times New Roman" w:hAnsi="Segoe UI" w:cs="Segoe UI"/>
                      <w:color w:val="000000"/>
                      <w:sz w:val="18"/>
                      <w:szCs w:val="18"/>
                      <w:lang w:eastAsia="en-AU"/>
                    </w:rPr>
                    <w:t xml:space="preserve"> &lt;10:</w:t>
                  </w:r>
                </w:p>
              </w:tc>
              <w:tc>
                <w:tcPr>
                  <w:tcW w:w="1134" w:type="dxa"/>
                  <w:tcBorders>
                    <w:top w:val="nil"/>
                    <w:left w:val="nil"/>
                    <w:bottom w:val="nil"/>
                    <w:right w:val="nil"/>
                  </w:tcBorders>
                  <w:shd w:val="clear" w:color="000000" w:fill="C5D9F1"/>
                  <w:noWrap/>
                  <w:vAlign w:val="center"/>
                  <w:hideMark/>
                </w:tcPr>
                <w:p w14:paraId="329F4604" w14:textId="77777777" w:rsidR="00910AD2" w:rsidRPr="00910AD2" w:rsidRDefault="00910AD2" w:rsidP="00910AD2">
                  <w:pPr>
                    <w:spacing w:after="0" w:line="240" w:lineRule="auto"/>
                    <w:jc w:val="center"/>
                    <w:rPr>
                      <w:rFonts w:ascii="Segoe UI" w:eastAsia="Times New Roman" w:hAnsi="Segoe UI" w:cs="Segoe UI"/>
                      <w:color w:val="000000"/>
                      <w:sz w:val="18"/>
                      <w:szCs w:val="18"/>
                      <w:lang w:eastAsia="en-AU"/>
                    </w:rPr>
                  </w:pPr>
                  <w:r w:rsidRPr="00910AD2">
                    <w:rPr>
                      <w:rFonts w:ascii="Segoe UI" w:eastAsia="Times New Roman" w:hAnsi="Segoe UI" w:cs="Segoe UI"/>
                      <w:color w:val="000000"/>
                      <w:sz w:val="18"/>
                      <w:szCs w:val="18"/>
                      <w:lang w:eastAsia="en-AU"/>
                    </w:rPr>
                    <w:t> </w:t>
                  </w:r>
                </w:p>
              </w:tc>
              <w:tc>
                <w:tcPr>
                  <w:tcW w:w="1134" w:type="dxa"/>
                  <w:tcBorders>
                    <w:top w:val="nil"/>
                    <w:left w:val="nil"/>
                    <w:bottom w:val="nil"/>
                    <w:right w:val="nil"/>
                  </w:tcBorders>
                  <w:shd w:val="clear" w:color="000000" w:fill="C5D9F1"/>
                  <w:noWrap/>
                  <w:vAlign w:val="center"/>
                  <w:hideMark/>
                </w:tcPr>
                <w:p w14:paraId="234DD515" w14:textId="77777777" w:rsidR="00910AD2" w:rsidRPr="00910AD2" w:rsidRDefault="00910AD2" w:rsidP="00910AD2">
                  <w:pPr>
                    <w:spacing w:after="0" w:line="240" w:lineRule="auto"/>
                    <w:rPr>
                      <w:rFonts w:ascii="Segoe UI" w:eastAsia="Times New Roman" w:hAnsi="Segoe UI" w:cs="Segoe UI"/>
                      <w:color w:val="C5D9F1"/>
                      <w:sz w:val="18"/>
                      <w:szCs w:val="18"/>
                      <w:lang w:eastAsia="en-AU"/>
                    </w:rPr>
                  </w:pPr>
                  <w:r w:rsidRPr="00910AD2">
                    <w:rPr>
                      <w:rFonts w:ascii="Segoe UI" w:eastAsia="Times New Roman" w:hAnsi="Segoe UI" w:cs="Segoe UI"/>
                      <w:color w:val="C5D9F1"/>
                      <w:sz w:val="18"/>
                      <w:szCs w:val="18"/>
                      <w:lang w:eastAsia="en-AU"/>
                    </w:rPr>
                    <w:t> </w:t>
                  </w:r>
                </w:p>
              </w:tc>
              <w:tc>
                <w:tcPr>
                  <w:tcW w:w="2743" w:type="dxa"/>
                  <w:tcBorders>
                    <w:top w:val="nil"/>
                    <w:left w:val="nil"/>
                    <w:bottom w:val="nil"/>
                    <w:right w:val="nil"/>
                  </w:tcBorders>
                  <w:shd w:val="clear" w:color="000000" w:fill="C5D9F1"/>
                  <w:noWrap/>
                  <w:vAlign w:val="center"/>
                  <w:hideMark/>
                </w:tcPr>
                <w:p w14:paraId="7BF440FF" w14:textId="77777777" w:rsidR="00910AD2" w:rsidRPr="00910AD2" w:rsidRDefault="00910AD2" w:rsidP="00910AD2">
                  <w:pPr>
                    <w:spacing w:after="0" w:line="240" w:lineRule="auto"/>
                    <w:rPr>
                      <w:rFonts w:ascii="Segoe UI" w:eastAsia="Times New Roman" w:hAnsi="Segoe UI" w:cs="Segoe UI"/>
                      <w:color w:val="000000"/>
                      <w:sz w:val="18"/>
                      <w:szCs w:val="18"/>
                      <w:lang w:eastAsia="en-AU"/>
                    </w:rPr>
                  </w:pPr>
                  <w:r w:rsidRPr="00910AD2">
                    <w:rPr>
                      <w:rFonts w:ascii="Segoe UI" w:eastAsia="Times New Roman" w:hAnsi="Segoe UI" w:cs="Segoe UI"/>
                      <w:color w:val="000000"/>
                      <w:sz w:val="18"/>
                      <w:szCs w:val="18"/>
                      <w:lang w:eastAsia="en-AU"/>
                    </w:rPr>
                    <w:t> </w:t>
                  </w:r>
                </w:p>
              </w:tc>
            </w:tr>
            <w:tr w:rsidR="00910AD2" w:rsidRPr="00910AD2" w14:paraId="0F2D359D" w14:textId="77777777" w:rsidTr="00910AD2">
              <w:trPr>
                <w:trHeight w:val="323"/>
              </w:trPr>
              <w:tc>
                <w:tcPr>
                  <w:tcW w:w="3853" w:type="dxa"/>
                  <w:tcBorders>
                    <w:top w:val="nil"/>
                    <w:left w:val="nil"/>
                    <w:bottom w:val="nil"/>
                    <w:right w:val="nil"/>
                  </w:tcBorders>
                  <w:shd w:val="clear" w:color="000000" w:fill="C5D9F1"/>
                  <w:noWrap/>
                  <w:vAlign w:val="center"/>
                  <w:hideMark/>
                </w:tcPr>
                <w:p w14:paraId="79EF2929" w14:textId="77777777" w:rsidR="00910AD2" w:rsidRPr="00910AD2" w:rsidRDefault="00910AD2" w:rsidP="00910AD2">
                  <w:pPr>
                    <w:spacing w:after="0" w:line="240" w:lineRule="auto"/>
                    <w:jc w:val="right"/>
                    <w:rPr>
                      <w:rFonts w:ascii="Segoe UI" w:eastAsia="Times New Roman" w:hAnsi="Segoe UI" w:cs="Segoe UI"/>
                      <w:i/>
                      <w:iCs/>
                      <w:color w:val="000000"/>
                      <w:sz w:val="18"/>
                      <w:szCs w:val="18"/>
                      <w:lang w:eastAsia="en-AU"/>
                    </w:rPr>
                  </w:pPr>
                  <w:r w:rsidRPr="00910AD2">
                    <w:rPr>
                      <w:rFonts w:ascii="Segoe UI" w:eastAsia="Times New Roman" w:hAnsi="Segoe UI" w:cs="Segoe UI"/>
                      <w:i/>
                      <w:iCs/>
                      <w:color w:val="000000"/>
                      <w:sz w:val="18"/>
                      <w:szCs w:val="18"/>
                      <w:lang w:eastAsia="en-AU"/>
                    </w:rPr>
                    <w:t>In vivo</w:t>
                  </w:r>
                  <w:r w:rsidRPr="00910AD2">
                    <w:rPr>
                      <w:rFonts w:ascii="Segoe UI" w:eastAsia="Times New Roman" w:hAnsi="Segoe UI" w:cs="Segoe UI"/>
                      <w:color w:val="000000"/>
                      <w:sz w:val="18"/>
                      <w:szCs w:val="18"/>
                      <w:lang w:eastAsia="en-AU"/>
                    </w:rPr>
                    <w:t xml:space="preserve"> dermal absorption rate &gt;10%:</w:t>
                  </w:r>
                </w:p>
              </w:tc>
              <w:tc>
                <w:tcPr>
                  <w:tcW w:w="1134" w:type="dxa"/>
                  <w:tcBorders>
                    <w:top w:val="nil"/>
                    <w:left w:val="nil"/>
                    <w:bottom w:val="nil"/>
                    <w:right w:val="nil"/>
                  </w:tcBorders>
                  <w:shd w:val="clear" w:color="000000" w:fill="C5D9F1"/>
                  <w:noWrap/>
                  <w:vAlign w:val="center"/>
                  <w:hideMark/>
                </w:tcPr>
                <w:p w14:paraId="670B0885" w14:textId="77777777" w:rsidR="00910AD2" w:rsidRPr="00910AD2" w:rsidRDefault="00910AD2" w:rsidP="00910AD2">
                  <w:pPr>
                    <w:spacing w:after="0" w:line="240" w:lineRule="auto"/>
                    <w:jc w:val="center"/>
                    <w:rPr>
                      <w:rFonts w:ascii="Segoe UI" w:eastAsia="Times New Roman" w:hAnsi="Segoe UI" w:cs="Segoe UI"/>
                      <w:color w:val="000000"/>
                      <w:sz w:val="18"/>
                      <w:szCs w:val="18"/>
                      <w:lang w:eastAsia="en-AU"/>
                    </w:rPr>
                  </w:pPr>
                  <w:r w:rsidRPr="00910AD2">
                    <w:rPr>
                      <w:rFonts w:ascii="Segoe UI" w:eastAsia="Times New Roman" w:hAnsi="Segoe UI" w:cs="Segoe UI"/>
                      <w:color w:val="000000"/>
                      <w:sz w:val="18"/>
                      <w:szCs w:val="18"/>
                      <w:lang w:eastAsia="en-AU"/>
                    </w:rPr>
                    <w:t> </w:t>
                  </w:r>
                </w:p>
              </w:tc>
              <w:tc>
                <w:tcPr>
                  <w:tcW w:w="1134" w:type="dxa"/>
                  <w:tcBorders>
                    <w:top w:val="nil"/>
                    <w:left w:val="nil"/>
                    <w:bottom w:val="nil"/>
                    <w:right w:val="nil"/>
                  </w:tcBorders>
                  <w:shd w:val="clear" w:color="000000" w:fill="C5D9F1"/>
                  <w:noWrap/>
                  <w:vAlign w:val="center"/>
                  <w:hideMark/>
                </w:tcPr>
                <w:p w14:paraId="2D52D59F" w14:textId="77777777" w:rsidR="00910AD2" w:rsidRPr="00910AD2" w:rsidRDefault="00910AD2" w:rsidP="00910AD2">
                  <w:pPr>
                    <w:spacing w:after="0" w:line="240" w:lineRule="auto"/>
                    <w:rPr>
                      <w:rFonts w:ascii="Segoe UI" w:eastAsia="Times New Roman" w:hAnsi="Segoe UI" w:cs="Segoe UI"/>
                      <w:color w:val="C5D9F1"/>
                      <w:sz w:val="18"/>
                      <w:szCs w:val="18"/>
                      <w:lang w:eastAsia="en-AU"/>
                    </w:rPr>
                  </w:pPr>
                  <w:r w:rsidRPr="00910AD2">
                    <w:rPr>
                      <w:rFonts w:ascii="Segoe UI" w:eastAsia="Times New Roman" w:hAnsi="Segoe UI" w:cs="Segoe UI"/>
                      <w:color w:val="C5D9F1"/>
                      <w:sz w:val="18"/>
                      <w:szCs w:val="18"/>
                      <w:lang w:eastAsia="en-AU"/>
                    </w:rPr>
                    <w:t> </w:t>
                  </w:r>
                </w:p>
              </w:tc>
              <w:tc>
                <w:tcPr>
                  <w:tcW w:w="2743" w:type="dxa"/>
                  <w:tcBorders>
                    <w:top w:val="nil"/>
                    <w:left w:val="nil"/>
                    <w:bottom w:val="nil"/>
                    <w:right w:val="nil"/>
                  </w:tcBorders>
                  <w:shd w:val="clear" w:color="000000" w:fill="C5D9F1"/>
                  <w:noWrap/>
                  <w:vAlign w:val="center"/>
                  <w:hideMark/>
                </w:tcPr>
                <w:p w14:paraId="5DD9FF8A" w14:textId="77777777" w:rsidR="00910AD2" w:rsidRPr="00910AD2" w:rsidRDefault="00910AD2" w:rsidP="00910AD2">
                  <w:pPr>
                    <w:spacing w:after="0" w:line="240" w:lineRule="auto"/>
                    <w:rPr>
                      <w:rFonts w:ascii="Segoe UI" w:eastAsia="Times New Roman" w:hAnsi="Segoe UI" w:cs="Segoe UI"/>
                      <w:color w:val="000000"/>
                      <w:sz w:val="18"/>
                      <w:szCs w:val="18"/>
                      <w:lang w:eastAsia="en-AU"/>
                    </w:rPr>
                  </w:pPr>
                  <w:r w:rsidRPr="00910AD2">
                    <w:rPr>
                      <w:rFonts w:ascii="Segoe UI" w:eastAsia="Times New Roman" w:hAnsi="Segoe UI" w:cs="Segoe UI"/>
                      <w:color w:val="000000"/>
                      <w:sz w:val="18"/>
                      <w:szCs w:val="18"/>
                      <w:lang w:eastAsia="en-AU"/>
                    </w:rPr>
                    <w:t> </w:t>
                  </w:r>
                </w:p>
              </w:tc>
            </w:tr>
            <w:tr w:rsidR="00910AD2" w:rsidRPr="00910AD2" w14:paraId="2CB2B63E" w14:textId="77777777" w:rsidTr="00910AD2">
              <w:trPr>
                <w:trHeight w:val="323"/>
              </w:trPr>
              <w:tc>
                <w:tcPr>
                  <w:tcW w:w="3853" w:type="dxa"/>
                  <w:tcBorders>
                    <w:top w:val="nil"/>
                    <w:left w:val="nil"/>
                    <w:bottom w:val="nil"/>
                    <w:right w:val="nil"/>
                  </w:tcBorders>
                  <w:shd w:val="clear" w:color="000000" w:fill="C5D9F1"/>
                  <w:noWrap/>
                  <w:vAlign w:val="center"/>
                  <w:hideMark/>
                </w:tcPr>
                <w:p w14:paraId="546E91C4" w14:textId="77777777" w:rsidR="00910AD2" w:rsidRPr="00910AD2" w:rsidRDefault="00910AD2" w:rsidP="00910AD2">
                  <w:pPr>
                    <w:spacing w:after="0" w:line="240" w:lineRule="auto"/>
                    <w:jc w:val="right"/>
                    <w:rPr>
                      <w:rFonts w:ascii="Segoe UI" w:eastAsia="Times New Roman" w:hAnsi="Segoe UI" w:cs="Segoe UI"/>
                      <w:color w:val="000000"/>
                      <w:sz w:val="18"/>
                      <w:szCs w:val="18"/>
                      <w:lang w:eastAsia="en-AU"/>
                    </w:rPr>
                  </w:pPr>
                  <w:r w:rsidRPr="00910AD2">
                    <w:rPr>
                      <w:rFonts w:ascii="Segoe UI" w:eastAsia="Times New Roman" w:hAnsi="Segoe UI" w:cs="Segoe UI"/>
                      <w:color w:val="000000"/>
                      <w:sz w:val="18"/>
                      <w:szCs w:val="18"/>
                      <w:lang w:eastAsia="en-AU"/>
                    </w:rPr>
                    <w:t>Estimated dermal exposure at WES &gt;10%:</w:t>
                  </w:r>
                </w:p>
              </w:tc>
              <w:tc>
                <w:tcPr>
                  <w:tcW w:w="1134" w:type="dxa"/>
                  <w:tcBorders>
                    <w:top w:val="nil"/>
                    <w:left w:val="nil"/>
                    <w:bottom w:val="nil"/>
                    <w:right w:val="nil"/>
                  </w:tcBorders>
                  <w:shd w:val="clear" w:color="000000" w:fill="C5D9F1"/>
                  <w:noWrap/>
                  <w:vAlign w:val="center"/>
                  <w:hideMark/>
                </w:tcPr>
                <w:p w14:paraId="30DADBDA" w14:textId="77777777" w:rsidR="00910AD2" w:rsidRPr="00910AD2" w:rsidRDefault="00910AD2" w:rsidP="00910AD2">
                  <w:pPr>
                    <w:spacing w:after="0" w:line="240" w:lineRule="auto"/>
                    <w:jc w:val="center"/>
                    <w:rPr>
                      <w:rFonts w:ascii="Segoe UI" w:eastAsia="Times New Roman" w:hAnsi="Segoe UI" w:cs="Segoe UI"/>
                      <w:color w:val="000000"/>
                      <w:sz w:val="18"/>
                      <w:szCs w:val="18"/>
                      <w:lang w:eastAsia="en-AU"/>
                    </w:rPr>
                  </w:pPr>
                  <w:r w:rsidRPr="00910AD2">
                    <w:rPr>
                      <w:rFonts w:ascii="Segoe UI" w:eastAsia="Times New Roman" w:hAnsi="Segoe UI" w:cs="Segoe UI"/>
                      <w:color w:val="000000"/>
                      <w:sz w:val="18"/>
                      <w:szCs w:val="18"/>
                      <w:lang w:eastAsia="en-AU"/>
                    </w:rPr>
                    <w:t> </w:t>
                  </w:r>
                </w:p>
              </w:tc>
              <w:tc>
                <w:tcPr>
                  <w:tcW w:w="1134" w:type="dxa"/>
                  <w:tcBorders>
                    <w:top w:val="nil"/>
                    <w:left w:val="nil"/>
                    <w:bottom w:val="nil"/>
                    <w:right w:val="nil"/>
                  </w:tcBorders>
                  <w:shd w:val="clear" w:color="000000" w:fill="C5D9F1"/>
                  <w:noWrap/>
                  <w:vAlign w:val="center"/>
                  <w:hideMark/>
                </w:tcPr>
                <w:p w14:paraId="57311741" w14:textId="77777777" w:rsidR="00910AD2" w:rsidRPr="00910AD2" w:rsidRDefault="00910AD2" w:rsidP="00910AD2">
                  <w:pPr>
                    <w:spacing w:after="0" w:line="240" w:lineRule="auto"/>
                    <w:rPr>
                      <w:rFonts w:ascii="Segoe UI" w:eastAsia="Times New Roman" w:hAnsi="Segoe UI" w:cs="Segoe UI"/>
                      <w:color w:val="C5D9F1"/>
                      <w:sz w:val="18"/>
                      <w:szCs w:val="18"/>
                      <w:lang w:eastAsia="en-AU"/>
                    </w:rPr>
                  </w:pPr>
                  <w:r w:rsidRPr="00910AD2">
                    <w:rPr>
                      <w:rFonts w:ascii="Segoe UI" w:eastAsia="Times New Roman" w:hAnsi="Segoe UI" w:cs="Segoe UI"/>
                      <w:color w:val="C5D9F1"/>
                      <w:sz w:val="18"/>
                      <w:szCs w:val="18"/>
                      <w:lang w:eastAsia="en-AU"/>
                    </w:rPr>
                    <w:t> </w:t>
                  </w:r>
                </w:p>
              </w:tc>
              <w:tc>
                <w:tcPr>
                  <w:tcW w:w="2743" w:type="dxa"/>
                  <w:tcBorders>
                    <w:top w:val="nil"/>
                    <w:left w:val="nil"/>
                    <w:bottom w:val="nil"/>
                    <w:right w:val="nil"/>
                  </w:tcBorders>
                  <w:shd w:val="clear" w:color="000000" w:fill="C5D9F1"/>
                  <w:noWrap/>
                  <w:vAlign w:val="center"/>
                  <w:hideMark/>
                </w:tcPr>
                <w:p w14:paraId="11560962" w14:textId="77777777" w:rsidR="00910AD2" w:rsidRPr="00910AD2" w:rsidRDefault="00910AD2" w:rsidP="00910AD2">
                  <w:pPr>
                    <w:spacing w:after="0" w:line="240" w:lineRule="auto"/>
                    <w:rPr>
                      <w:rFonts w:ascii="Segoe UI" w:eastAsia="Times New Roman" w:hAnsi="Segoe UI" w:cs="Segoe UI"/>
                      <w:color w:val="000000"/>
                      <w:sz w:val="18"/>
                      <w:szCs w:val="18"/>
                      <w:lang w:eastAsia="en-AU"/>
                    </w:rPr>
                  </w:pPr>
                  <w:r w:rsidRPr="00910AD2">
                    <w:rPr>
                      <w:rFonts w:ascii="Segoe UI" w:eastAsia="Times New Roman" w:hAnsi="Segoe UI" w:cs="Segoe UI"/>
                      <w:color w:val="000000"/>
                      <w:sz w:val="18"/>
                      <w:szCs w:val="18"/>
                      <w:lang w:eastAsia="en-AU"/>
                    </w:rPr>
                    <w:t> </w:t>
                  </w:r>
                </w:p>
              </w:tc>
            </w:tr>
            <w:tr w:rsidR="00910AD2" w:rsidRPr="00910AD2" w14:paraId="3747A4D7" w14:textId="77777777" w:rsidTr="00910AD2">
              <w:trPr>
                <w:trHeight w:val="323"/>
              </w:trPr>
              <w:tc>
                <w:tcPr>
                  <w:tcW w:w="3853" w:type="dxa"/>
                  <w:tcBorders>
                    <w:top w:val="nil"/>
                    <w:left w:val="nil"/>
                    <w:bottom w:val="nil"/>
                    <w:right w:val="nil"/>
                  </w:tcBorders>
                  <w:shd w:val="clear" w:color="000000" w:fill="C5D9F1"/>
                  <w:noWrap/>
                  <w:vAlign w:val="center"/>
                  <w:hideMark/>
                </w:tcPr>
                <w:p w14:paraId="5F06207E" w14:textId="77777777" w:rsidR="00910AD2" w:rsidRPr="00910AD2" w:rsidRDefault="00910AD2" w:rsidP="00910AD2">
                  <w:pPr>
                    <w:spacing w:after="0" w:line="240" w:lineRule="auto"/>
                    <w:jc w:val="right"/>
                    <w:rPr>
                      <w:rFonts w:ascii="Segoe UI" w:eastAsia="Times New Roman" w:hAnsi="Segoe UI" w:cs="Segoe UI"/>
                      <w:color w:val="000000"/>
                      <w:sz w:val="18"/>
                      <w:szCs w:val="18"/>
                      <w:lang w:eastAsia="en-AU"/>
                    </w:rPr>
                  </w:pPr>
                  <w:r w:rsidRPr="00910AD2">
                    <w:rPr>
                      <w:rFonts w:ascii="Segoe UI" w:eastAsia="Times New Roman" w:hAnsi="Segoe UI" w:cs="Segoe UI"/>
                      <w:color w:val="000000"/>
                      <w:sz w:val="18"/>
                      <w:szCs w:val="18"/>
                      <w:lang w:eastAsia="en-AU"/>
                    </w:rPr>
                    <w:t> </w:t>
                  </w:r>
                </w:p>
              </w:tc>
              <w:tc>
                <w:tcPr>
                  <w:tcW w:w="1134" w:type="dxa"/>
                  <w:tcBorders>
                    <w:top w:val="nil"/>
                    <w:left w:val="nil"/>
                    <w:bottom w:val="nil"/>
                    <w:right w:val="nil"/>
                  </w:tcBorders>
                  <w:shd w:val="clear" w:color="000000" w:fill="C5D9F1"/>
                  <w:noWrap/>
                  <w:vAlign w:val="center"/>
                  <w:hideMark/>
                </w:tcPr>
                <w:p w14:paraId="091975EA" w14:textId="77777777" w:rsidR="00910AD2" w:rsidRPr="00910AD2" w:rsidRDefault="00910AD2" w:rsidP="00910AD2">
                  <w:pPr>
                    <w:spacing w:after="0" w:line="240" w:lineRule="auto"/>
                    <w:jc w:val="center"/>
                    <w:rPr>
                      <w:rFonts w:ascii="Segoe UI" w:eastAsia="Times New Roman" w:hAnsi="Segoe UI" w:cs="Segoe UI"/>
                      <w:color w:val="000000"/>
                      <w:sz w:val="18"/>
                      <w:szCs w:val="18"/>
                      <w:lang w:eastAsia="en-AU"/>
                    </w:rPr>
                  </w:pPr>
                  <w:r w:rsidRPr="00910AD2">
                    <w:rPr>
                      <w:rFonts w:ascii="Segoe UI" w:eastAsia="Times New Roman" w:hAnsi="Segoe UI" w:cs="Segoe UI"/>
                      <w:color w:val="000000"/>
                      <w:sz w:val="18"/>
                      <w:szCs w:val="18"/>
                      <w:lang w:eastAsia="en-AU"/>
                    </w:rPr>
                    <w:t> </w:t>
                  </w:r>
                </w:p>
              </w:tc>
              <w:tc>
                <w:tcPr>
                  <w:tcW w:w="1134" w:type="dxa"/>
                  <w:tcBorders>
                    <w:top w:val="nil"/>
                    <w:left w:val="nil"/>
                    <w:bottom w:val="nil"/>
                    <w:right w:val="nil"/>
                  </w:tcBorders>
                  <w:shd w:val="clear" w:color="000000" w:fill="C5D9F1"/>
                  <w:noWrap/>
                  <w:vAlign w:val="center"/>
                  <w:hideMark/>
                </w:tcPr>
                <w:p w14:paraId="30CD5A51" w14:textId="77777777" w:rsidR="00910AD2" w:rsidRPr="00910AD2" w:rsidRDefault="00910AD2" w:rsidP="00910AD2">
                  <w:pPr>
                    <w:spacing w:after="0" w:line="240" w:lineRule="auto"/>
                    <w:rPr>
                      <w:rFonts w:ascii="Segoe UI" w:eastAsia="Times New Roman" w:hAnsi="Segoe UI" w:cs="Segoe UI"/>
                      <w:color w:val="C5D9F1"/>
                      <w:sz w:val="18"/>
                      <w:szCs w:val="18"/>
                      <w:lang w:eastAsia="en-AU"/>
                    </w:rPr>
                  </w:pPr>
                  <w:r w:rsidRPr="00910AD2">
                    <w:rPr>
                      <w:rFonts w:ascii="Segoe UI" w:eastAsia="Times New Roman" w:hAnsi="Segoe UI" w:cs="Segoe UI"/>
                      <w:color w:val="C5D9F1"/>
                      <w:sz w:val="18"/>
                      <w:szCs w:val="18"/>
                      <w:lang w:eastAsia="en-AU"/>
                    </w:rPr>
                    <w:t> </w:t>
                  </w:r>
                </w:p>
              </w:tc>
              <w:tc>
                <w:tcPr>
                  <w:tcW w:w="2743" w:type="dxa"/>
                  <w:tcBorders>
                    <w:top w:val="nil"/>
                    <w:left w:val="nil"/>
                    <w:bottom w:val="nil"/>
                    <w:right w:val="nil"/>
                  </w:tcBorders>
                  <w:shd w:val="clear" w:color="000000" w:fill="C5D9F1"/>
                  <w:noWrap/>
                  <w:vAlign w:val="center"/>
                  <w:hideMark/>
                </w:tcPr>
                <w:p w14:paraId="510E93C4" w14:textId="77777777" w:rsidR="00910AD2" w:rsidRPr="00910AD2" w:rsidRDefault="00910AD2" w:rsidP="00910AD2">
                  <w:pPr>
                    <w:spacing w:after="0" w:line="240" w:lineRule="auto"/>
                    <w:rPr>
                      <w:rFonts w:ascii="Segoe UI" w:eastAsia="Times New Roman" w:hAnsi="Segoe UI" w:cs="Segoe UI"/>
                      <w:b/>
                      <w:bCs/>
                      <w:color w:val="000000"/>
                      <w:sz w:val="18"/>
                      <w:szCs w:val="18"/>
                      <w:lang w:eastAsia="en-AU"/>
                    </w:rPr>
                  </w:pPr>
                  <w:r w:rsidRPr="00910AD2">
                    <w:rPr>
                      <w:rFonts w:ascii="Segoe UI" w:eastAsia="Times New Roman" w:hAnsi="Segoe UI" w:cs="Segoe UI"/>
                      <w:b/>
                      <w:bCs/>
                      <w:color w:val="000000"/>
                      <w:sz w:val="18"/>
                      <w:szCs w:val="18"/>
                      <w:lang w:eastAsia="en-AU"/>
                    </w:rPr>
                    <w:t>a skin notation is warranted</w:t>
                  </w:r>
                </w:p>
              </w:tc>
            </w:tr>
          </w:tbl>
          <w:p w14:paraId="033321F9" w14:textId="77777777" w:rsidR="00932DCE" w:rsidRPr="004C23F4" w:rsidRDefault="00932DCE" w:rsidP="00F9496B">
            <w:pPr>
              <w:pStyle w:val="Tablefont"/>
            </w:pPr>
          </w:p>
        </w:tc>
      </w:tr>
    </w:tbl>
    <w:bookmarkEnd w:id="3"/>
    <w:p w14:paraId="47BA803E" w14:textId="77777777" w:rsidR="00EB3D1B" w:rsidRDefault="00EB3D1B" w:rsidP="00EB3D1B">
      <w:pPr>
        <w:pStyle w:val="Heading3"/>
      </w:pPr>
      <w:proofErr w:type="spellStart"/>
      <w:r>
        <w:t>IDLH</w:t>
      </w:r>
      <w:proofErr w:type="spellEnd"/>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IDLH Table"/>
        <w:tblDescription w:val="Poses question: Ist here a suitable IDLH value available"/>
      </w:tblPr>
      <w:tblGrid>
        <w:gridCol w:w="4268"/>
        <w:gridCol w:w="4758"/>
      </w:tblGrid>
      <w:tr w:rsidR="00EB3D1B" w14:paraId="0B9FB863" w14:textId="77777777" w:rsidTr="00610F2E">
        <w:trPr>
          <w:trHeight w:val="454"/>
          <w:tblHeader/>
        </w:trPr>
        <w:tc>
          <w:tcPr>
            <w:tcW w:w="4361" w:type="dxa"/>
            <w:vAlign w:val="center"/>
          </w:tcPr>
          <w:p w14:paraId="58D6AFAD" w14:textId="77777777" w:rsidR="00EB3D1B" w:rsidRDefault="00EB3D1B" w:rsidP="00D87570">
            <w:pPr>
              <w:pStyle w:val="Tablefont"/>
            </w:pPr>
            <w:r>
              <w:t xml:space="preserve">Is there a </w:t>
            </w:r>
            <w:r w:rsidR="006E5D05">
              <w:t>suitable</w:t>
            </w:r>
            <w:r>
              <w:t xml:space="preserve"> </w:t>
            </w:r>
            <w:proofErr w:type="spellStart"/>
            <w:r>
              <w:t>IDLH</w:t>
            </w:r>
            <w:proofErr w:type="spellEnd"/>
            <w:r>
              <w:t xml:space="preserve"> value available?</w:t>
            </w:r>
          </w:p>
        </w:tc>
        <w:sdt>
          <w:sdtPr>
            <w:id w:val="1781757649"/>
            <w:placeholder>
              <w:docPart w:val="F426C563814E402488AC06CC39354A11"/>
            </w:placeholder>
            <w:comboBox>
              <w:listItem w:value="Choose an item."/>
              <w:listItem w:displayText="Yes" w:value="Yes"/>
              <w:listItem w:displayText="Yes, based on LEL" w:value="Yes, based on LEL"/>
              <w:listItem w:displayText="No" w:value="No"/>
              <w:listItem w:displayText="No, the chemical is a genotoxic carcinogen" w:value="No, the chemical is a genotoxic carcinogen"/>
            </w:comboBox>
          </w:sdtPr>
          <w:sdtEndPr/>
          <w:sdtContent>
            <w:tc>
              <w:tcPr>
                <w:tcW w:w="4881" w:type="dxa"/>
                <w:vAlign w:val="center"/>
              </w:tcPr>
              <w:p w14:paraId="3F1E61EE" w14:textId="3ED24374" w:rsidR="00EB3D1B" w:rsidRDefault="00054152" w:rsidP="00EB3D1B">
                <w:pPr>
                  <w:pStyle w:val="Tablefont"/>
                </w:pPr>
                <w:r>
                  <w:t>Yes</w:t>
                </w:r>
              </w:p>
            </w:tc>
          </w:sdtContent>
        </w:sdt>
      </w:tr>
    </w:tbl>
    <w:p w14:paraId="0971680A" w14:textId="77777777" w:rsidR="00687890" w:rsidRPr="004C23F4" w:rsidRDefault="00B479A9" w:rsidP="00474E33">
      <w:pPr>
        <w:pStyle w:val="Heading2"/>
      </w:pPr>
      <w:r w:rsidRPr="004C23F4">
        <w:t>Additional information</w:t>
      </w:r>
    </w:p>
    <w:tbl>
      <w:tblPr>
        <w:tblStyle w:val="TableGrid"/>
        <w:tblW w:w="5000" w:type="pct"/>
        <w:tblBorders>
          <w:top w:val="single" w:sz="8" w:space="0" w:color="BFBFBF" w:themeColor="background1" w:themeShade="BF"/>
          <w:left w:val="none" w:sz="0" w:space="0" w:color="auto"/>
          <w:bottom w:val="single" w:sz="8" w:space="0" w:color="BFBFBF" w:themeColor="background1" w:themeShade="BF"/>
          <w:right w:val="none" w:sz="0" w:space="0" w:color="auto"/>
          <w:insideH w:val="single" w:sz="8" w:space="0" w:color="BFBFBF" w:themeColor="background1" w:themeShade="BF"/>
          <w:insideV w:val="none" w:sz="0" w:space="0" w:color="auto"/>
        </w:tblBorders>
        <w:tblLook w:val="04A0" w:firstRow="1" w:lastRow="0" w:firstColumn="1" w:lastColumn="0" w:noHBand="0" w:noVBand="1"/>
        <w:tblCaption w:val="Table"/>
        <w:tblDescription w:val="Showing additional information"/>
      </w:tblPr>
      <w:tblGrid>
        <w:gridCol w:w="3995"/>
        <w:gridCol w:w="5031"/>
      </w:tblGrid>
      <w:tr w:rsidR="001B79E5" w:rsidRPr="004C23F4" w14:paraId="57E2FCA6" w14:textId="77777777" w:rsidTr="00EA6243">
        <w:trPr>
          <w:cantSplit/>
          <w:tblHeader/>
        </w:trPr>
        <w:tc>
          <w:tcPr>
            <w:tcW w:w="4077" w:type="dxa"/>
            <w:vAlign w:val="center"/>
          </w:tcPr>
          <w:p w14:paraId="5EB0F257" w14:textId="77777777" w:rsidR="001B79E5" w:rsidRDefault="001B79E5" w:rsidP="00A31D99">
            <w:pPr>
              <w:pStyle w:val="Tablefont"/>
            </w:pPr>
            <w:r>
              <w:t>Molecular weight:</w:t>
            </w:r>
          </w:p>
        </w:tc>
        <w:sdt>
          <w:sdtPr>
            <w:id w:val="2058126578"/>
            <w:placeholder>
              <w:docPart w:val="0DAD3FB9ACEF4778B961F088737E2361"/>
            </w:placeholder>
          </w:sdtPr>
          <w:sdtEndPr/>
          <w:sdtContent>
            <w:tc>
              <w:tcPr>
                <w:tcW w:w="5165" w:type="dxa"/>
                <w:vAlign w:val="center"/>
              </w:tcPr>
              <w:p w14:paraId="454DE1FA" w14:textId="508A6201" w:rsidR="001B79E5" w:rsidRDefault="00054152" w:rsidP="001B79E5">
                <w:pPr>
                  <w:pStyle w:val="Tablefont"/>
                </w:pPr>
                <w:r w:rsidRPr="00054152">
                  <w:t>198.13</w:t>
                </w:r>
              </w:p>
            </w:tc>
          </w:sdtContent>
        </w:sdt>
      </w:tr>
      <w:tr w:rsidR="00A31D99" w:rsidRPr="004C23F4" w14:paraId="31E869E0" w14:textId="77777777" w:rsidTr="00EA6243">
        <w:trPr>
          <w:cantSplit/>
          <w:tblHeader/>
        </w:trPr>
        <w:tc>
          <w:tcPr>
            <w:tcW w:w="4077" w:type="dxa"/>
            <w:vAlign w:val="center"/>
          </w:tcPr>
          <w:p w14:paraId="3A035B6D" w14:textId="77777777" w:rsidR="00A31D99" w:rsidRPr="00263255" w:rsidRDefault="00A31D99" w:rsidP="00A31D99">
            <w:pPr>
              <w:pStyle w:val="Tablefont"/>
            </w:pPr>
            <w:r>
              <w:t xml:space="preserve">Conversion factors at </w:t>
            </w:r>
            <w:proofErr w:type="spellStart"/>
            <w:r>
              <w:t>25</w:t>
            </w:r>
            <w:r>
              <w:rPr>
                <w:rFonts w:cs="Arial"/>
              </w:rPr>
              <w:t>°</w:t>
            </w:r>
            <w:r>
              <w:t>C</w:t>
            </w:r>
            <w:proofErr w:type="spellEnd"/>
            <w:r>
              <w:t xml:space="preserve"> and 101.3 kPa: </w:t>
            </w:r>
          </w:p>
        </w:tc>
        <w:tc>
          <w:tcPr>
            <w:tcW w:w="5165" w:type="dxa"/>
            <w:vAlign w:val="center"/>
          </w:tcPr>
          <w:p w14:paraId="2DD72663" w14:textId="77777777" w:rsidR="00A31D99" w:rsidRDefault="00A0643F" w:rsidP="00A174CC">
            <w:pPr>
              <w:pStyle w:val="Tablefont"/>
            </w:pPr>
            <w:r>
              <w:t xml:space="preserve">1 ppm = </w:t>
            </w:r>
            <w:sdt>
              <w:sdtPr>
                <w:id w:val="-371151491"/>
                <w:placeholder>
                  <w:docPart w:val="A7231FB73EFF4B2B92EB3BD21C0CEA01"/>
                </w:placeholder>
                <w:showingPlcHdr/>
              </w:sdtPr>
              <w:sdtEndPr/>
              <w:sdtContent>
                <w:r w:rsidR="00A174CC">
                  <w:rPr>
                    <w:rStyle w:val="PlaceholderText"/>
                  </w:rPr>
                  <w:t>Number</w:t>
                </w:r>
              </w:sdtContent>
            </w:sdt>
            <w:r>
              <w:t xml:space="preserve"> mg/</w:t>
            </w:r>
            <w:proofErr w:type="spellStart"/>
            <w:r>
              <w:t>m</w:t>
            </w:r>
            <w:r w:rsidRPr="00D83761">
              <w:rPr>
                <w:vertAlign w:val="superscript"/>
              </w:rPr>
              <w:t>3</w:t>
            </w:r>
            <w:proofErr w:type="spellEnd"/>
            <w:r>
              <w:t>; 1 mg/</w:t>
            </w:r>
            <w:proofErr w:type="spellStart"/>
            <w:r>
              <w:t>m</w:t>
            </w:r>
            <w:r w:rsidRPr="00D83761">
              <w:rPr>
                <w:vertAlign w:val="superscript"/>
              </w:rPr>
              <w:t>3</w:t>
            </w:r>
            <w:proofErr w:type="spellEnd"/>
            <w:r>
              <w:t xml:space="preserve"> = </w:t>
            </w:r>
            <w:sdt>
              <w:sdtPr>
                <w:id w:val="-1913150218"/>
                <w:placeholder>
                  <w:docPart w:val="5D98FA8C84704C71B6F1557317AE5303"/>
                </w:placeholder>
              </w:sdtPr>
              <w:sdtEndPr/>
              <w:sdtContent>
                <w:r w:rsidR="00A174CC" w:rsidRPr="00A174CC">
                  <w:rPr>
                    <w:color w:val="808080"/>
                  </w:rPr>
                  <w:t>Number</w:t>
                </w:r>
              </w:sdtContent>
            </w:sdt>
            <w:r>
              <w:t xml:space="preserve"> ppm</w:t>
            </w:r>
          </w:p>
        </w:tc>
      </w:tr>
      <w:tr w:rsidR="00687890" w:rsidRPr="004C23F4" w14:paraId="5D7F4AB0" w14:textId="77777777" w:rsidTr="00EA6243">
        <w:trPr>
          <w:cantSplit/>
          <w:tblHeader/>
        </w:trPr>
        <w:tc>
          <w:tcPr>
            <w:tcW w:w="4077" w:type="dxa"/>
            <w:vAlign w:val="center"/>
          </w:tcPr>
          <w:p w14:paraId="3C327BE9" w14:textId="77777777" w:rsidR="00687890" w:rsidRPr="00263255" w:rsidRDefault="00687890" w:rsidP="00263255">
            <w:pPr>
              <w:pStyle w:val="Tablefont"/>
            </w:pPr>
            <w:r w:rsidRPr="00263255">
              <w:t>This chemical is used as a pesticide:</w:t>
            </w:r>
          </w:p>
        </w:tc>
        <w:sdt>
          <w:sdtPr>
            <w:id w:val="1704441067"/>
            <w14:checkbox>
              <w14:checked w14:val="1"/>
              <w14:checkedState w14:val="00FC" w14:font="Wingdings"/>
              <w14:uncheckedState w14:val="2610" w14:font="MS Gothic"/>
            </w14:checkbox>
          </w:sdtPr>
          <w:sdtEndPr/>
          <w:sdtContent>
            <w:tc>
              <w:tcPr>
                <w:tcW w:w="5165" w:type="dxa"/>
                <w:vAlign w:val="center"/>
              </w:tcPr>
              <w:p w14:paraId="77C862B2" w14:textId="2E3236B2" w:rsidR="00687890" w:rsidRPr="004C23F4" w:rsidRDefault="00607DF3" w:rsidP="00717D45">
                <w:pPr>
                  <w:pStyle w:val="Tablefont"/>
                </w:pPr>
                <w:r>
                  <w:rPr>
                    <w:rFonts w:ascii="MS Gothic" w:eastAsia="MS Gothic" w:hAnsi="MS Gothic" w:cs="MS Gothic" w:hint="eastAsia"/>
                  </w:rPr>
                  <w:sym w:font="Wingdings" w:char="F0FC"/>
                </w:r>
              </w:p>
            </w:tc>
          </w:sdtContent>
        </w:sdt>
      </w:tr>
      <w:tr w:rsidR="00687890" w:rsidRPr="004C23F4" w14:paraId="6EC1DC35" w14:textId="77777777" w:rsidTr="00EA6243">
        <w:trPr>
          <w:cantSplit/>
        </w:trPr>
        <w:tc>
          <w:tcPr>
            <w:tcW w:w="4077" w:type="dxa"/>
            <w:vAlign w:val="center"/>
          </w:tcPr>
          <w:p w14:paraId="77611DDF" w14:textId="77777777" w:rsidR="00687890" w:rsidRPr="00263255" w:rsidRDefault="00687890" w:rsidP="00263255">
            <w:pPr>
              <w:pStyle w:val="Tablefont"/>
            </w:pPr>
            <w:r w:rsidRPr="00263255">
              <w:t>This chemical is a biological product:</w:t>
            </w:r>
          </w:p>
        </w:tc>
        <w:sdt>
          <w:sdtPr>
            <w:id w:val="-659616774"/>
            <w14:checkbox>
              <w14:checked w14:val="0"/>
              <w14:checkedState w14:val="00FC" w14:font="Wingdings"/>
              <w14:uncheckedState w14:val="2610" w14:font="MS Gothic"/>
            </w14:checkbox>
          </w:sdtPr>
          <w:sdtEndPr/>
          <w:sdtContent>
            <w:tc>
              <w:tcPr>
                <w:tcW w:w="5165" w:type="dxa"/>
                <w:vAlign w:val="center"/>
              </w:tcPr>
              <w:p w14:paraId="63C3EF58" w14:textId="77777777" w:rsidR="00687890" w:rsidRPr="004C23F4" w:rsidRDefault="00A20751" w:rsidP="00717D45">
                <w:pPr>
                  <w:pStyle w:val="Tablefont"/>
                </w:pPr>
                <w:r w:rsidRPr="004C23F4">
                  <w:rPr>
                    <w:rFonts w:ascii="MS Gothic" w:eastAsia="MS Gothic" w:hAnsi="MS Gothic" w:cs="MS Gothic" w:hint="eastAsia"/>
                  </w:rPr>
                  <w:t>☐</w:t>
                </w:r>
              </w:p>
            </w:tc>
          </w:sdtContent>
        </w:sdt>
      </w:tr>
      <w:tr w:rsidR="00687890" w:rsidRPr="004C23F4" w14:paraId="0CB881C4" w14:textId="77777777" w:rsidTr="00EA6243">
        <w:trPr>
          <w:cantSplit/>
        </w:trPr>
        <w:tc>
          <w:tcPr>
            <w:tcW w:w="4077" w:type="dxa"/>
            <w:vAlign w:val="center"/>
          </w:tcPr>
          <w:p w14:paraId="1E29C3E8" w14:textId="77777777" w:rsidR="00687890" w:rsidRPr="00263255" w:rsidRDefault="00687890" w:rsidP="00263255">
            <w:pPr>
              <w:pStyle w:val="Tablefont"/>
            </w:pPr>
            <w:r w:rsidRPr="00263255">
              <w:t>This chemical is a by-product of a process:</w:t>
            </w:r>
          </w:p>
        </w:tc>
        <w:sdt>
          <w:sdtPr>
            <w:id w:val="-863134491"/>
            <w14:checkbox>
              <w14:checked w14:val="0"/>
              <w14:checkedState w14:val="00FC" w14:font="Wingdings"/>
              <w14:uncheckedState w14:val="2610" w14:font="MS Gothic"/>
            </w14:checkbox>
          </w:sdtPr>
          <w:sdtEndPr/>
          <w:sdtContent>
            <w:tc>
              <w:tcPr>
                <w:tcW w:w="5165" w:type="dxa"/>
                <w:vAlign w:val="center"/>
              </w:tcPr>
              <w:p w14:paraId="434D6F6D" w14:textId="77777777" w:rsidR="00687890" w:rsidRPr="004C23F4" w:rsidRDefault="00687890" w:rsidP="00717D45">
                <w:pPr>
                  <w:pStyle w:val="Tablefont"/>
                </w:pPr>
                <w:r w:rsidRPr="004C23F4">
                  <w:rPr>
                    <w:rFonts w:ascii="MS Gothic" w:eastAsia="MS Gothic" w:hAnsi="MS Gothic" w:cs="MS Gothic" w:hint="eastAsia"/>
                  </w:rPr>
                  <w:t>☐</w:t>
                </w:r>
              </w:p>
            </w:tc>
          </w:sdtContent>
        </w:sdt>
      </w:tr>
      <w:tr w:rsidR="00E06F40" w:rsidRPr="004C23F4" w14:paraId="605075F6" w14:textId="77777777" w:rsidTr="00EA6243">
        <w:trPr>
          <w:cantSplit/>
        </w:trPr>
        <w:tc>
          <w:tcPr>
            <w:tcW w:w="4077" w:type="dxa"/>
            <w:vAlign w:val="center"/>
          </w:tcPr>
          <w:p w14:paraId="1D56F587" w14:textId="77777777" w:rsidR="00E06F40" w:rsidRPr="00263255" w:rsidRDefault="00E06F40" w:rsidP="00084513">
            <w:pPr>
              <w:pStyle w:val="Tablefont"/>
            </w:pPr>
            <w:r w:rsidRPr="00263255">
              <w:t xml:space="preserve">A biological exposure index has been recommended by </w:t>
            </w:r>
            <w:r w:rsidR="00084513">
              <w:t>these agencies</w:t>
            </w:r>
            <w:r w:rsidRPr="00263255">
              <w:t>:</w:t>
            </w:r>
          </w:p>
        </w:tc>
        <w:tc>
          <w:tcPr>
            <w:tcW w:w="5165" w:type="dxa"/>
            <w:vAlign w:val="center"/>
          </w:tcPr>
          <w:p w14:paraId="2C15EDCC" w14:textId="4411F858" w:rsidR="00E06F40" w:rsidRPr="00A006A0" w:rsidRDefault="00582E2D" w:rsidP="00B40C60">
            <w:pPr>
              <w:pStyle w:val="Tablefont"/>
              <w:tabs>
                <w:tab w:val="left" w:pos="1310"/>
                <w:tab w:val="left" w:pos="2444"/>
                <w:tab w:val="left" w:pos="3861"/>
              </w:tabs>
            </w:pPr>
            <w:sdt>
              <w:sdtPr>
                <w:id w:val="92759666"/>
                <w14:checkbox>
                  <w14:checked w14:val="0"/>
                  <w14:checkedState w14:val="00FC" w14:font="Wingdings"/>
                  <w14:uncheckedState w14:val="2610" w14:font="MS Gothic"/>
                </w14:checkbox>
              </w:sdtPr>
              <w:sdtEndPr/>
              <w:sdtContent>
                <w:r w:rsidR="00E06F40" w:rsidRPr="004C23F4">
                  <w:rPr>
                    <w:rFonts w:ascii="MS Gothic" w:eastAsia="MS Gothic" w:hAnsi="MS Gothic" w:cs="MS Gothic" w:hint="eastAsia"/>
                  </w:rPr>
                  <w:t>☐</w:t>
                </w:r>
              </w:sdtContent>
            </w:sdt>
            <w:r w:rsidR="00E06F40" w:rsidRPr="00A006A0">
              <w:t xml:space="preserve"> </w:t>
            </w:r>
            <w:proofErr w:type="spellStart"/>
            <w:r w:rsidR="00E06F40" w:rsidRPr="00A006A0">
              <w:t>ACGIH</w:t>
            </w:r>
            <w:proofErr w:type="spellEnd"/>
            <w:r w:rsidR="00E06F40">
              <w:tab/>
            </w:r>
            <w:sdt>
              <w:sdtPr>
                <w:id w:val="129367724"/>
                <w14:checkbox>
                  <w14:checked w14:val="0"/>
                  <w14:checkedState w14:val="00FC" w14:font="Wingdings"/>
                  <w14:uncheckedState w14:val="2610" w14:font="MS Gothic"/>
                </w14:checkbox>
              </w:sdtPr>
              <w:sdtEndPr/>
              <w:sdtContent>
                <w:r w:rsidR="00E06F40" w:rsidRPr="004C23F4">
                  <w:rPr>
                    <w:rFonts w:ascii="MS Gothic" w:eastAsia="MS Gothic" w:hAnsi="MS Gothic" w:cs="MS Gothic" w:hint="eastAsia"/>
                  </w:rPr>
                  <w:t>☐</w:t>
                </w:r>
              </w:sdtContent>
            </w:sdt>
            <w:r w:rsidR="00E06F40" w:rsidRPr="00A006A0">
              <w:t xml:space="preserve"> </w:t>
            </w:r>
            <w:proofErr w:type="spellStart"/>
            <w:r w:rsidR="00E06F40" w:rsidRPr="00A006A0">
              <w:t>DFG</w:t>
            </w:r>
            <w:proofErr w:type="spellEnd"/>
            <w:r w:rsidR="00E06F40">
              <w:tab/>
            </w:r>
            <w:sdt>
              <w:sdtPr>
                <w:id w:val="-1535876012"/>
                <w14:checkbox>
                  <w14:checked w14:val="1"/>
                  <w14:checkedState w14:val="00FC" w14:font="Wingdings"/>
                  <w14:uncheckedState w14:val="2610" w14:font="MS Gothic"/>
                </w14:checkbox>
              </w:sdtPr>
              <w:sdtEndPr/>
              <w:sdtContent>
                <w:r w:rsidR="00054152">
                  <w:sym w:font="Wingdings" w:char="F0FC"/>
                </w:r>
              </w:sdtContent>
            </w:sdt>
            <w:r w:rsidR="00E06F40" w:rsidRPr="00A006A0">
              <w:t xml:space="preserve"> </w:t>
            </w:r>
            <w:proofErr w:type="spellStart"/>
            <w:r w:rsidR="00E06F40" w:rsidRPr="00A006A0">
              <w:t>SCOEL</w:t>
            </w:r>
            <w:proofErr w:type="spellEnd"/>
            <w:r w:rsidR="00E06F40">
              <w:tab/>
            </w:r>
          </w:p>
        </w:tc>
      </w:tr>
    </w:tbl>
    <w:p w14:paraId="09CA49D1" w14:textId="77777777" w:rsidR="007F1005" w:rsidRPr="004C23F4" w:rsidRDefault="007F1005" w:rsidP="00EB3D1B">
      <w:pPr>
        <w:pStyle w:val="Heading2"/>
        <w:keepLines/>
      </w:pPr>
      <w:r w:rsidRPr="004C23F4">
        <w:t xml:space="preserve">Workplace exposure </w:t>
      </w:r>
      <w:r w:rsidR="00B479A9" w:rsidRPr="004C23F4">
        <w:t>standard history</w:t>
      </w:r>
    </w:p>
    <w:tbl>
      <w:tblPr>
        <w:tblStyle w:val="TableGrid"/>
        <w:tblW w:w="5000" w:type="pct"/>
        <w:tblBorders>
          <w:top w:val="single" w:sz="8" w:space="0" w:color="BFBFBF" w:themeColor="background1" w:themeShade="BF"/>
          <w:left w:val="none" w:sz="0" w:space="0" w:color="auto"/>
          <w:bottom w:val="single" w:sz="8" w:space="0" w:color="BFBFBF" w:themeColor="background1" w:themeShade="BF"/>
          <w:right w:val="none" w:sz="0" w:space="0" w:color="auto"/>
          <w:insideH w:val="single" w:sz="8" w:space="0" w:color="BFBFBF" w:themeColor="background1" w:themeShade="BF"/>
          <w:insideV w:val="none" w:sz="0" w:space="0" w:color="auto"/>
        </w:tblBorders>
        <w:tblLook w:val="04A0" w:firstRow="1" w:lastRow="0" w:firstColumn="1" w:lastColumn="0" w:noHBand="0" w:noVBand="1"/>
        <w:tblCaption w:val="Table"/>
        <w:tblDescription w:val="Showing Workplace Exposure Standard history"/>
      </w:tblPr>
      <w:tblGrid>
        <w:gridCol w:w="3979"/>
        <w:gridCol w:w="5047"/>
      </w:tblGrid>
      <w:tr w:rsidR="00224EE2" w:rsidRPr="004C23F4" w14:paraId="59C65C49" w14:textId="77777777" w:rsidTr="00F053FA">
        <w:trPr>
          <w:tblHeader/>
        </w:trPr>
        <w:tc>
          <w:tcPr>
            <w:tcW w:w="4077" w:type="dxa"/>
            <w:shd w:val="clear" w:color="auto" w:fill="BFBFBF" w:themeFill="background1" w:themeFillShade="BF"/>
            <w:vAlign w:val="center"/>
          </w:tcPr>
          <w:p w14:paraId="307E9C89" w14:textId="77777777" w:rsidR="00224EE2" w:rsidRPr="004C23F4" w:rsidRDefault="00224EE2" w:rsidP="00EB3D1B">
            <w:pPr>
              <w:pStyle w:val="Tableheader"/>
              <w:keepNext/>
              <w:keepLines/>
            </w:pPr>
            <w:bookmarkStart w:id="4" w:name="History" w:colFirst="0" w:colLast="1"/>
            <w:r>
              <w:t>Year</w:t>
            </w:r>
          </w:p>
        </w:tc>
        <w:tc>
          <w:tcPr>
            <w:tcW w:w="5165" w:type="dxa"/>
            <w:shd w:val="clear" w:color="auto" w:fill="BFBFBF" w:themeFill="background1" w:themeFillShade="BF"/>
            <w:vAlign w:val="center"/>
          </w:tcPr>
          <w:p w14:paraId="044803CC" w14:textId="77777777" w:rsidR="00224EE2" w:rsidRPr="004C23F4" w:rsidRDefault="00224EE2" w:rsidP="00EB3D1B">
            <w:pPr>
              <w:pStyle w:val="Tableheader"/>
              <w:keepNext/>
              <w:keepLines/>
            </w:pPr>
            <w:r>
              <w:t>Standard</w:t>
            </w:r>
          </w:p>
        </w:tc>
      </w:tr>
      <w:tr w:rsidR="007F1005" w:rsidRPr="004C23F4" w14:paraId="59D2F9B8" w14:textId="77777777" w:rsidTr="00F053FA">
        <w:trPr>
          <w:tblHeader/>
        </w:trPr>
        <w:sdt>
          <w:sdtPr>
            <w:id w:val="-25557549"/>
            <w:placeholder>
              <w:docPart w:val="2BF891C0AB704CDAB9BC6E80D556473F"/>
            </w:placeholder>
            <w:showingPlcHdr/>
            <w:text/>
          </w:sdtPr>
          <w:sdtEndPr/>
          <w:sdtContent>
            <w:tc>
              <w:tcPr>
                <w:tcW w:w="4077" w:type="dxa"/>
                <w:vAlign w:val="center"/>
              </w:tcPr>
              <w:p w14:paraId="29CF38AF" w14:textId="77777777" w:rsidR="007F1005" w:rsidRPr="004C23F4" w:rsidRDefault="00131092" w:rsidP="00EB3D1B">
                <w:pPr>
                  <w:pStyle w:val="Tablefont"/>
                  <w:keepLines/>
                </w:pPr>
                <w:r w:rsidRPr="004C23F4">
                  <w:rPr>
                    <w:rStyle w:val="PlaceholderText"/>
                    <w:rFonts w:cs="Arial"/>
                  </w:rPr>
                  <w:t>Click here to enter year</w:t>
                </w:r>
              </w:p>
            </w:tc>
          </w:sdtContent>
        </w:sdt>
        <w:tc>
          <w:tcPr>
            <w:tcW w:w="5165" w:type="dxa"/>
            <w:vAlign w:val="center"/>
          </w:tcPr>
          <w:p w14:paraId="0DBE5517" w14:textId="77777777" w:rsidR="007F1005" w:rsidRPr="004C23F4" w:rsidRDefault="007F1005" w:rsidP="00EB3D1B">
            <w:pPr>
              <w:pStyle w:val="Tablefont"/>
              <w:keepLines/>
            </w:pPr>
          </w:p>
        </w:tc>
      </w:tr>
    </w:tbl>
    <w:bookmarkEnd w:id="4"/>
    <w:p w14:paraId="0DC2E1B0" w14:textId="77777777" w:rsidR="00F87D92" w:rsidRDefault="00F87D92" w:rsidP="00EF7F78">
      <w:pPr>
        <w:pStyle w:val="Heading2"/>
        <w:tabs>
          <w:tab w:val="right" w:pos="8505"/>
        </w:tabs>
      </w:pPr>
      <w:r>
        <w:t>References</w:t>
      </w:r>
      <w:r w:rsidR="00EF7F78">
        <w:tab/>
      </w:r>
    </w:p>
    <w:p w14:paraId="0858C840" w14:textId="33177FE3" w:rsidR="007F1005" w:rsidRDefault="006650FE" w:rsidP="00084859">
      <w:r>
        <w:t>American Conference of Industrial Hygienists (</w:t>
      </w:r>
      <w:proofErr w:type="spellStart"/>
      <w:r>
        <w:t>ACGIH</w:t>
      </w:r>
      <w:proofErr w:type="spellEnd"/>
      <w:r>
        <w:rPr>
          <w:vertAlign w:val="superscript"/>
        </w:rPr>
        <w:t>®</w:t>
      </w:r>
      <w:r>
        <w:t>) (201</w:t>
      </w:r>
      <w:r w:rsidR="00F67BBB">
        <w:t>8</w:t>
      </w:r>
      <w:r>
        <w:t>) TLVs</w:t>
      </w:r>
      <w:r>
        <w:rPr>
          <w:vertAlign w:val="superscript"/>
        </w:rPr>
        <w:t>®</w:t>
      </w:r>
      <w:r>
        <w:t xml:space="preserve"> and </w:t>
      </w:r>
      <w:proofErr w:type="spellStart"/>
      <w:r>
        <w:t>BEIs</w:t>
      </w:r>
      <w:proofErr w:type="spellEnd"/>
      <w:r>
        <w:rPr>
          <w:vertAlign w:val="superscript"/>
        </w:rPr>
        <w:t>®</w:t>
      </w:r>
      <w:r>
        <w:t xml:space="preserve"> with 7</w:t>
      </w:r>
      <w:r>
        <w:rPr>
          <w:vertAlign w:val="superscript"/>
        </w:rPr>
        <w:t>th</w:t>
      </w:r>
      <w:r>
        <w:t xml:space="preserve"> Edition Documentation, CD-ROM, Single User Version. Copyright 201</w:t>
      </w:r>
      <w:r w:rsidR="00F67BBB">
        <w:t>8</w:t>
      </w:r>
      <w:r>
        <w:t xml:space="preserve">. Reprinted with permission. See the </w:t>
      </w:r>
      <w:hyperlink r:id="rId17" w:history="1">
        <w:r>
          <w:rPr>
            <w:rStyle w:val="Hyperlink"/>
            <w:i/>
          </w:rPr>
          <w:t>TLVs</w:t>
        </w:r>
        <w:r>
          <w:rPr>
            <w:rStyle w:val="Hyperlink"/>
            <w:i/>
            <w:vertAlign w:val="superscript"/>
          </w:rPr>
          <w:t>®</w:t>
        </w:r>
        <w:r>
          <w:rPr>
            <w:rStyle w:val="Hyperlink"/>
            <w:i/>
          </w:rPr>
          <w:t xml:space="preserve"> and </w:t>
        </w:r>
        <w:proofErr w:type="spellStart"/>
        <w:r>
          <w:rPr>
            <w:rStyle w:val="Hyperlink"/>
            <w:i/>
          </w:rPr>
          <w:t>BEIs</w:t>
        </w:r>
        <w:proofErr w:type="spellEnd"/>
        <w:r>
          <w:rPr>
            <w:rStyle w:val="Hyperlink"/>
            <w:i/>
            <w:vertAlign w:val="superscript"/>
          </w:rPr>
          <w:t>®</w:t>
        </w:r>
        <w:r>
          <w:rPr>
            <w:rStyle w:val="Hyperlink"/>
            <w:i/>
          </w:rPr>
          <w:t xml:space="preserve"> Guidelines section</w:t>
        </w:r>
      </w:hyperlink>
      <w:r>
        <w:t xml:space="preserve"> on the </w:t>
      </w:r>
      <w:proofErr w:type="spellStart"/>
      <w:r>
        <w:t>ACGIH</w:t>
      </w:r>
      <w:proofErr w:type="spellEnd"/>
      <w:r>
        <w:t xml:space="preserve"> website.</w:t>
      </w:r>
    </w:p>
    <w:p w14:paraId="27920294" w14:textId="65A59B54" w:rsidR="00054152" w:rsidRDefault="00054152" w:rsidP="00084859">
      <w:r>
        <w:t xml:space="preserve">Deutsche </w:t>
      </w:r>
      <w:proofErr w:type="spellStart"/>
      <w:r>
        <w:t>Forschungsgemeinschaft</w:t>
      </w:r>
      <w:proofErr w:type="spellEnd"/>
      <w:r>
        <w:t xml:space="preserve"> (</w:t>
      </w:r>
      <w:proofErr w:type="spellStart"/>
      <w:r>
        <w:t>DFG</w:t>
      </w:r>
      <w:proofErr w:type="spellEnd"/>
      <w:r>
        <w:t xml:space="preserve">) (1997) </w:t>
      </w:r>
      <w:r w:rsidRPr="00054152">
        <w:t xml:space="preserve">4,6-Dinitro-o-cresol </w:t>
      </w:r>
      <w:r>
        <w:t>– MAK value documentation.</w:t>
      </w:r>
    </w:p>
    <w:p w14:paraId="36E68ADE" w14:textId="6AA97260" w:rsidR="00054152" w:rsidRDefault="00054152" w:rsidP="00084859">
      <w:r>
        <w:t xml:space="preserve">European Chemicals Agency (ECHA) (2019) </w:t>
      </w:r>
      <w:r w:rsidRPr="00054152">
        <w:t>Dinitro-o-cresol</w:t>
      </w:r>
      <w:r>
        <w:t xml:space="preserve"> – REACH assessment.</w:t>
      </w:r>
    </w:p>
    <w:p w14:paraId="7D4C8AED" w14:textId="62B0E093" w:rsidR="00054152" w:rsidRDefault="00054152" w:rsidP="00084859">
      <w:r>
        <w:t>EU Scientific Committee on Occupational Exposure Limits (</w:t>
      </w:r>
      <w:proofErr w:type="spellStart"/>
      <w:r>
        <w:t>SCOEL</w:t>
      </w:r>
      <w:proofErr w:type="spellEnd"/>
      <w:r>
        <w:t xml:space="preserve">) (2004) Recommendation from the Scientific Committee on Occupational Exposure Limits for </w:t>
      </w:r>
      <w:r w:rsidRPr="00054152">
        <w:t>4,6-dinitro-o-cresol</w:t>
      </w:r>
      <w:r>
        <w:t xml:space="preserve">. </w:t>
      </w:r>
      <w:proofErr w:type="spellStart"/>
      <w:r>
        <w:t>SCOEL</w:t>
      </w:r>
      <w:proofErr w:type="spellEnd"/>
      <w:r>
        <w:t>/</w:t>
      </w:r>
      <w:r w:rsidRPr="00054152">
        <w:t>SUM/60</w:t>
      </w:r>
      <w:r>
        <w:t>.</w:t>
      </w:r>
    </w:p>
    <w:p w14:paraId="68C7A8D6" w14:textId="544019D8" w:rsidR="00054152" w:rsidRPr="00351FE0" w:rsidRDefault="00054152" w:rsidP="00084859">
      <w:r>
        <w:t>US National Institute for Occupational Safety and Health (</w:t>
      </w:r>
      <w:proofErr w:type="spellStart"/>
      <w:r>
        <w:t>NIOSH</w:t>
      </w:r>
      <w:proofErr w:type="spellEnd"/>
      <w:r>
        <w:t xml:space="preserve">) (2015) </w:t>
      </w:r>
      <w:proofErr w:type="spellStart"/>
      <w:r>
        <w:t>NIOSH</w:t>
      </w:r>
      <w:proofErr w:type="spellEnd"/>
      <w:r>
        <w:t xml:space="preserve"> Skin Notation Profiles: </w:t>
      </w:r>
      <w:r w:rsidRPr="00054152">
        <w:t>Dinitro-o-creso</w:t>
      </w:r>
      <w:r>
        <w:t>l.</w:t>
      </w:r>
    </w:p>
    <w:sectPr w:rsidR="00054152" w:rsidRPr="00351FE0" w:rsidSect="00B87D4C">
      <w:headerReference w:type="default" r:id="rId18"/>
      <w:pgSz w:w="11906" w:h="16838"/>
      <w:pgMar w:top="1440" w:right="1440" w:bottom="1440" w:left="1440" w:header="708"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9334DA5" w14:textId="77777777" w:rsidR="00D45501" w:rsidRDefault="00D45501" w:rsidP="00F43AD5">
      <w:pPr>
        <w:spacing w:after="0" w:line="240" w:lineRule="auto"/>
      </w:pPr>
      <w:r>
        <w:separator/>
      </w:r>
    </w:p>
  </w:endnote>
  <w:endnote w:type="continuationSeparator" w:id="0">
    <w:p w14:paraId="68CC1A6E" w14:textId="77777777" w:rsidR="00D45501" w:rsidRDefault="00D45501" w:rsidP="00F43A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Bold">
    <w:panose1 w:val="020B0704020202020204"/>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F44C1D" w14:textId="77777777" w:rsidR="00FF2704" w:rsidRDefault="00FF270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135787447"/>
      <w:docPartObj>
        <w:docPartGallery w:val="Page Numbers (Bottom of Page)"/>
        <w:docPartUnique/>
      </w:docPartObj>
    </w:sdtPr>
    <w:sdtEndPr>
      <w:rPr>
        <w:noProof/>
        <w:sz w:val="18"/>
        <w:szCs w:val="18"/>
      </w:rPr>
    </w:sdtEndPr>
    <w:sdtContent>
      <w:p w14:paraId="793AE176" w14:textId="77777777" w:rsidR="00DA2DFF" w:rsidRPr="00DA2DFF" w:rsidRDefault="00DA2DFF" w:rsidP="00DA2DFF">
        <w:pPr>
          <w:pStyle w:val="Footer"/>
          <w:rPr>
            <w:b/>
            <w:sz w:val="18"/>
            <w:szCs w:val="18"/>
          </w:rPr>
        </w:pPr>
      </w:p>
      <w:p w14:paraId="7A0F8B07" w14:textId="62E862DA" w:rsidR="008A36CF" w:rsidRPr="001342A2" w:rsidRDefault="00DA2DFF" w:rsidP="00DA2DFF">
        <w:pPr>
          <w:pStyle w:val="Footer"/>
          <w:rPr>
            <w:sz w:val="18"/>
            <w:szCs w:val="18"/>
            <w:lang w:val="it-IT"/>
          </w:rPr>
        </w:pPr>
        <w:r w:rsidRPr="001342A2">
          <w:rPr>
            <w:b/>
            <w:sz w:val="18"/>
            <w:szCs w:val="18"/>
            <w:lang w:val="it-IT"/>
          </w:rPr>
          <w:t>Dinitro-o-cresol</w:t>
        </w:r>
        <w:r w:rsidR="008A36CF" w:rsidRPr="001342A2">
          <w:rPr>
            <w:b/>
            <w:sz w:val="18"/>
            <w:szCs w:val="18"/>
            <w:lang w:val="it-IT"/>
          </w:rPr>
          <w:t xml:space="preserve"> (</w:t>
        </w:r>
        <w:r w:rsidRPr="001342A2">
          <w:rPr>
            <w:b/>
            <w:sz w:val="18"/>
            <w:szCs w:val="18"/>
            <w:lang w:val="it-IT"/>
          </w:rPr>
          <w:t>534-52-1</w:t>
        </w:r>
        <w:r w:rsidR="008A36CF" w:rsidRPr="001342A2">
          <w:rPr>
            <w:b/>
            <w:sz w:val="18"/>
            <w:szCs w:val="18"/>
            <w:lang w:val="it-IT"/>
          </w:rPr>
          <w:t>)</w:t>
        </w:r>
        <w:r w:rsidR="008A36CF" w:rsidRPr="001342A2">
          <w:rPr>
            <w:sz w:val="18"/>
            <w:szCs w:val="18"/>
            <w:lang w:val="it-IT"/>
          </w:rPr>
          <w:br/>
          <w:t xml:space="preserve">Safe Work Australia </w:t>
        </w:r>
        <w:r w:rsidR="008A36CF" w:rsidRPr="001342A2">
          <w:rPr>
            <w:rFonts w:ascii="Courier New" w:hAnsi="Courier New" w:cs="Courier New"/>
            <w:sz w:val="18"/>
            <w:szCs w:val="18"/>
            <w:lang w:val="it-IT"/>
          </w:rPr>
          <w:t>—</w:t>
        </w:r>
        <w:r w:rsidR="008A36CF" w:rsidRPr="001342A2">
          <w:rPr>
            <w:sz w:val="18"/>
            <w:szCs w:val="18"/>
            <w:lang w:val="it-IT"/>
          </w:rPr>
          <w:t xml:space="preserve"> 201</w:t>
        </w:r>
        <w:r w:rsidR="00351FE0" w:rsidRPr="001342A2">
          <w:rPr>
            <w:sz w:val="18"/>
            <w:szCs w:val="18"/>
            <w:lang w:val="it-IT"/>
          </w:rPr>
          <w:t>9</w:t>
        </w:r>
      </w:p>
      <w:p w14:paraId="41557F3C" w14:textId="085C3439" w:rsidR="008A36CF" w:rsidRPr="00F43AD5" w:rsidRDefault="008A36CF" w:rsidP="00A27E2D">
        <w:pPr>
          <w:pStyle w:val="Footer"/>
          <w:jc w:val="right"/>
          <w:rPr>
            <w:sz w:val="18"/>
            <w:szCs w:val="18"/>
          </w:rPr>
        </w:pPr>
        <w:r w:rsidRPr="00F43AD5">
          <w:rPr>
            <w:sz w:val="18"/>
            <w:szCs w:val="18"/>
          </w:rPr>
          <w:fldChar w:fldCharType="begin"/>
        </w:r>
        <w:r w:rsidRPr="00F43AD5">
          <w:rPr>
            <w:sz w:val="18"/>
            <w:szCs w:val="18"/>
          </w:rPr>
          <w:instrText xml:space="preserve"> PAGE   \* MERGEFORMAT </w:instrText>
        </w:r>
        <w:r w:rsidRPr="00F43AD5">
          <w:rPr>
            <w:sz w:val="18"/>
            <w:szCs w:val="18"/>
          </w:rPr>
          <w:fldChar w:fldCharType="separate"/>
        </w:r>
        <w:r w:rsidR="00240126">
          <w:rPr>
            <w:noProof/>
            <w:sz w:val="18"/>
            <w:szCs w:val="18"/>
          </w:rPr>
          <w:t>4</w:t>
        </w:r>
        <w:r w:rsidRPr="00F43AD5">
          <w:rPr>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3EAB26" w14:textId="77777777" w:rsidR="00FF2704" w:rsidRDefault="00FF270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73BA9BF" w14:textId="77777777" w:rsidR="00D45501" w:rsidRDefault="00D45501" w:rsidP="00F43AD5">
      <w:pPr>
        <w:spacing w:after="0" w:line="240" w:lineRule="auto"/>
      </w:pPr>
      <w:r>
        <w:separator/>
      </w:r>
    </w:p>
  </w:footnote>
  <w:footnote w:type="continuationSeparator" w:id="0">
    <w:p w14:paraId="308E3631" w14:textId="77777777" w:rsidR="00D45501" w:rsidRDefault="00D45501" w:rsidP="00F43AD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B8698A" w14:textId="77777777" w:rsidR="00FF2704" w:rsidRDefault="00FF270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D7B440" w14:textId="29DB23CB" w:rsidR="003F2AA8" w:rsidRDefault="003F2AA8" w:rsidP="003F2AA8">
    <w:pPr>
      <w:pStyle w:val="Header"/>
      <w:jc w:val="right"/>
    </w:pPr>
    <w:r>
      <w:rPr>
        <w:noProof/>
        <w:lang w:eastAsia="en-AU"/>
      </w:rPr>
      <w:drawing>
        <wp:inline distT="0" distB="0" distL="0" distR="0" wp14:anchorId="426B0626" wp14:editId="0DCB2D80">
          <wp:extent cx="2945130" cy="595630"/>
          <wp:effectExtent l="0" t="0" r="7620" b="0"/>
          <wp:docPr id="1" name="Picture 1" descr="Safe Work Australia logo" title="Image"/>
          <wp:cNvGraphicFramePr/>
          <a:graphic xmlns:a="http://schemas.openxmlformats.org/drawingml/2006/main">
            <a:graphicData uri="http://schemas.openxmlformats.org/drawingml/2006/picture">
              <pic:pic xmlns:pic="http://schemas.openxmlformats.org/drawingml/2006/picture">
                <pic:nvPicPr>
                  <pic:cNvPr id="2" name="Picture 2" descr="Safe Work Australia logo" title="Image"/>
                  <pic:cNvPicPr/>
                </pic:nvPicPr>
                <pic:blipFill>
                  <a:blip r:embed="rId1" cstate="print">
                    <a:extLst>
                      <a:ext uri="{28A0092B-C50C-407E-A947-70E740481C1C}">
                        <a14:useLocalDpi xmlns:a14="http://schemas.microsoft.com/office/drawing/2010/main" val="0"/>
                      </a:ext>
                    </a:extLst>
                  </a:blip>
                  <a:stretch>
                    <a:fillRect/>
                  </a:stretch>
                </pic:blipFill>
                <pic:spPr>
                  <a:xfrm>
                    <a:off x="0" y="0"/>
                    <a:ext cx="2938145" cy="594360"/>
                  </a:xfrm>
                  <a:prstGeom prst="rect">
                    <a:avLst/>
                  </a:prstGeom>
                </pic:spPr>
              </pic:pic>
            </a:graphicData>
          </a:graphic>
        </wp:inline>
      </w:drawing>
    </w:r>
  </w:p>
  <w:p w14:paraId="542AC9EC" w14:textId="77777777" w:rsidR="003F2AA8" w:rsidRDefault="003F2AA8" w:rsidP="003F2AA8">
    <w:pPr>
      <w:pStyle w:val="Header"/>
    </w:pPr>
  </w:p>
  <w:p w14:paraId="45945F5D" w14:textId="15EB29F6" w:rsidR="008A36CF" w:rsidRPr="003F2AA8" w:rsidRDefault="008A36CF" w:rsidP="003F2AA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591A12" w14:textId="77777777" w:rsidR="00FF2704" w:rsidRDefault="00FF2704">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63ECED" w14:textId="53EE463B" w:rsidR="003F2AA8" w:rsidRDefault="003F2AA8" w:rsidP="003F2AA8">
    <w:pPr>
      <w:pStyle w:val="Header"/>
      <w:jc w:val="right"/>
    </w:pPr>
    <w:r>
      <w:rPr>
        <w:noProof/>
        <w:lang w:eastAsia="en-AU"/>
      </w:rPr>
      <w:drawing>
        <wp:inline distT="0" distB="0" distL="0" distR="0" wp14:anchorId="1AAC8B2D" wp14:editId="74614535">
          <wp:extent cx="2945130" cy="595630"/>
          <wp:effectExtent l="0" t="0" r="7620" b="0"/>
          <wp:docPr id="3" name="Picture 3" descr="Safe Work Australia logo" title="Image"/>
          <wp:cNvGraphicFramePr/>
          <a:graphic xmlns:a="http://schemas.openxmlformats.org/drawingml/2006/main">
            <a:graphicData uri="http://schemas.openxmlformats.org/drawingml/2006/picture">
              <pic:pic xmlns:pic="http://schemas.openxmlformats.org/drawingml/2006/picture">
                <pic:nvPicPr>
                  <pic:cNvPr id="2" name="Picture 2" descr="Safe Work Australia logo" title="Image"/>
                  <pic:cNvPicPr/>
                </pic:nvPicPr>
                <pic:blipFill>
                  <a:blip r:embed="rId1" cstate="print">
                    <a:extLst>
                      <a:ext uri="{28A0092B-C50C-407E-A947-70E740481C1C}">
                        <a14:useLocalDpi xmlns:a14="http://schemas.microsoft.com/office/drawing/2010/main" val="0"/>
                      </a:ext>
                    </a:extLst>
                  </a:blip>
                  <a:stretch>
                    <a:fillRect/>
                  </a:stretch>
                </pic:blipFill>
                <pic:spPr>
                  <a:xfrm>
                    <a:off x="0" y="0"/>
                    <a:ext cx="2938145" cy="594360"/>
                  </a:xfrm>
                  <a:prstGeom prst="rect">
                    <a:avLst/>
                  </a:prstGeom>
                </pic:spPr>
              </pic:pic>
            </a:graphicData>
          </a:graphic>
        </wp:inline>
      </w:drawing>
    </w:r>
  </w:p>
  <w:p w14:paraId="5C85270C" w14:textId="77777777" w:rsidR="003F2AA8" w:rsidRDefault="003F2AA8" w:rsidP="003F2AA8">
    <w:pPr>
      <w:pStyle w:val="Header"/>
    </w:pPr>
  </w:p>
  <w:p w14:paraId="12895C05" w14:textId="37040672" w:rsidR="008A36CF" w:rsidRDefault="008A36CF" w:rsidP="00F43AD5">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4CB4E704"/>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6C60C45"/>
    <w:multiLevelType w:val="hybridMultilevel"/>
    <w:tmpl w:val="E3944442"/>
    <w:lvl w:ilvl="0" w:tplc="0C090003">
      <w:start w:val="1"/>
      <w:numFmt w:val="bullet"/>
      <w:lvlText w:val="o"/>
      <w:lvlJc w:val="left"/>
      <w:pPr>
        <w:ind w:left="360" w:hanging="360"/>
      </w:pPr>
      <w:rPr>
        <w:rFonts w:ascii="Courier New" w:hAnsi="Courier New" w:cs="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16cid:durableId="619534686">
    <w:abstractNumId w:val="0"/>
  </w:num>
  <w:num w:numId="2" w16cid:durableId="2057243328">
    <w:abstractNumId w:val="0"/>
  </w:num>
  <w:num w:numId="3" w16cid:durableId="1406881135">
    <w:abstractNumId w:val="0"/>
  </w:num>
  <w:num w:numId="4" w16cid:durableId="259484700">
    <w:abstractNumId w:val="0"/>
  </w:num>
  <w:num w:numId="5" w16cid:durableId="1371876461">
    <w:abstractNumId w:val="0"/>
  </w:num>
  <w:num w:numId="6" w16cid:durableId="2003504907">
    <w:abstractNumId w:val="0"/>
  </w:num>
  <w:num w:numId="7" w16cid:durableId="2075423844">
    <w:abstractNumId w:val="1"/>
  </w:num>
  <w:num w:numId="8" w16cid:durableId="316766209">
    <w:abstractNumId w:val="0"/>
  </w:num>
  <w:num w:numId="9" w16cid:durableId="23339948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720"/>
  <w:characterSpacingControl w:val="doNotCompress"/>
  <w:hdrShapeDefaults>
    <o:shapedefaults v:ext="edit" spidmax="614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xAppendixName" w:val="Appendix"/>
  </w:docVars>
  <w:rsids>
    <w:rsidRoot w:val="00610F2E"/>
    <w:rsid w:val="00000109"/>
    <w:rsid w:val="00007B80"/>
    <w:rsid w:val="00013A22"/>
    <w:rsid w:val="00014C3F"/>
    <w:rsid w:val="00017C82"/>
    <w:rsid w:val="00032B88"/>
    <w:rsid w:val="00046DF5"/>
    <w:rsid w:val="00052060"/>
    <w:rsid w:val="00054152"/>
    <w:rsid w:val="0005574A"/>
    <w:rsid w:val="00055FE1"/>
    <w:rsid w:val="00056EC2"/>
    <w:rsid w:val="00060B48"/>
    <w:rsid w:val="00067F32"/>
    <w:rsid w:val="00071807"/>
    <w:rsid w:val="000803E1"/>
    <w:rsid w:val="00084513"/>
    <w:rsid w:val="00084859"/>
    <w:rsid w:val="00092D94"/>
    <w:rsid w:val="000B0868"/>
    <w:rsid w:val="000B3E12"/>
    <w:rsid w:val="000B3E78"/>
    <w:rsid w:val="000B7B48"/>
    <w:rsid w:val="000C096D"/>
    <w:rsid w:val="000C139A"/>
    <w:rsid w:val="000C2053"/>
    <w:rsid w:val="000C248C"/>
    <w:rsid w:val="000D291C"/>
    <w:rsid w:val="000E5A54"/>
    <w:rsid w:val="000E63D3"/>
    <w:rsid w:val="000E67CF"/>
    <w:rsid w:val="0010461E"/>
    <w:rsid w:val="00106FAA"/>
    <w:rsid w:val="00113443"/>
    <w:rsid w:val="001269A7"/>
    <w:rsid w:val="00131092"/>
    <w:rsid w:val="001342A2"/>
    <w:rsid w:val="00140E6A"/>
    <w:rsid w:val="00146545"/>
    <w:rsid w:val="00146B75"/>
    <w:rsid w:val="0015266D"/>
    <w:rsid w:val="0015288A"/>
    <w:rsid w:val="00160F47"/>
    <w:rsid w:val="00177270"/>
    <w:rsid w:val="00177CA1"/>
    <w:rsid w:val="00183823"/>
    <w:rsid w:val="00183942"/>
    <w:rsid w:val="001A009E"/>
    <w:rsid w:val="001A1287"/>
    <w:rsid w:val="001A3859"/>
    <w:rsid w:val="001A3C9D"/>
    <w:rsid w:val="001A43F8"/>
    <w:rsid w:val="001B79E5"/>
    <w:rsid w:val="001D56F0"/>
    <w:rsid w:val="001D663B"/>
    <w:rsid w:val="001D7B41"/>
    <w:rsid w:val="001E46DA"/>
    <w:rsid w:val="001E7D80"/>
    <w:rsid w:val="001F4B6C"/>
    <w:rsid w:val="001F62CB"/>
    <w:rsid w:val="001F6ED0"/>
    <w:rsid w:val="001F72E6"/>
    <w:rsid w:val="001F73C5"/>
    <w:rsid w:val="002046A6"/>
    <w:rsid w:val="00204956"/>
    <w:rsid w:val="00213640"/>
    <w:rsid w:val="00221547"/>
    <w:rsid w:val="002216FC"/>
    <w:rsid w:val="00222533"/>
    <w:rsid w:val="00222F30"/>
    <w:rsid w:val="00224EE2"/>
    <w:rsid w:val="00227EC7"/>
    <w:rsid w:val="00240126"/>
    <w:rsid w:val="00244AD1"/>
    <w:rsid w:val="002463BC"/>
    <w:rsid w:val="002465CE"/>
    <w:rsid w:val="00255BE3"/>
    <w:rsid w:val="0025734A"/>
    <w:rsid w:val="00263255"/>
    <w:rsid w:val="00276494"/>
    <w:rsid w:val="00277B0C"/>
    <w:rsid w:val="00285E59"/>
    <w:rsid w:val="002B1A2C"/>
    <w:rsid w:val="002C34F2"/>
    <w:rsid w:val="002C58FF"/>
    <w:rsid w:val="002C7AFE"/>
    <w:rsid w:val="002D05D2"/>
    <w:rsid w:val="002E0D61"/>
    <w:rsid w:val="002E4C7B"/>
    <w:rsid w:val="0030740C"/>
    <w:rsid w:val="00315833"/>
    <w:rsid w:val="003215EE"/>
    <w:rsid w:val="003224BF"/>
    <w:rsid w:val="003241A8"/>
    <w:rsid w:val="003253F0"/>
    <w:rsid w:val="003337DA"/>
    <w:rsid w:val="00334EFB"/>
    <w:rsid w:val="00335CDE"/>
    <w:rsid w:val="003365A5"/>
    <w:rsid w:val="00347192"/>
    <w:rsid w:val="0034744C"/>
    <w:rsid w:val="00351FE0"/>
    <w:rsid w:val="00352615"/>
    <w:rsid w:val="0035412B"/>
    <w:rsid w:val="003567A8"/>
    <w:rsid w:val="00362895"/>
    <w:rsid w:val="00370DBF"/>
    <w:rsid w:val="00386093"/>
    <w:rsid w:val="003904A4"/>
    <w:rsid w:val="00391841"/>
    <w:rsid w:val="00391B6D"/>
    <w:rsid w:val="00394922"/>
    <w:rsid w:val="003A0E32"/>
    <w:rsid w:val="003A2B94"/>
    <w:rsid w:val="003B387D"/>
    <w:rsid w:val="003C0D58"/>
    <w:rsid w:val="003C69DE"/>
    <w:rsid w:val="003D4FA3"/>
    <w:rsid w:val="003E0807"/>
    <w:rsid w:val="003E51FB"/>
    <w:rsid w:val="003E6B39"/>
    <w:rsid w:val="003F07E1"/>
    <w:rsid w:val="003F2AA8"/>
    <w:rsid w:val="004030BC"/>
    <w:rsid w:val="00403F7D"/>
    <w:rsid w:val="00406785"/>
    <w:rsid w:val="004079B4"/>
    <w:rsid w:val="00417A56"/>
    <w:rsid w:val="00420957"/>
    <w:rsid w:val="00422A10"/>
    <w:rsid w:val="00430179"/>
    <w:rsid w:val="0043089A"/>
    <w:rsid w:val="004414B5"/>
    <w:rsid w:val="00444482"/>
    <w:rsid w:val="00444B42"/>
    <w:rsid w:val="00445E44"/>
    <w:rsid w:val="00450615"/>
    <w:rsid w:val="004509E2"/>
    <w:rsid w:val="004515EE"/>
    <w:rsid w:val="004529F0"/>
    <w:rsid w:val="004604E7"/>
    <w:rsid w:val="00460A03"/>
    <w:rsid w:val="00472A11"/>
    <w:rsid w:val="00472AAD"/>
    <w:rsid w:val="00474E33"/>
    <w:rsid w:val="00476803"/>
    <w:rsid w:val="00485BFD"/>
    <w:rsid w:val="004867A2"/>
    <w:rsid w:val="004873F2"/>
    <w:rsid w:val="00490D4C"/>
    <w:rsid w:val="00493A35"/>
    <w:rsid w:val="0049527A"/>
    <w:rsid w:val="004966BF"/>
    <w:rsid w:val="00497984"/>
    <w:rsid w:val="004A5088"/>
    <w:rsid w:val="004C1E3F"/>
    <w:rsid w:val="004C23F4"/>
    <w:rsid w:val="004C3475"/>
    <w:rsid w:val="004C58B6"/>
    <w:rsid w:val="004D16A3"/>
    <w:rsid w:val="004D4AA1"/>
    <w:rsid w:val="004D6D68"/>
    <w:rsid w:val="004E16AB"/>
    <w:rsid w:val="004E5EDD"/>
    <w:rsid w:val="004F448A"/>
    <w:rsid w:val="004F493D"/>
    <w:rsid w:val="004F65E8"/>
    <w:rsid w:val="0050005E"/>
    <w:rsid w:val="00502B88"/>
    <w:rsid w:val="005142C4"/>
    <w:rsid w:val="0051509C"/>
    <w:rsid w:val="005214E4"/>
    <w:rsid w:val="005272E2"/>
    <w:rsid w:val="0053108F"/>
    <w:rsid w:val="00532B56"/>
    <w:rsid w:val="00534B10"/>
    <w:rsid w:val="005446A2"/>
    <w:rsid w:val="00544D2F"/>
    <w:rsid w:val="00551BD8"/>
    <w:rsid w:val="00581055"/>
    <w:rsid w:val="00582E2D"/>
    <w:rsid w:val="00591E38"/>
    <w:rsid w:val="005A19C5"/>
    <w:rsid w:val="005A3034"/>
    <w:rsid w:val="005A462D"/>
    <w:rsid w:val="005B253B"/>
    <w:rsid w:val="005B771D"/>
    <w:rsid w:val="005C5D16"/>
    <w:rsid w:val="005D3193"/>
    <w:rsid w:val="005D4A6E"/>
    <w:rsid w:val="005E6979"/>
    <w:rsid w:val="005E75CB"/>
    <w:rsid w:val="006013C1"/>
    <w:rsid w:val="0060669E"/>
    <w:rsid w:val="00607DF3"/>
    <w:rsid w:val="00610F2E"/>
    <w:rsid w:val="00611399"/>
    <w:rsid w:val="00624C4E"/>
    <w:rsid w:val="00625200"/>
    <w:rsid w:val="006363A8"/>
    <w:rsid w:val="00636DB7"/>
    <w:rsid w:val="00650905"/>
    <w:rsid w:val="006532ED"/>
    <w:rsid w:val="006549F2"/>
    <w:rsid w:val="006567B7"/>
    <w:rsid w:val="00657BFB"/>
    <w:rsid w:val="0066333C"/>
    <w:rsid w:val="006639B4"/>
    <w:rsid w:val="006650FE"/>
    <w:rsid w:val="0067305D"/>
    <w:rsid w:val="00677D9B"/>
    <w:rsid w:val="006867F3"/>
    <w:rsid w:val="00687890"/>
    <w:rsid w:val="006901A2"/>
    <w:rsid w:val="00690368"/>
    <w:rsid w:val="0069079C"/>
    <w:rsid w:val="00690B53"/>
    <w:rsid w:val="00695B72"/>
    <w:rsid w:val="006B160A"/>
    <w:rsid w:val="006B4E6C"/>
    <w:rsid w:val="006B50B6"/>
    <w:rsid w:val="006D79EA"/>
    <w:rsid w:val="006E5D05"/>
    <w:rsid w:val="00701053"/>
    <w:rsid w:val="00701507"/>
    <w:rsid w:val="00707B81"/>
    <w:rsid w:val="00714021"/>
    <w:rsid w:val="00716A0F"/>
    <w:rsid w:val="00717D45"/>
    <w:rsid w:val="007208F7"/>
    <w:rsid w:val="007218AF"/>
    <w:rsid w:val="0073235F"/>
    <w:rsid w:val="007365D1"/>
    <w:rsid w:val="00740E0E"/>
    <w:rsid w:val="00750212"/>
    <w:rsid w:val="00754779"/>
    <w:rsid w:val="0075716D"/>
    <w:rsid w:val="00764575"/>
    <w:rsid w:val="00765F14"/>
    <w:rsid w:val="00770E31"/>
    <w:rsid w:val="007770F1"/>
    <w:rsid w:val="00783FB1"/>
    <w:rsid w:val="00785CDD"/>
    <w:rsid w:val="00791847"/>
    <w:rsid w:val="007925F0"/>
    <w:rsid w:val="007939B3"/>
    <w:rsid w:val="0079509C"/>
    <w:rsid w:val="00796708"/>
    <w:rsid w:val="007B1B42"/>
    <w:rsid w:val="007C30EB"/>
    <w:rsid w:val="007E063C"/>
    <w:rsid w:val="007E2A4B"/>
    <w:rsid w:val="007E307D"/>
    <w:rsid w:val="007E6A4E"/>
    <w:rsid w:val="007E6C94"/>
    <w:rsid w:val="007F1005"/>
    <w:rsid w:val="007F25E0"/>
    <w:rsid w:val="007F5328"/>
    <w:rsid w:val="00804F5A"/>
    <w:rsid w:val="00810C6D"/>
    <w:rsid w:val="00812887"/>
    <w:rsid w:val="00825225"/>
    <w:rsid w:val="00826F21"/>
    <w:rsid w:val="00834CC8"/>
    <w:rsid w:val="00835E00"/>
    <w:rsid w:val="00837113"/>
    <w:rsid w:val="008414E4"/>
    <w:rsid w:val="00843E21"/>
    <w:rsid w:val="0084508E"/>
    <w:rsid w:val="00857A8A"/>
    <w:rsid w:val="008630EE"/>
    <w:rsid w:val="00864D13"/>
    <w:rsid w:val="00870810"/>
    <w:rsid w:val="00871CD5"/>
    <w:rsid w:val="008745A2"/>
    <w:rsid w:val="008768A8"/>
    <w:rsid w:val="0088798F"/>
    <w:rsid w:val="00887E4B"/>
    <w:rsid w:val="008915C8"/>
    <w:rsid w:val="0089712B"/>
    <w:rsid w:val="008A36CF"/>
    <w:rsid w:val="008A3BC4"/>
    <w:rsid w:val="008B403C"/>
    <w:rsid w:val="008B7983"/>
    <w:rsid w:val="008C2511"/>
    <w:rsid w:val="008D026D"/>
    <w:rsid w:val="008D23AB"/>
    <w:rsid w:val="008D4B8B"/>
    <w:rsid w:val="008D5A78"/>
    <w:rsid w:val="008E7B64"/>
    <w:rsid w:val="008F5DCD"/>
    <w:rsid w:val="00900951"/>
    <w:rsid w:val="00910AD2"/>
    <w:rsid w:val="009118A6"/>
    <w:rsid w:val="00916909"/>
    <w:rsid w:val="00916EC0"/>
    <w:rsid w:val="00920467"/>
    <w:rsid w:val="00921DE7"/>
    <w:rsid w:val="0093041A"/>
    <w:rsid w:val="00930714"/>
    <w:rsid w:val="00931B03"/>
    <w:rsid w:val="009323B9"/>
    <w:rsid w:val="00932DCE"/>
    <w:rsid w:val="0093327E"/>
    <w:rsid w:val="00934028"/>
    <w:rsid w:val="0093760E"/>
    <w:rsid w:val="00946044"/>
    <w:rsid w:val="0094660B"/>
    <w:rsid w:val="00946A33"/>
    <w:rsid w:val="0095260E"/>
    <w:rsid w:val="009578DD"/>
    <w:rsid w:val="00961124"/>
    <w:rsid w:val="009621B6"/>
    <w:rsid w:val="00974F2D"/>
    <w:rsid w:val="00977524"/>
    <w:rsid w:val="00977E88"/>
    <w:rsid w:val="00984920"/>
    <w:rsid w:val="0099303A"/>
    <w:rsid w:val="009971C2"/>
    <w:rsid w:val="009A1254"/>
    <w:rsid w:val="009B2FF2"/>
    <w:rsid w:val="009B380C"/>
    <w:rsid w:val="009B4843"/>
    <w:rsid w:val="009B6543"/>
    <w:rsid w:val="009C199D"/>
    <w:rsid w:val="009C278F"/>
    <w:rsid w:val="009C2B94"/>
    <w:rsid w:val="009C5874"/>
    <w:rsid w:val="009C746E"/>
    <w:rsid w:val="009D3B5A"/>
    <w:rsid w:val="009E0C05"/>
    <w:rsid w:val="009E0D1C"/>
    <w:rsid w:val="009E2214"/>
    <w:rsid w:val="009E355A"/>
    <w:rsid w:val="009E63E2"/>
    <w:rsid w:val="009F04D2"/>
    <w:rsid w:val="009F05CF"/>
    <w:rsid w:val="009F0F3A"/>
    <w:rsid w:val="00A01D0C"/>
    <w:rsid w:val="00A0643F"/>
    <w:rsid w:val="00A067EE"/>
    <w:rsid w:val="00A10FCE"/>
    <w:rsid w:val="00A16D91"/>
    <w:rsid w:val="00A174CC"/>
    <w:rsid w:val="00A2073D"/>
    <w:rsid w:val="00A20751"/>
    <w:rsid w:val="00A2511F"/>
    <w:rsid w:val="00A27E2D"/>
    <w:rsid w:val="00A31D99"/>
    <w:rsid w:val="00A357BA"/>
    <w:rsid w:val="00A35ADC"/>
    <w:rsid w:val="00A402A3"/>
    <w:rsid w:val="00A53681"/>
    <w:rsid w:val="00A633D4"/>
    <w:rsid w:val="00A6461A"/>
    <w:rsid w:val="00A84504"/>
    <w:rsid w:val="00A8672F"/>
    <w:rsid w:val="00A93057"/>
    <w:rsid w:val="00A968B0"/>
    <w:rsid w:val="00AB2672"/>
    <w:rsid w:val="00AB2817"/>
    <w:rsid w:val="00AB43C4"/>
    <w:rsid w:val="00AC32E7"/>
    <w:rsid w:val="00AC3A9F"/>
    <w:rsid w:val="00AC6D2F"/>
    <w:rsid w:val="00AE2745"/>
    <w:rsid w:val="00AE2F64"/>
    <w:rsid w:val="00AF42CB"/>
    <w:rsid w:val="00AF483F"/>
    <w:rsid w:val="00AF5E07"/>
    <w:rsid w:val="00AF5F06"/>
    <w:rsid w:val="00B00A25"/>
    <w:rsid w:val="00B11D62"/>
    <w:rsid w:val="00B1422A"/>
    <w:rsid w:val="00B1765C"/>
    <w:rsid w:val="00B213C4"/>
    <w:rsid w:val="00B40C60"/>
    <w:rsid w:val="00B479A9"/>
    <w:rsid w:val="00B52EDF"/>
    <w:rsid w:val="00B71188"/>
    <w:rsid w:val="00B76A41"/>
    <w:rsid w:val="00B87D4C"/>
    <w:rsid w:val="00B93646"/>
    <w:rsid w:val="00BA0B38"/>
    <w:rsid w:val="00BA1DBB"/>
    <w:rsid w:val="00BA4510"/>
    <w:rsid w:val="00BA529A"/>
    <w:rsid w:val="00BB612A"/>
    <w:rsid w:val="00BD499F"/>
    <w:rsid w:val="00BD56DE"/>
    <w:rsid w:val="00BF2406"/>
    <w:rsid w:val="00C06E43"/>
    <w:rsid w:val="00C14340"/>
    <w:rsid w:val="00C16315"/>
    <w:rsid w:val="00C3091E"/>
    <w:rsid w:val="00C40FF1"/>
    <w:rsid w:val="00C419E2"/>
    <w:rsid w:val="00C5020E"/>
    <w:rsid w:val="00C57452"/>
    <w:rsid w:val="00C6072F"/>
    <w:rsid w:val="00C61EDF"/>
    <w:rsid w:val="00C6239D"/>
    <w:rsid w:val="00C6594B"/>
    <w:rsid w:val="00C67FFB"/>
    <w:rsid w:val="00C7155E"/>
    <w:rsid w:val="00C71D1E"/>
    <w:rsid w:val="00C71D7D"/>
    <w:rsid w:val="00C74833"/>
    <w:rsid w:val="00C850A0"/>
    <w:rsid w:val="00C85A86"/>
    <w:rsid w:val="00C978F0"/>
    <w:rsid w:val="00CA58FE"/>
    <w:rsid w:val="00CB1CB1"/>
    <w:rsid w:val="00CB6BC1"/>
    <w:rsid w:val="00CB6CB8"/>
    <w:rsid w:val="00CC1A68"/>
    <w:rsid w:val="00CC2123"/>
    <w:rsid w:val="00CD2BFD"/>
    <w:rsid w:val="00CE5AD6"/>
    <w:rsid w:val="00CE617F"/>
    <w:rsid w:val="00CE78EF"/>
    <w:rsid w:val="00D048F7"/>
    <w:rsid w:val="00D0517E"/>
    <w:rsid w:val="00D111C0"/>
    <w:rsid w:val="00D140FC"/>
    <w:rsid w:val="00D21D8C"/>
    <w:rsid w:val="00D31357"/>
    <w:rsid w:val="00D33220"/>
    <w:rsid w:val="00D334D1"/>
    <w:rsid w:val="00D44C89"/>
    <w:rsid w:val="00D45501"/>
    <w:rsid w:val="00D516CD"/>
    <w:rsid w:val="00D668E6"/>
    <w:rsid w:val="00D70670"/>
    <w:rsid w:val="00D74D80"/>
    <w:rsid w:val="00D76624"/>
    <w:rsid w:val="00D87570"/>
    <w:rsid w:val="00D91CB9"/>
    <w:rsid w:val="00D97989"/>
    <w:rsid w:val="00D97D8D"/>
    <w:rsid w:val="00DA2DFF"/>
    <w:rsid w:val="00DA352E"/>
    <w:rsid w:val="00DC7694"/>
    <w:rsid w:val="00DD1BF6"/>
    <w:rsid w:val="00DD2F9B"/>
    <w:rsid w:val="00DE2513"/>
    <w:rsid w:val="00DE26E8"/>
    <w:rsid w:val="00DF6F36"/>
    <w:rsid w:val="00E0084C"/>
    <w:rsid w:val="00E025AB"/>
    <w:rsid w:val="00E02B23"/>
    <w:rsid w:val="00E06F40"/>
    <w:rsid w:val="00E07CE8"/>
    <w:rsid w:val="00E21929"/>
    <w:rsid w:val="00E26A07"/>
    <w:rsid w:val="00E32595"/>
    <w:rsid w:val="00E37CFD"/>
    <w:rsid w:val="00E41A26"/>
    <w:rsid w:val="00E46BCB"/>
    <w:rsid w:val="00E47C9C"/>
    <w:rsid w:val="00E51CAF"/>
    <w:rsid w:val="00E60F04"/>
    <w:rsid w:val="00E62AAC"/>
    <w:rsid w:val="00E67C2F"/>
    <w:rsid w:val="00E67EF5"/>
    <w:rsid w:val="00E804EA"/>
    <w:rsid w:val="00E80A71"/>
    <w:rsid w:val="00E82337"/>
    <w:rsid w:val="00E92499"/>
    <w:rsid w:val="00E949AF"/>
    <w:rsid w:val="00E96077"/>
    <w:rsid w:val="00EA0A06"/>
    <w:rsid w:val="00EA6243"/>
    <w:rsid w:val="00EA74AB"/>
    <w:rsid w:val="00EB3D1B"/>
    <w:rsid w:val="00ED1D89"/>
    <w:rsid w:val="00ED66BC"/>
    <w:rsid w:val="00EF233A"/>
    <w:rsid w:val="00EF303E"/>
    <w:rsid w:val="00EF3A40"/>
    <w:rsid w:val="00EF7F78"/>
    <w:rsid w:val="00F01B08"/>
    <w:rsid w:val="00F01C4D"/>
    <w:rsid w:val="00F053FA"/>
    <w:rsid w:val="00F10C97"/>
    <w:rsid w:val="00F11C71"/>
    <w:rsid w:val="00F16019"/>
    <w:rsid w:val="00F20E68"/>
    <w:rsid w:val="00F22093"/>
    <w:rsid w:val="00F236DF"/>
    <w:rsid w:val="00F2424E"/>
    <w:rsid w:val="00F426CF"/>
    <w:rsid w:val="00F43AD5"/>
    <w:rsid w:val="00F4402E"/>
    <w:rsid w:val="00F56DD0"/>
    <w:rsid w:val="00F6491C"/>
    <w:rsid w:val="00F67BBB"/>
    <w:rsid w:val="00F87D92"/>
    <w:rsid w:val="00F90AA7"/>
    <w:rsid w:val="00F92498"/>
    <w:rsid w:val="00F9496B"/>
    <w:rsid w:val="00F970C9"/>
    <w:rsid w:val="00FA06A8"/>
    <w:rsid w:val="00FA3DF5"/>
    <w:rsid w:val="00FA741F"/>
    <w:rsid w:val="00FB4E07"/>
    <w:rsid w:val="00FB755A"/>
    <w:rsid w:val="00FC60A2"/>
    <w:rsid w:val="00FD16AE"/>
    <w:rsid w:val="00FD1871"/>
    <w:rsid w:val="00FD3110"/>
    <w:rsid w:val="00FF2704"/>
    <w:rsid w:val="00FF5C3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6147"/>
    <o:shapelayout v:ext="edit">
      <o:idmap v:ext="edit" data="1"/>
    </o:shapelayout>
  </w:shapeDefaults>
  <w:decimalSymbol w:val="."/>
  <w:listSeparator w:val=","/>
  <w14:docId w14:val="090CAC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theme="minorBidi"/>
        <w:szCs w:val="22"/>
        <w:lang w:val="en-A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33220"/>
    <w:pPr>
      <w:spacing w:after="120"/>
    </w:pPr>
  </w:style>
  <w:style w:type="paragraph" w:styleId="Heading1">
    <w:name w:val="heading 1"/>
    <w:basedOn w:val="Normal"/>
    <w:next w:val="Normal"/>
    <w:link w:val="Heading1Char"/>
    <w:qFormat/>
    <w:rsid w:val="00AE2745"/>
    <w:pPr>
      <w:keepNext/>
      <w:spacing w:before="360" w:after="240" w:line="240" w:lineRule="auto"/>
      <w:outlineLvl w:val="0"/>
    </w:pPr>
    <w:rPr>
      <w:rFonts w:ascii="Arial Bold" w:eastAsiaTheme="majorEastAsia" w:hAnsi="Arial Bold" w:cstheme="majorBidi"/>
      <w:b/>
      <w:bCs/>
      <w:caps/>
      <w:kern w:val="32"/>
      <w:sz w:val="36"/>
      <w:szCs w:val="40"/>
      <w:lang w:eastAsia="en-AU"/>
    </w:rPr>
  </w:style>
  <w:style w:type="paragraph" w:styleId="Heading2">
    <w:name w:val="heading 2"/>
    <w:basedOn w:val="Normal"/>
    <w:next w:val="Normal"/>
    <w:link w:val="Heading2Char"/>
    <w:unhideWhenUsed/>
    <w:qFormat/>
    <w:rsid w:val="00AE2745"/>
    <w:pPr>
      <w:keepNext/>
      <w:spacing w:before="240" w:line="240" w:lineRule="auto"/>
      <w:outlineLvl w:val="1"/>
    </w:pPr>
    <w:rPr>
      <w:rFonts w:eastAsiaTheme="majorEastAsia" w:cs="Arial"/>
      <w:b/>
      <w:bCs/>
      <w:iCs/>
      <w:color w:val="000000" w:themeColor="text1"/>
      <w:sz w:val="28"/>
      <w:szCs w:val="32"/>
      <w:lang w:eastAsia="en-AU"/>
    </w:rPr>
  </w:style>
  <w:style w:type="paragraph" w:styleId="Heading3">
    <w:name w:val="heading 3"/>
    <w:basedOn w:val="Normal"/>
    <w:next w:val="Normal"/>
    <w:link w:val="Heading3Char"/>
    <w:uiPriority w:val="9"/>
    <w:unhideWhenUsed/>
    <w:qFormat/>
    <w:rsid w:val="002E0D61"/>
    <w:pPr>
      <w:keepNext/>
      <w:spacing w:before="240" w:line="240" w:lineRule="auto"/>
      <w:outlineLvl w:val="2"/>
    </w:pPr>
    <w:rPr>
      <w:rFonts w:eastAsiaTheme="majorEastAsia" w:cs="Arial"/>
      <w:b/>
      <w:bCs/>
      <w:color w:val="000000" w:themeColor="text1"/>
      <w:sz w:val="24"/>
      <w:lang w:eastAsia="en-AU"/>
    </w:rPr>
  </w:style>
  <w:style w:type="paragraph" w:styleId="Heading4">
    <w:name w:val="heading 4"/>
    <w:basedOn w:val="Normal"/>
    <w:next w:val="Normal"/>
    <w:link w:val="Heading4Char"/>
    <w:uiPriority w:val="9"/>
    <w:semiHidden/>
    <w:unhideWhenUsed/>
    <w:qFormat/>
    <w:rsid w:val="00AF5E07"/>
    <w:pPr>
      <w:spacing w:before="200" w:after="0" w:line="240" w:lineRule="auto"/>
      <w:outlineLvl w:val="3"/>
    </w:pPr>
    <w:rPr>
      <w:rFonts w:eastAsiaTheme="majorEastAsia" w:cstheme="majorBidi"/>
      <w:b/>
      <w:bCs/>
      <w:i/>
      <w:iCs/>
      <w:lang w:eastAsia="en-AU"/>
    </w:rPr>
  </w:style>
  <w:style w:type="paragraph" w:styleId="Heading5">
    <w:name w:val="heading 5"/>
    <w:basedOn w:val="Normal"/>
    <w:next w:val="Normal"/>
    <w:link w:val="Heading5Char"/>
    <w:uiPriority w:val="9"/>
    <w:semiHidden/>
    <w:unhideWhenUsed/>
    <w:qFormat/>
    <w:rsid w:val="00C61EDF"/>
    <w:pPr>
      <w:spacing w:before="200" w:after="0" w:line="240" w:lineRule="auto"/>
      <w:outlineLvl w:val="4"/>
    </w:pPr>
    <w:rPr>
      <w:rFonts w:asciiTheme="majorHAnsi" w:eastAsiaTheme="majorEastAsia" w:hAnsiTheme="majorHAnsi" w:cstheme="majorBidi"/>
      <w:b/>
      <w:bCs/>
      <w:color w:val="7F7F7F" w:themeColor="text1" w:themeTint="80"/>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43AD5"/>
    <w:pPr>
      <w:tabs>
        <w:tab w:val="center" w:pos="4513"/>
        <w:tab w:val="right" w:pos="9026"/>
      </w:tabs>
      <w:spacing w:after="0" w:line="240" w:lineRule="auto"/>
    </w:pPr>
  </w:style>
  <w:style w:type="character" w:customStyle="1" w:styleId="HeaderChar">
    <w:name w:val="Header Char"/>
    <w:basedOn w:val="DefaultParagraphFont"/>
    <w:link w:val="Header"/>
    <w:uiPriority w:val="99"/>
    <w:rsid w:val="00F43AD5"/>
  </w:style>
  <w:style w:type="paragraph" w:styleId="Footer">
    <w:name w:val="footer"/>
    <w:basedOn w:val="Normal"/>
    <w:link w:val="FooterChar"/>
    <w:uiPriority w:val="99"/>
    <w:unhideWhenUsed/>
    <w:rsid w:val="00F43AD5"/>
    <w:pPr>
      <w:tabs>
        <w:tab w:val="center" w:pos="4513"/>
        <w:tab w:val="right" w:pos="9026"/>
      </w:tabs>
      <w:spacing w:after="0" w:line="240" w:lineRule="auto"/>
    </w:pPr>
  </w:style>
  <w:style w:type="character" w:customStyle="1" w:styleId="FooterChar">
    <w:name w:val="Footer Char"/>
    <w:basedOn w:val="DefaultParagraphFont"/>
    <w:link w:val="Footer"/>
    <w:uiPriority w:val="99"/>
    <w:rsid w:val="00F43AD5"/>
  </w:style>
  <w:style w:type="paragraph" w:styleId="BalloonText">
    <w:name w:val="Balloon Text"/>
    <w:basedOn w:val="Normal"/>
    <w:link w:val="BalloonTextChar"/>
    <w:uiPriority w:val="99"/>
    <w:semiHidden/>
    <w:unhideWhenUsed/>
    <w:rsid w:val="00F43AD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43AD5"/>
    <w:rPr>
      <w:rFonts w:ascii="Tahoma" w:hAnsi="Tahoma" w:cs="Tahoma"/>
      <w:sz w:val="16"/>
      <w:szCs w:val="16"/>
    </w:rPr>
  </w:style>
  <w:style w:type="paragraph" w:customStyle="1" w:styleId="ChemicalName">
    <w:name w:val="Chemical Name"/>
    <w:basedOn w:val="Normal"/>
    <w:next w:val="Normal"/>
    <w:qFormat/>
    <w:rsid w:val="00F43AD5"/>
    <w:rPr>
      <w:rFonts w:ascii="Arial Bold" w:hAnsi="Arial Bold"/>
      <w:b/>
      <w:caps/>
      <w:sz w:val="28"/>
    </w:rPr>
  </w:style>
  <w:style w:type="table" w:styleId="TableGrid">
    <w:name w:val="Table Grid"/>
    <w:basedOn w:val="TableNormal"/>
    <w:uiPriority w:val="59"/>
    <w:rsid w:val="00717D45"/>
    <w:pPr>
      <w:spacing w:after="0" w:line="240" w:lineRule="auto"/>
    </w:pPr>
    <w:rPr>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CB1CB1"/>
    <w:rPr>
      <w:color w:val="808080"/>
    </w:rPr>
  </w:style>
  <w:style w:type="character" w:customStyle="1" w:styleId="Heading1Char">
    <w:name w:val="Heading 1 Char"/>
    <w:basedOn w:val="DefaultParagraphFont"/>
    <w:link w:val="Heading1"/>
    <w:rsid w:val="00AE2745"/>
    <w:rPr>
      <w:rFonts w:ascii="Arial Bold" w:eastAsiaTheme="majorEastAsia" w:hAnsi="Arial Bold" w:cstheme="majorBidi"/>
      <w:b/>
      <w:bCs/>
      <w:caps/>
      <w:kern w:val="32"/>
      <w:sz w:val="36"/>
      <w:szCs w:val="40"/>
      <w:lang w:eastAsia="en-AU"/>
    </w:rPr>
  </w:style>
  <w:style w:type="paragraph" w:customStyle="1" w:styleId="Tablefont">
    <w:name w:val="Table font"/>
    <w:basedOn w:val="Normal"/>
    <w:qFormat/>
    <w:rsid w:val="002C58FF"/>
    <w:pPr>
      <w:spacing w:before="80" w:after="80" w:line="240" w:lineRule="auto"/>
    </w:pPr>
    <w:rPr>
      <w:lang w:eastAsia="en-AU"/>
    </w:rPr>
  </w:style>
  <w:style w:type="paragraph" w:customStyle="1" w:styleId="Tableheader">
    <w:name w:val="Table header"/>
    <w:basedOn w:val="Tablefont"/>
    <w:qFormat/>
    <w:rsid w:val="00263255"/>
    <w:pPr>
      <w:spacing w:before="60" w:after="60"/>
    </w:pPr>
    <w:rPr>
      <w:b/>
      <w:bCs/>
      <w:color w:val="000000" w:themeColor="text1"/>
    </w:rPr>
  </w:style>
  <w:style w:type="character" w:customStyle="1" w:styleId="checkbox">
    <w:name w:val="checkbox"/>
    <w:basedOn w:val="DefaultParagraphFont"/>
    <w:uiPriority w:val="1"/>
    <w:rsid w:val="00687890"/>
    <w:rPr>
      <w:rFonts w:ascii="Wingdings" w:hAnsi="Wingdings"/>
    </w:rPr>
  </w:style>
  <w:style w:type="character" w:customStyle="1" w:styleId="WESstatus">
    <w:name w:val="WES status"/>
    <w:basedOn w:val="DefaultParagraphFont"/>
    <w:uiPriority w:val="1"/>
    <w:rsid w:val="007F1005"/>
    <w:rPr>
      <w:b w:val="0"/>
      <w:color w:val="A6A6A6" w:themeColor="background1" w:themeShade="A6"/>
    </w:rPr>
  </w:style>
  <w:style w:type="table" w:customStyle="1" w:styleId="TableGrid1">
    <w:name w:val="Table Grid1"/>
    <w:basedOn w:val="TableNormal"/>
    <w:next w:val="TableGrid"/>
    <w:uiPriority w:val="59"/>
    <w:rsid w:val="000C248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rsid w:val="00AE2745"/>
    <w:rPr>
      <w:rFonts w:eastAsiaTheme="majorEastAsia" w:cs="Arial"/>
      <w:b/>
      <w:bCs/>
      <w:iCs/>
      <w:color w:val="000000" w:themeColor="text1"/>
      <w:sz w:val="28"/>
      <w:szCs w:val="32"/>
      <w:lang w:eastAsia="en-AU"/>
    </w:rPr>
  </w:style>
  <w:style w:type="character" w:customStyle="1" w:styleId="Heading3Char">
    <w:name w:val="Heading 3 Char"/>
    <w:basedOn w:val="DefaultParagraphFont"/>
    <w:link w:val="Heading3"/>
    <w:uiPriority w:val="9"/>
    <w:rsid w:val="002E0D61"/>
    <w:rPr>
      <w:rFonts w:eastAsiaTheme="majorEastAsia" w:cs="Arial"/>
      <w:b/>
      <w:bCs/>
      <w:color w:val="000000" w:themeColor="text1"/>
      <w:sz w:val="24"/>
      <w:lang w:eastAsia="en-AU"/>
    </w:rPr>
  </w:style>
  <w:style w:type="character" w:customStyle="1" w:styleId="Heading4Char">
    <w:name w:val="Heading 4 Char"/>
    <w:basedOn w:val="DefaultParagraphFont"/>
    <w:link w:val="Heading4"/>
    <w:uiPriority w:val="9"/>
    <w:semiHidden/>
    <w:rsid w:val="00AF5E07"/>
    <w:rPr>
      <w:rFonts w:eastAsiaTheme="majorEastAsia" w:cstheme="majorBidi"/>
      <w:b/>
      <w:bCs/>
      <w:i/>
      <w:iCs/>
      <w:lang w:eastAsia="en-AU"/>
    </w:rPr>
  </w:style>
  <w:style w:type="character" w:customStyle="1" w:styleId="Heading5Char">
    <w:name w:val="Heading 5 Char"/>
    <w:basedOn w:val="DefaultParagraphFont"/>
    <w:link w:val="Heading5"/>
    <w:uiPriority w:val="9"/>
    <w:semiHidden/>
    <w:rsid w:val="00C61EDF"/>
    <w:rPr>
      <w:rFonts w:asciiTheme="majorHAnsi" w:eastAsiaTheme="majorEastAsia" w:hAnsiTheme="majorHAnsi" w:cstheme="majorBidi"/>
      <w:b/>
      <w:bCs/>
      <w:color w:val="7F7F7F" w:themeColor="text1" w:themeTint="80"/>
      <w:lang w:eastAsia="en-AU"/>
    </w:rPr>
  </w:style>
  <w:style w:type="paragraph" w:styleId="Title">
    <w:name w:val="Title"/>
    <w:basedOn w:val="Normal"/>
    <w:next w:val="Heading1"/>
    <w:link w:val="TitleChar"/>
    <w:qFormat/>
    <w:rsid w:val="006532ED"/>
    <w:pPr>
      <w:spacing w:before="240" w:after="60" w:line="240" w:lineRule="auto"/>
      <w:jc w:val="center"/>
      <w:outlineLvl w:val="0"/>
    </w:pPr>
    <w:rPr>
      <w:rFonts w:eastAsiaTheme="majorEastAsia" w:cstheme="majorBidi"/>
      <w:b/>
      <w:bCs/>
      <w:kern w:val="28"/>
      <w:sz w:val="72"/>
      <w:szCs w:val="32"/>
      <w:lang w:eastAsia="en-AU"/>
    </w:rPr>
  </w:style>
  <w:style w:type="character" w:customStyle="1" w:styleId="TitleChar">
    <w:name w:val="Title Char"/>
    <w:basedOn w:val="DefaultParagraphFont"/>
    <w:link w:val="Title"/>
    <w:rsid w:val="006532ED"/>
    <w:rPr>
      <w:rFonts w:eastAsiaTheme="majorEastAsia" w:cstheme="majorBidi"/>
      <w:b/>
      <w:bCs/>
      <w:kern w:val="28"/>
      <w:sz w:val="72"/>
      <w:szCs w:val="32"/>
      <w:lang w:eastAsia="en-AU"/>
    </w:rPr>
  </w:style>
  <w:style w:type="paragraph" w:styleId="Subtitle">
    <w:name w:val="Subtitle"/>
    <w:basedOn w:val="Normal"/>
    <w:next w:val="Normal"/>
    <w:link w:val="SubtitleChar"/>
    <w:uiPriority w:val="11"/>
    <w:qFormat/>
    <w:rsid w:val="006532ED"/>
    <w:pPr>
      <w:numPr>
        <w:ilvl w:val="1"/>
      </w:numPr>
    </w:pPr>
    <w:rPr>
      <w:rFonts w:eastAsiaTheme="majorEastAsia" w:cstheme="majorBidi"/>
      <w:i/>
      <w:iCs/>
      <w:color w:val="7F7F7F" w:themeColor="text1" w:themeTint="80"/>
      <w:spacing w:val="15"/>
      <w:sz w:val="24"/>
      <w:szCs w:val="24"/>
    </w:rPr>
  </w:style>
  <w:style w:type="character" w:customStyle="1" w:styleId="SubtitleChar">
    <w:name w:val="Subtitle Char"/>
    <w:basedOn w:val="DefaultParagraphFont"/>
    <w:link w:val="Subtitle"/>
    <w:uiPriority w:val="11"/>
    <w:rsid w:val="006532ED"/>
    <w:rPr>
      <w:rFonts w:eastAsiaTheme="majorEastAsia" w:cstheme="majorBidi"/>
      <w:i/>
      <w:iCs/>
      <w:color w:val="7F7F7F" w:themeColor="text1" w:themeTint="80"/>
      <w:spacing w:val="15"/>
      <w:sz w:val="24"/>
      <w:szCs w:val="24"/>
    </w:rPr>
  </w:style>
  <w:style w:type="character" w:styleId="IntenseEmphasis">
    <w:name w:val="Intense Emphasis"/>
    <w:basedOn w:val="DefaultParagraphFont"/>
    <w:uiPriority w:val="21"/>
    <w:qFormat/>
    <w:rsid w:val="006532ED"/>
    <w:rPr>
      <w:rFonts w:ascii="Arial" w:hAnsi="Arial"/>
      <w:b/>
      <w:bCs/>
      <w:i/>
      <w:iCs/>
      <w:color w:val="7F7F7F" w:themeColor="text1" w:themeTint="80"/>
    </w:rPr>
  </w:style>
  <w:style w:type="paragraph" w:customStyle="1" w:styleId="Tableitalics">
    <w:name w:val="Table italics"/>
    <w:basedOn w:val="Tablefont"/>
    <w:qFormat/>
    <w:rsid w:val="00717D45"/>
    <w:pPr>
      <w:jc w:val="right"/>
    </w:pPr>
    <w:rPr>
      <w:i/>
    </w:rPr>
  </w:style>
  <w:style w:type="table" w:styleId="LightList-Accent1">
    <w:name w:val="Light List Accent 1"/>
    <w:basedOn w:val="TableNormal"/>
    <w:uiPriority w:val="61"/>
    <w:rsid w:val="00D048F7"/>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
    <w:name w:val="Light List"/>
    <w:basedOn w:val="TableNormal"/>
    <w:uiPriority w:val="61"/>
    <w:rsid w:val="007E307D"/>
    <w:pPr>
      <w:spacing w:before="80" w:after="80" w:line="240" w:lineRule="auto"/>
    </w:pPr>
    <w:tblPr>
      <w:tblStyleRowBandSize w:val="1"/>
      <w:tblStyleColBandSize w:val="1"/>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dotted" w:sz="4" w:space="0" w:color="808080" w:themeColor="background1" w:themeShade="80"/>
      </w:tblBorders>
    </w:tblPr>
    <w:tblStylePr w:type="firstRow">
      <w:pPr>
        <w:spacing w:before="0" w:after="0" w:line="240" w:lineRule="auto"/>
      </w:pPr>
      <w:rPr>
        <w:b/>
        <w:bCs/>
        <w:color w:val="FFFFFF" w:themeColor="background1"/>
      </w:rPr>
      <w:tblPr/>
      <w:tcPr>
        <w:shd w:val="clear" w:color="auto" w:fill="7F7F7F" w:themeFill="text1" w:themeFillTint="80"/>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dotted" w:sz="4" w:space="0" w:color="808080" w:themeColor="background1" w:themeShade="80"/>
          <w:left w:val="single" w:sz="8" w:space="0" w:color="7F7F7F" w:themeColor="text1" w:themeTint="80"/>
          <w:bottom w:val="dotted" w:sz="4" w:space="0" w:color="808080" w:themeColor="background1" w:themeShade="80"/>
          <w:right w:val="single" w:sz="8" w:space="0" w:color="7F7F7F" w:themeColor="text1" w:themeTint="80"/>
          <w:insideH w:val="nil"/>
          <w:insideV w:val="nil"/>
          <w:tl2br w:val="nil"/>
          <w:tr2bl w:val="nil"/>
        </w:tcBorders>
      </w:tcPr>
    </w:tblStylePr>
  </w:style>
  <w:style w:type="paragraph" w:styleId="IntenseQuote">
    <w:name w:val="Intense Quote"/>
    <w:basedOn w:val="Normal"/>
    <w:next w:val="Normal"/>
    <w:link w:val="IntenseQuoteChar"/>
    <w:uiPriority w:val="30"/>
    <w:qFormat/>
    <w:rsid w:val="00D33220"/>
    <w:pPr>
      <w:pBdr>
        <w:bottom w:val="single" w:sz="4" w:space="4" w:color="7F7F7F" w:themeColor="text1" w:themeTint="80"/>
      </w:pBdr>
      <w:spacing w:before="200" w:after="280"/>
      <w:ind w:left="936" w:right="936"/>
    </w:pPr>
    <w:rPr>
      <w:b/>
      <w:bCs/>
      <w:i/>
      <w:iCs/>
      <w:color w:val="808080" w:themeColor="background1" w:themeShade="80"/>
    </w:rPr>
  </w:style>
  <w:style w:type="character" w:customStyle="1" w:styleId="IntenseQuoteChar">
    <w:name w:val="Intense Quote Char"/>
    <w:basedOn w:val="DefaultParagraphFont"/>
    <w:link w:val="IntenseQuote"/>
    <w:uiPriority w:val="30"/>
    <w:rsid w:val="00D33220"/>
    <w:rPr>
      <w:b/>
      <w:bCs/>
      <w:i/>
      <w:iCs/>
      <w:color w:val="808080" w:themeColor="background1" w:themeShade="80"/>
    </w:rPr>
  </w:style>
  <w:style w:type="character" w:styleId="SubtleReference">
    <w:name w:val="Subtle Reference"/>
    <w:basedOn w:val="DefaultParagraphFont"/>
    <w:uiPriority w:val="31"/>
    <w:qFormat/>
    <w:rsid w:val="00AF5E07"/>
    <w:rPr>
      <w:rFonts w:ascii="Arial" w:hAnsi="Arial"/>
      <w:smallCaps/>
      <w:color w:val="000000" w:themeColor="text1"/>
      <w:u w:val="single"/>
    </w:rPr>
  </w:style>
  <w:style w:type="character" w:styleId="IntenseReference">
    <w:name w:val="Intense Reference"/>
    <w:basedOn w:val="DefaultParagraphFont"/>
    <w:uiPriority w:val="32"/>
    <w:qFormat/>
    <w:rsid w:val="00AF5E07"/>
    <w:rPr>
      <w:rFonts w:ascii="Arial" w:hAnsi="Arial"/>
      <w:b/>
      <w:bCs/>
      <w:smallCaps/>
      <w:color w:val="000000" w:themeColor="text1"/>
      <w:spacing w:val="5"/>
      <w:u w:val="single"/>
    </w:rPr>
  </w:style>
  <w:style w:type="character" w:styleId="Strong">
    <w:name w:val="Strong"/>
    <w:basedOn w:val="DefaultParagraphFont"/>
    <w:uiPriority w:val="22"/>
    <w:qFormat/>
    <w:rsid w:val="007770F1"/>
    <w:rPr>
      <w:b/>
      <w:bCs/>
    </w:rPr>
  </w:style>
  <w:style w:type="paragraph" w:styleId="NoSpacing">
    <w:name w:val="No Spacing"/>
    <w:uiPriority w:val="1"/>
    <w:qFormat/>
    <w:rsid w:val="00717D45"/>
    <w:pPr>
      <w:spacing w:after="0" w:line="240" w:lineRule="auto"/>
    </w:pPr>
  </w:style>
  <w:style w:type="paragraph" w:customStyle="1" w:styleId="WES">
    <w:name w:val="WES"/>
    <w:basedOn w:val="Tablefont"/>
    <w:qFormat/>
    <w:rsid w:val="00AE2745"/>
    <w:pPr>
      <w:spacing w:before="240" w:after="120"/>
    </w:pPr>
    <w:rPr>
      <w:b/>
      <w:sz w:val="24"/>
    </w:rPr>
  </w:style>
  <w:style w:type="paragraph" w:customStyle="1" w:styleId="Tablerowheading">
    <w:name w:val="Table row heading"/>
    <w:basedOn w:val="Normal"/>
    <w:qFormat/>
    <w:rsid w:val="00D33220"/>
    <w:pPr>
      <w:spacing w:before="80" w:after="80" w:line="240" w:lineRule="auto"/>
    </w:pPr>
    <w:rPr>
      <w:b/>
      <w:lang w:eastAsia="en-AU"/>
    </w:rPr>
  </w:style>
  <w:style w:type="paragraph" w:customStyle="1" w:styleId="Tablerowright">
    <w:name w:val="Table row right"/>
    <w:basedOn w:val="Tablerowheading"/>
    <w:qFormat/>
    <w:rsid w:val="00921DE7"/>
    <w:pPr>
      <w:jc w:val="right"/>
    </w:pPr>
  </w:style>
  <w:style w:type="paragraph" w:customStyle="1" w:styleId="Tablerowheadingitalic">
    <w:name w:val="Table row heading italic"/>
    <w:basedOn w:val="Tablerowheading"/>
    <w:qFormat/>
    <w:rsid w:val="003365A5"/>
    <w:pPr>
      <w:keepNext/>
      <w:keepLines/>
      <w:tabs>
        <w:tab w:val="left" w:pos="2268"/>
        <w:tab w:val="left" w:pos="5670"/>
      </w:tabs>
    </w:pPr>
    <w:rPr>
      <w:i/>
    </w:rPr>
  </w:style>
  <w:style w:type="paragraph" w:customStyle="1" w:styleId="Tabletextprimarysource">
    <w:name w:val="Table text primary source"/>
    <w:basedOn w:val="Normal"/>
    <w:qFormat/>
    <w:rsid w:val="003365A5"/>
    <w:pPr>
      <w:spacing w:before="60" w:after="60" w:line="240" w:lineRule="auto"/>
    </w:pPr>
  </w:style>
  <w:style w:type="paragraph" w:styleId="z-TopofForm">
    <w:name w:val="HTML Top of Form"/>
    <w:basedOn w:val="Normal"/>
    <w:next w:val="Normal"/>
    <w:link w:val="z-TopofFormChar"/>
    <w:hidden/>
    <w:uiPriority w:val="99"/>
    <w:semiHidden/>
    <w:unhideWhenUsed/>
    <w:rsid w:val="00F9496B"/>
    <w:pPr>
      <w:pBdr>
        <w:bottom w:val="single" w:sz="6" w:space="1" w:color="auto"/>
      </w:pBdr>
      <w:spacing w:after="0"/>
      <w:jc w:val="center"/>
    </w:pPr>
    <w:rPr>
      <w:rFonts w:cs="Arial"/>
      <w:vanish/>
      <w:sz w:val="16"/>
      <w:szCs w:val="16"/>
    </w:rPr>
  </w:style>
  <w:style w:type="character" w:customStyle="1" w:styleId="z-TopofFormChar">
    <w:name w:val="z-Top of Form Char"/>
    <w:basedOn w:val="DefaultParagraphFont"/>
    <w:link w:val="z-TopofForm"/>
    <w:uiPriority w:val="99"/>
    <w:semiHidden/>
    <w:rsid w:val="00F9496B"/>
    <w:rPr>
      <w:rFonts w:cs="Arial"/>
      <w:vanish/>
      <w:sz w:val="16"/>
      <w:szCs w:val="16"/>
    </w:rPr>
  </w:style>
  <w:style w:type="paragraph" w:styleId="z-BottomofForm">
    <w:name w:val="HTML Bottom of Form"/>
    <w:basedOn w:val="Normal"/>
    <w:next w:val="Normal"/>
    <w:link w:val="z-BottomofFormChar"/>
    <w:hidden/>
    <w:uiPriority w:val="99"/>
    <w:semiHidden/>
    <w:unhideWhenUsed/>
    <w:rsid w:val="00F9496B"/>
    <w:pPr>
      <w:pBdr>
        <w:top w:val="single" w:sz="6" w:space="1" w:color="auto"/>
      </w:pBdr>
      <w:spacing w:after="0"/>
      <w:jc w:val="center"/>
    </w:pPr>
    <w:rPr>
      <w:rFonts w:cs="Arial"/>
      <w:vanish/>
      <w:sz w:val="16"/>
      <w:szCs w:val="16"/>
    </w:rPr>
  </w:style>
  <w:style w:type="character" w:customStyle="1" w:styleId="z-BottomofFormChar">
    <w:name w:val="z-Bottom of Form Char"/>
    <w:basedOn w:val="DefaultParagraphFont"/>
    <w:link w:val="z-BottomofForm"/>
    <w:uiPriority w:val="99"/>
    <w:semiHidden/>
    <w:rsid w:val="00F9496B"/>
    <w:rPr>
      <w:rFonts w:cs="Arial"/>
      <w:vanish/>
      <w:sz w:val="16"/>
      <w:szCs w:val="16"/>
    </w:rPr>
  </w:style>
  <w:style w:type="character" w:styleId="Hyperlink">
    <w:name w:val="Hyperlink"/>
    <w:basedOn w:val="DefaultParagraphFont"/>
    <w:uiPriority w:val="99"/>
    <w:semiHidden/>
    <w:unhideWhenUsed/>
    <w:rsid w:val="006650FE"/>
    <w:rPr>
      <w:color w:val="0000FF" w:themeColor="hyperlink"/>
      <w:u w:val="single"/>
    </w:rPr>
  </w:style>
  <w:style w:type="paragraph" w:customStyle="1" w:styleId="SWALink">
    <w:name w:val="SWA Link"/>
    <w:basedOn w:val="Normal"/>
    <w:link w:val="SWALinkChar"/>
    <w:qFormat/>
    <w:rsid w:val="00DD2F9B"/>
    <w:pPr>
      <w:spacing w:line="240" w:lineRule="auto"/>
    </w:pPr>
    <w:rPr>
      <w:rFonts w:eastAsia="Times New Roman" w:cs="Times New Roman"/>
      <w:szCs w:val="24"/>
      <w:u w:val="single"/>
      <w:lang w:eastAsia="en-AU"/>
    </w:rPr>
  </w:style>
  <w:style w:type="character" w:customStyle="1" w:styleId="SWALinkChar">
    <w:name w:val="SWA Link Char"/>
    <w:basedOn w:val="DefaultParagraphFont"/>
    <w:link w:val="SWALink"/>
    <w:rsid w:val="00DD2F9B"/>
    <w:rPr>
      <w:rFonts w:eastAsia="Times New Roman" w:cs="Times New Roman"/>
      <w:szCs w:val="24"/>
      <w:u w:val="single"/>
      <w:lang w:eastAsia="en-AU"/>
    </w:rPr>
  </w:style>
  <w:style w:type="paragraph" w:customStyle="1" w:styleId="Tablefooter">
    <w:name w:val="Table footer"/>
    <w:basedOn w:val="Tablefont"/>
    <w:next w:val="Normal"/>
    <w:qFormat/>
    <w:rsid w:val="00485BFD"/>
    <w:pPr>
      <w:spacing w:before="0" w:after="240"/>
      <w:ind w:left="227"/>
    </w:pPr>
    <w:rPr>
      <w:sz w:val="17"/>
    </w:rPr>
  </w:style>
  <w:style w:type="paragraph" w:styleId="ListBullet">
    <w:name w:val="List Bullet"/>
    <w:basedOn w:val="Normal"/>
    <w:uiPriority w:val="99"/>
    <w:unhideWhenUsed/>
    <w:rsid w:val="00255BE3"/>
    <w:pPr>
      <w:numPr>
        <w:numId w:val="1"/>
      </w:numPr>
      <w:contextualSpacing/>
    </w:pPr>
  </w:style>
  <w:style w:type="character" w:styleId="CommentReference">
    <w:name w:val="annotation reference"/>
    <w:basedOn w:val="DefaultParagraphFont"/>
    <w:uiPriority w:val="99"/>
    <w:semiHidden/>
    <w:unhideWhenUsed/>
    <w:rsid w:val="00C6072F"/>
    <w:rPr>
      <w:sz w:val="16"/>
      <w:szCs w:val="16"/>
    </w:rPr>
  </w:style>
  <w:style w:type="paragraph" w:styleId="CommentText">
    <w:name w:val="annotation text"/>
    <w:basedOn w:val="Normal"/>
    <w:link w:val="CommentTextChar"/>
    <w:uiPriority w:val="99"/>
    <w:semiHidden/>
    <w:unhideWhenUsed/>
    <w:rsid w:val="00C6072F"/>
    <w:pPr>
      <w:spacing w:line="240" w:lineRule="auto"/>
    </w:pPr>
    <w:rPr>
      <w:szCs w:val="20"/>
    </w:rPr>
  </w:style>
  <w:style w:type="character" w:customStyle="1" w:styleId="CommentTextChar">
    <w:name w:val="Comment Text Char"/>
    <w:basedOn w:val="DefaultParagraphFont"/>
    <w:link w:val="CommentText"/>
    <w:uiPriority w:val="99"/>
    <w:semiHidden/>
    <w:rsid w:val="00C6072F"/>
    <w:rPr>
      <w:szCs w:val="20"/>
    </w:rPr>
  </w:style>
  <w:style w:type="paragraph" w:styleId="CommentSubject">
    <w:name w:val="annotation subject"/>
    <w:basedOn w:val="CommentText"/>
    <w:next w:val="CommentText"/>
    <w:link w:val="CommentSubjectChar"/>
    <w:uiPriority w:val="99"/>
    <w:semiHidden/>
    <w:unhideWhenUsed/>
    <w:rsid w:val="00C6072F"/>
    <w:rPr>
      <w:b/>
      <w:bCs/>
    </w:rPr>
  </w:style>
  <w:style w:type="character" w:customStyle="1" w:styleId="CommentSubjectChar">
    <w:name w:val="Comment Subject Char"/>
    <w:basedOn w:val="CommentTextChar"/>
    <w:link w:val="CommentSubject"/>
    <w:uiPriority w:val="99"/>
    <w:semiHidden/>
    <w:rsid w:val="00C6072F"/>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8509239">
      <w:bodyDiv w:val="1"/>
      <w:marLeft w:val="0"/>
      <w:marRight w:val="0"/>
      <w:marTop w:val="0"/>
      <w:marBottom w:val="0"/>
      <w:divBdr>
        <w:top w:val="none" w:sz="0" w:space="0" w:color="auto"/>
        <w:left w:val="none" w:sz="0" w:space="0" w:color="auto"/>
        <w:bottom w:val="none" w:sz="0" w:space="0" w:color="auto"/>
        <w:right w:val="none" w:sz="0" w:space="0" w:color="auto"/>
      </w:divBdr>
    </w:div>
    <w:div w:id="630095415">
      <w:bodyDiv w:val="1"/>
      <w:marLeft w:val="0"/>
      <w:marRight w:val="0"/>
      <w:marTop w:val="0"/>
      <w:marBottom w:val="0"/>
      <w:divBdr>
        <w:top w:val="none" w:sz="0" w:space="0" w:color="auto"/>
        <w:left w:val="none" w:sz="0" w:space="0" w:color="auto"/>
        <w:bottom w:val="none" w:sz="0" w:space="0" w:color="auto"/>
        <w:right w:val="none" w:sz="0" w:space="0" w:color="auto"/>
      </w:divBdr>
    </w:div>
    <w:div w:id="15270197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http://www.acgih.org/tlv-bei-guidelines/policies-procedures-presentations" TargetMode="Externa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4.xml.rels><?xml version="1.0" encoding="UTF-8" standalone="yes"?>
<Relationships xmlns="http://schemas.openxmlformats.org/package/2006/relationships"><Relationship Id="rId1" Type="http://schemas.openxmlformats.org/officeDocument/2006/relationships/image" Target="media/image1.jp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CE1736E50B02464986D1BEC8B7ACDE96"/>
        <w:category>
          <w:name w:val="General"/>
          <w:gallery w:val="placeholder"/>
        </w:category>
        <w:types>
          <w:type w:val="bbPlcHdr"/>
        </w:types>
        <w:behaviors>
          <w:behavior w:val="content"/>
        </w:behaviors>
        <w:guid w:val="{C8D94199-680D-4E9C-9EF3-3D915D06B842}"/>
      </w:docPartPr>
      <w:docPartBody>
        <w:p w:rsidR="00D21A9F" w:rsidRDefault="00D21A9F">
          <w:pPr>
            <w:pStyle w:val="CE1736E50B02464986D1BEC8B7ACDE96"/>
          </w:pPr>
          <w:r>
            <w:rPr>
              <w:rStyle w:val="PlaceholderText"/>
            </w:rPr>
            <w:t>Nameofchemical</w:t>
          </w:r>
        </w:p>
      </w:docPartBody>
    </w:docPart>
    <w:docPart>
      <w:docPartPr>
        <w:name w:val="E23B83A762C94EBA8097A4DA3FB4D503"/>
        <w:category>
          <w:name w:val="General"/>
          <w:gallery w:val="placeholder"/>
        </w:category>
        <w:types>
          <w:type w:val="bbPlcHdr"/>
        </w:types>
        <w:behaviors>
          <w:behavior w:val="content"/>
        </w:behaviors>
        <w:guid w:val="{65A02F65-DBBA-4D5A-AAD5-C6FAA5E6CE0E}"/>
      </w:docPartPr>
      <w:docPartBody>
        <w:p w:rsidR="00D21A9F" w:rsidRDefault="00D21A9F">
          <w:pPr>
            <w:pStyle w:val="E23B83A762C94EBA8097A4DA3FB4D503"/>
          </w:pPr>
          <w:r>
            <w:rPr>
              <w:rStyle w:val="PlaceholderText"/>
            </w:rPr>
            <w:t>Has this value changed?</w:t>
          </w:r>
        </w:p>
      </w:docPartBody>
    </w:docPart>
    <w:docPart>
      <w:docPartPr>
        <w:name w:val="0A35AF4547E94E219E26BC12DBC33282"/>
        <w:category>
          <w:name w:val="General"/>
          <w:gallery w:val="placeholder"/>
        </w:category>
        <w:types>
          <w:type w:val="bbPlcHdr"/>
        </w:types>
        <w:behaviors>
          <w:behavior w:val="content"/>
        </w:behaviors>
        <w:guid w:val="{817D360E-8225-4AF6-9FDF-3CF80276F4FF}"/>
      </w:docPartPr>
      <w:docPartBody>
        <w:p w:rsidR="00D21A9F" w:rsidRDefault="00D21A9F">
          <w:pPr>
            <w:pStyle w:val="0A35AF4547E94E219E26BC12DBC33282"/>
          </w:pPr>
          <w:r>
            <w:rPr>
              <w:rStyle w:val="PlaceholderText"/>
            </w:rPr>
            <w:t>Y</w:t>
          </w:r>
          <w:r w:rsidRPr="003365A5">
            <w:rPr>
              <w:rStyle w:val="PlaceholderText"/>
            </w:rPr>
            <w:t>ear</w:t>
          </w:r>
        </w:p>
      </w:docPartBody>
    </w:docPart>
    <w:docPart>
      <w:docPartPr>
        <w:name w:val="81CFEC2FDBC5451289F394E66D92D1A0"/>
        <w:category>
          <w:name w:val="General"/>
          <w:gallery w:val="placeholder"/>
        </w:category>
        <w:types>
          <w:type w:val="bbPlcHdr"/>
        </w:types>
        <w:behaviors>
          <w:behavior w:val="content"/>
        </w:behaviors>
        <w:guid w:val="{7B474E63-31E6-4636-887F-D101B2E0A187}"/>
      </w:docPartPr>
      <w:docPartBody>
        <w:p w:rsidR="00D21A9F" w:rsidRDefault="00D21A9F">
          <w:pPr>
            <w:pStyle w:val="81CFEC2FDBC5451289F394E66D92D1A0"/>
          </w:pPr>
          <w:r w:rsidRPr="0051509C">
            <w:rPr>
              <w:rStyle w:val="PlaceholderText"/>
            </w:rPr>
            <w:t>Click here to enter standard</w:t>
          </w:r>
        </w:p>
      </w:docPartBody>
    </w:docPart>
    <w:docPart>
      <w:docPartPr>
        <w:name w:val="C8FBF9621EB94FE084F687C8955AF85F"/>
        <w:category>
          <w:name w:val="General"/>
          <w:gallery w:val="placeholder"/>
        </w:category>
        <w:types>
          <w:type w:val="bbPlcHdr"/>
        </w:types>
        <w:behaviors>
          <w:behavior w:val="content"/>
        </w:behaviors>
        <w:guid w:val="{540EEAE9-5999-4667-9E06-55916FEE5D03}"/>
      </w:docPartPr>
      <w:docPartBody>
        <w:p w:rsidR="00D21A9F" w:rsidRDefault="00D21A9F">
          <w:pPr>
            <w:pStyle w:val="C8FBF9621EB94FE084F687C8955AF85F"/>
          </w:pPr>
          <w:r>
            <w:rPr>
              <w:rStyle w:val="PlaceholderText"/>
            </w:rPr>
            <w:t>Y</w:t>
          </w:r>
          <w:r w:rsidRPr="003365A5">
            <w:rPr>
              <w:rStyle w:val="PlaceholderText"/>
            </w:rPr>
            <w:t>ear</w:t>
          </w:r>
        </w:p>
      </w:docPartBody>
    </w:docPart>
    <w:docPart>
      <w:docPartPr>
        <w:name w:val="522022AAE76B4622AC0DF750489702EB"/>
        <w:category>
          <w:name w:val="General"/>
          <w:gallery w:val="placeholder"/>
        </w:category>
        <w:types>
          <w:type w:val="bbPlcHdr"/>
        </w:types>
        <w:behaviors>
          <w:behavior w:val="content"/>
        </w:behaviors>
        <w:guid w:val="{4755DFBF-019C-4562-B49E-2AA0323A449A}"/>
      </w:docPartPr>
      <w:docPartBody>
        <w:p w:rsidR="00D21A9F" w:rsidRDefault="00D21A9F">
          <w:pPr>
            <w:pStyle w:val="522022AAE76B4622AC0DF750489702EB"/>
          </w:pPr>
          <w:r w:rsidRPr="0051509C">
            <w:rPr>
              <w:rStyle w:val="PlaceholderText"/>
            </w:rPr>
            <w:t>Click here to enter standard</w:t>
          </w:r>
        </w:p>
      </w:docPartBody>
    </w:docPart>
    <w:docPart>
      <w:docPartPr>
        <w:name w:val="6918C77959FE4E2CB3B6BD78ABC69E19"/>
        <w:category>
          <w:name w:val="General"/>
          <w:gallery w:val="placeholder"/>
        </w:category>
        <w:types>
          <w:type w:val="bbPlcHdr"/>
        </w:types>
        <w:behaviors>
          <w:behavior w:val="content"/>
        </w:behaviors>
        <w:guid w:val="{E8FDE167-8D8A-4F47-8F15-5DED52B85CB3}"/>
      </w:docPartPr>
      <w:docPartBody>
        <w:p w:rsidR="00D21A9F" w:rsidRDefault="00D21A9F">
          <w:pPr>
            <w:pStyle w:val="6918C77959FE4E2CB3B6BD78ABC69E19"/>
          </w:pPr>
          <w:r>
            <w:rPr>
              <w:rStyle w:val="PlaceholderText"/>
            </w:rPr>
            <w:t>Y</w:t>
          </w:r>
          <w:r w:rsidRPr="003365A5">
            <w:rPr>
              <w:rStyle w:val="PlaceholderText"/>
            </w:rPr>
            <w:t>ear</w:t>
          </w:r>
        </w:p>
      </w:docPartBody>
    </w:docPart>
    <w:docPart>
      <w:docPartPr>
        <w:name w:val="1ED9AEC91FDC4528B51A567B2B19EB9F"/>
        <w:category>
          <w:name w:val="General"/>
          <w:gallery w:val="placeholder"/>
        </w:category>
        <w:types>
          <w:type w:val="bbPlcHdr"/>
        </w:types>
        <w:behaviors>
          <w:behavior w:val="content"/>
        </w:behaviors>
        <w:guid w:val="{2F68FFA9-39F8-44B7-9FD3-B2DA6644805F}"/>
      </w:docPartPr>
      <w:docPartBody>
        <w:p w:rsidR="00D21A9F" w:rsidRDefault="00D21A9F">
          <w:pPr>
            <w:pStyle w:val="1ED9AEC91FDC4528B51A567B2B19EB9F"/>
          </w:pPr>
          <w:r w:rsidRPr="0051509C">
            <w:rPr>
              <w:rStyle w:val="PlaceholderText"/>
            </w:rPr>
            <w:t>Click here to enter standard</w:t>
          </w:r>
        </w:p>
      </w:docPartBody>
    </w:docPart>
    <w:docPart>
      <w:docPartPr>
        <w:name w:val="FDC2A24E7D2549238DA6EE03BD0A6AE0"/>
        <w:category>
          <w:name w:val="General"/>
          <w:gallery w:val="placeholder"/>
        </w:category>
        <w:types>
          <w:type w:val="bbPlcHdr"/>
        </w:types>
        <w:behaviors>
          <w:behavior w:val="content"/>
        </w:behaviors>
        <w:guid w:val="{B8AA2BDC-5672-4815-991F-0CE2DEE74014}"/>
      </w:docPartPr>
      <w:docPartBody>
        <w:p w:rsidR="00D21A9F" w:rsidRDefault="00D21A9F">
          <w:pPr>
            <w:pStyle w:val="FDC2A24E7D2549238DA6EE03BD0A6AE0"/>
          </w:pPr>
          <w:r>
            <w:rPr>
              <w:rStyle w:val="PlaceholderText"/>
            </w:rPr>
            <w:t>Y</w:t>
          </w:r>
          <w:r w:rsidRPr="003365A5">
            <w:rPr>
              <w:rStyle w:val="PlaceholderText"/>
            </w:rPr>
            <w:t>ear</w:t>
          </w:r>
        </w:p>
      </w:docPartBody>
    </w:docPart>
    <w:docPart>
      <w:docPartPr>
        <w:name w:val="9E827C9D0DA949E385F2E9AB4264125E"/>
        <w:category>
          <w:name w:val="General"/>
          <w:gallery w:val="placeholder"/>
        </w:category>
        <w:types>
          <w:type w:val="bbPlcHdr"/>
        </w:types>
        <w:behaviors>
          <w:behavior w:val="content"/>
        </w:behaviors>
        <w:guid w:val="{014BB1BA-B22F-4B62-9CED-7D4A7A141414}"/>
      </w:docPartPr>
      <w:docPartBody>
        <w:p w:rsidR="00D21A9F" w:rsidRDefault="00D21A9F">
          <w:pPr>
            <w:pStyle w:val="9E827C9D0DA949E385F2E9AB4264125E"/>
          </w:pPr>
          <w:r w:rsidRPr="0051509C">
            <w:rPr>
              <w:rStyle w:val="PlaceholderText"/>
            </w:rPr>
            <w:t>Click here to enter standard</w:t>
          </w:r>
        </w:p>
      </w:docPartBody>
    </w:docPart>
    <w:docPart>
      <w:docPartPr>
        <w:name w:val="47E4EC2DB10B4B8E8A66F7A5C13653CB"/>
        <w:category>
          <w:name w:val="General"/>
          <w:gallery w:val="placeholder"/>
        </w:category>
        <w:types>
          <w:type w:val="bbPlcHdr"/>
        </w:types>
        <w:behaviors>
          <w:behavior w:val="content"/>
        </w:behaviors>
        <w:guid w:val="{B5D78905-5FB3-41F1-93DC-9CC4E0026343}"/>
      </w:docPartPr>
      <w:docPartBody>
        <w:p w:rsidR="00D21A9F" w:rsidRDefault="00D21A9F">
          <w:pPr>
            <w:pStyle w:val="47E4EC2DB10B4B8E8A66F7A5C13653CB"/>
          </w:pPr>
          <w:r>
            <w:rPr>
              <w:rStyle w:val="PlaceholderText"/>
            </w:rPr>
            <w:t>Y</w:t>
          </w:r>
          <w:r w:rsidRPr="003365A5">
            <w:rPr>
              <w:rStyle w:val="PlaceholderText"/>
            </w:rPr>
            <w:t>ear</w:t>
          </w:r>
        </w:p>
      </w:docPartBody>
    </w:docPart>
    <w:docPart>
      <w:docPartPr>
        <w:name w:val="5E4DD00C3A334F93BF5CC79754EBC5EA"/>
        <w:category>
          <w:name w:val="General"/>
          <w:gallery w:val="placeholder"/>
        </w:category>
        <w:types>
          <w:type w:val="bbPlcHdr"/>
        </w:types>
        <w:behaviors>
          <w:behavior w:val="content"/>
        </w:behaviors>
        <w:guid w:val="{604CD032-152D-43ED-B301-B773F4E16730}"/>
      </w:docPartPr>
      <w:docPartBody>
        <w:p w:rsidR="00D21A9F" w:rsidRDefault="00D21A9F">
          <w:pPr>
            <w:pStyle w:val="5E4DD00C3A334F93BF5CC79754EBC5EA"/>
          </w:pPr>
          <w:r w:rsidRPr="0051509C">
            <w:rPr>
              <w:rStyle w:val="PlaceholderText"/>
            </w:rPr>
            <w:t>Click here to enter standard</w:t>
          </w:r>
        </w:p>
      </w:docPartBody>
    </w:docPart>
    <w:docPart>
      <w:docPartPr>
        <w:name w:val="EA1708404F1C4A3BB080A0D8EEB67D1D"/>
        <w:category>
          <w:name w:val="General"/>
          <w:gallery w:val="placeholder"/>
        </w:category>
        <w:types>
          <w:type w:val="bbPlcHdr"/>
        </w:types>
        <w:behaviors>
          <w:behavior w:val="content"/>
        </w:behaviors>
        <w:guid w:val="{7EF895B6-0ED1-45DE-89C6-97EC2AC4C0B7}"/>
      </w:docPartPr>
      <w:docPartBody>
        <w:p w:rsidR="00D21A9F" w:rsidRDefault="00D21A9F">
          <w:pPr>
            <w:pStyle w:val="EA1708404F1C4A3BB080A0D8EEB67D1D"/>
          </w:pPr>
          <w:r>
            <w:rPr>
              <w:rStyle w:val="PlaceholderText"/>
            </w:rPr>
            <w:t>Y</w:t>
          </w:r>
          <w:r w:rsidRPr="003365A5">
            <w:rPr>
              <w:rStyle w:val="PlaceholderText"/>
            </w:rPr>
            <w:t>ear</w:t>
          </w:r>
        </w:p>
      </w:docPartBody>
    </w:docPart>
    <w:docPart>
      <w:docPartPr>
        <w:name w:val="F3D4204BA37A4A21A656C76DA4274412"/>
        <w:category>
          <w:name w:val="General"/>
          <w:gallery w:val="placeholder"/>
        </w:category>
        <w:types>
          <w:type w:val="bbPlcHdr"/>
        </w:types>
        <w:behaviors>
          <w:behavior w:val="content"/>
        </w:behaviors>
        <w:guid w:val="{C0DD64BC-C0C9-4379-B1B0-F8982B824A8E}"/>
      </w:docPartPr>
      <w:docPartBody>
        <w:p w:rsidR="00D21A9F" w:rsidRDefault="00D21A9F">
          <w:pPr>
            <w:pStyle w:val="F3D4204BA37A4A21A656C76DA4274412"/>
          </w:pPr>
          <w:r w:rsidRPr="0051509C">
            <w:rPr>
              <w:rStyle w:val="PlaceholderText"/>
            </w:rPr>
            <w:t>Click here to enter standard</w:t>
          </w:r>
        </w:p>
      </w:docPartBody>
    </w:docPart>
    <w:docPart>
      <w:docPartPr>
        <w:name w:val="0168237C60E6479CAFA3D9A1A8409B78"/>
        <w:category>
          <w:name w:val="General"/>
          <w:gallery w:val="placeholder"/>
        </w:category>
        <w:types>
          <w:type w:val="bbPlcHdr"/>
        </w:types>
        <w:behaviors>
          <w:behavior w:val="content"/>
        </w:behaviors>
        <w:guid w:val="{C7BCB098-81C9-4E32-956E-CDD3A6DFECE7}"/>
      </w:docPartPr>
      <w:docPartBody>
        <w:p w:rsidR="00D21A9F" w:rsidRDefault="00D21A9F">
          <w:pPr>
            <w:pStyle w:val="0168237C60E6479CAFA3D9A1A8409B78"/>
          </w:pPr>
          <w:r w:rsidRPr="00F4402E">
            <w:rPr>
              <w:rStyle w:val="PlaceholderText"/>
              <w:color w:val="FFFFFF" w:themeColor="background1"/>
            </w:rPr>
            <w:t>Choose an item.</w:t>
          </w:r>
        </w:p>
      </w:docPartBody>
    </w:docPart>
    <w:docPart>
      <w:docPartPr>
        <w:name w:val="CAD2D506A5824AB88D896BC2795BCEDE"/>
        <w:category>
          <w:name w:val="General"/>
          <w:gallery w:val="placeholder"/>
        </w:category>
        <w:types>
          <w:type w:val="bbPlcHdr"/>
        </w:types>
        <w:behaviors>
          <w:behavior w:val="content"/>
        </w:behaviors>
        <w:guid w:val="{4E99D28C-1B09-4DD0-B83A-09A1AFF622AA}"/>
      </w:docPartPr>
      <w:docPartBody>
        <w:p w:rsidR="00D21A9F" w:rsidRDefault="00D21A9F">
          <w:pPr>
            <w:pStyle w:val="CAD2D506A5824AB88D896BC2795BCEDE"/>
          </w:pPr>
          <w:r w:rsidRPr="001D56F0">
            <w:rPr>
              <w:rStyle w:val="PlaceholderText"/>
            </w:rPr>
            <w:t>Choose an item.</w:t>
          </w:r>
        </w:p>
      </w:docPartBody>
    </w:docPart>
    <w:docPart>
      <w:docPartPr>
        <w:name w:val="F426C563814E402488AC06CC39354A11"/>
        <w:category>
          <w:name w:val="General"/>
          <w:gallery w:val="placeholder"/>
        </w:category>
        <w:types>
          <w:type w:val="bbPlcHdr"/>
        </w:types>
        <w:behaviors>
          <w:behavior w:val="content"/>
        </w:behaviors>
        <w:guid w:val="{F0BA6214-28BA-4138-BF55-E76AD08567C8}"/>
      </w:docPartPr>
      <w:docPartBody>
        <w:p w:rsidR="00D21A9F" w:rsidRDefault="00D21A9F">
          <w:pPr>
            <w:pStyle w:val="F426C563814E402488AC06CC39354A11"/>
          </w:pPr>
          <w:r w:rsidRPr="00EB3D1B">
            <w:rPr>
              <w:rStyle w:val="PlaceholderText"/>
              <w:color w:val="FFFFFF" w:themeColor="background1"/>
            </w:rPr>
            <w:t>Choose an item.</w:t>
          </w:r>
        </w:p>
      </w:docPartBody>
    </w:docPart>
    <w:docPart>
      <w:docPartPr>
        <w:name w:val="0DAD3FB9ACEF4778B961F088737E2361"/>
        <w:category>
          <w:name w:val="General"/>
          <w:gallery w:val="placeholder"/>
        </w:category>
        <w:types>
          <w:type w:val="bbPlcHdr"/>
        </w:types>
        <w:behaviors>
          <w:behavior w:val="content"/>
        </w:behaviors>
        <w:guid w:val="{1818AAEB-C7DB-4A80-88DB-772F73C8E66D}"/>
      </w:docPartPr>
      <w:docPartBody>
        <w:p w:rsidR="00D21A9F" w:rsidRDefault="00D21A9F">
          <w:pPr>
            <w:pStyle w:val="0DAD3FB9ACEF4778B961F088737E2361"/>
          </w:pPr>
          <w:r>
            <w:rPr>
              <w:rStyle w:val="PlaceholderText"/>
            </w:rPr>
            <w:t>Insert molecular weight</w:t>
          </w:r>
        </w:p>
      </w:docPartBody>
    </w:docPart>
    <w:docPart>
      <w:docPartPr>
        <w:name w:val="A7231FB73EFF4B2B92EB3BD21C0CEA01"/>
        <w:category>
          <w:name w:val="General"/>
          <w:gallery w:val="placeholder"/>
        </w:category>
        <w:types>
          <w:type w:val="bbPlcHdr"/>
        </w:types>
        <w:behaviors>
          <w:behavior w:val="content"/>
        </w:behaviors>
        <w:guid w:val="{FF1A3F6B-F6BB-479E-BB6A-087EA1FCFDFA}"/>
      </w:docPartPr>
      <w:docPartBody>
        <w:p w:rsidR="00D21A9F" w:rsidRDefault="00D21A9F">
          <w:pPr>
            <w:pStyle w:val="A7231FB73EFF4B2B92EB3BD21C0CEA01"/>
          </w:pPr>
          <w:r>
            <w:rPr>
              <w:rStyle w:val="PlaceholderText"/>
            </w:rPr>
            <w:t>Number</w:t>
          </w:r>
        </w:p>
      </w:docPartBody>
    </w:docPart>
    <w:docPart>
      <w:docPartPr>
        <w:name w:val="5D98FA8C84704C71B6F1557317AE5303"/>
        <w:category>
          <w:name w:val="General"/>
          <w:gallery w:val="placeholder"/>
        </w:category>
        <w:types>
          <w:type w:val="bbPlcHdr"/>
        </w:types>
        <w:behaviors>
          <w:behavior w:val="content"/>
        </w:behaviors>
        <w:guid w:val="{5F8DFB54-C6B8-4F2D-88BE-C0D2DC34C42D}"/>
      </w:docPartPr>
      <w:docPartBody>
        <w:p w:rsidR="00D21A9F" w:rsidRDefault="00D21A9F">
          <w:pPr>
            <w:pStyle w:val="5D98FA8C84704C71B6F1557317AE5303"/>
          </w:pPr>
          <w:r w:rsidRPr="00DF796F">
            <w:rPr>
              <w:rStyle w:val="PlaceholderText"/>
            </w:rPr>
            <w:t>Click or tap here to enter text.</w:t>
          </w:r>
        </w:p>
      </w:docPartBody>
    </w:docPart>
    <w:docPart>
      <w:docPartPr>
        <w:name w:val="2BF891C0AB704CDAB9BC6E80D556473F"/>
        <w:category>
          <w:name w:val="General"/>
          <w:gallery w:val="placeholder"/>
        </w:category>
        <w:types>
          <w:type w:val="bbPlcHdr"/>
        </w:types>
        <w:behaviors>
          <w:behavior w:val="content"/>
        </w:behaviors>
        <w:guid w:val="{DE1FED3B-D766-43B3-B75A-764D619F223B}"/>
      </w:docPartPr>
      <w:docPartBody>
        <w:p w:rsidR="00D21A9F" w:rsidRDefault="00D21A9F">
          <w:pPr>
            <w:pStyle w:val="2BF891C0AB704CDAB9BC6E80D556473F"/>
          </w:pPr>
          <w:r w:rsidRPr="004C23F4">
            <w:rPr>
              <w:rStyle w:val="PlaceholderText"/>
              <w:rFonts w:cs="Arial"/>
            </w:rPr>
            <w:t>Click here to enter year</w:t>
          </w:r>
        </w:p>
      </w:docPartBody>
    </w:docPart>
    <w:docPart>
      <w:docPartPr>
        <w:name w:val="BA85BA3CA0604014A6C0ADF767CCFB6C"/>
        <w:category>
          <w:name w:val="General"/>
          <w:gallery w:val="placeholder"/>
        </w:category>
        <w:types>
          <w:type w:val="bbPlcHdr"/>
        </w:types>
        <w:behaviors>
          <w:behavior w:val="content"/>
        </w:behaviors>
        <w:guid w:val="{1A48B0FF-BA5B-4D63-91DD-B68E856F2387}"/>
      </w:docPartPr>
      <w:docPartBody>
        <w:p w:rsidR="00EA69CB" w:rsidRDefault="00931442" w:rsidP="00931442">
          <w:pPr>
            <w:pStyle w:val="BA85BA3CA0604014A6C0ADF767CCFB6C"/>
          </w:pPr>
          <w:r>
            <w:rPr>
              <w:rStyle w:val="PlaceholderText"/>
            </w:rPr>
            <w:t>Has this value changed?</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Bold">
    <w:panose1 w:val="020B0704020202020204"/>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1A9F"/>
    <w:rsid w:val="00450615"/>
    <w:rsid w:val="007E7E4E"/>
    <w:rsid w:val="009123D7"/>
    <w:rsid w:val="00931442"/>
    <w:rsid w:val="00D21A9F"/>
    <w:rsid w:val="00EA69CB"/>
    <w:rsid w:val="00FD16A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931442"/>
    <w:rPr>
      <w:color w:val="808080"/>
    </w:rPr>
  </w:style>
  <w:style w:type="paragraph" w:customStyle="1" w:styleId="CE1736E50B02464986D1BEC8B7ACDE96">
    <w:name w:val="CE1736E50B02464986D1BEC8B7ACDE96"/>
  </w:style>
  <w:style w:type="paragraph" w:customStyle="1" w:styleId="E23B83A762C94EBA8097A4DA3FB4D503">
    <w:name w:val="E23B83A762C94EBA8097A4DA3FB4D503"/>
  </w:style>
  <w:style w:type="paragraph" w:customStyle="1" w:styleId="0A35AF4547E94E219E26BC12DBC33282">
    <w:name w:val="0A35AF4547E94E219E26BC12DBC33282"/>
  </w:style>
  <w:style w:type="paragraph" w:customStyle="1" w:styleId="81CFEC2FDBC5451289F394E66D92D1A0">
    <w:name w:val="81CFEC2FDBC5451289F394E66D92D1A0"/>
  </w:style>
  <w:style w:type="paragraph" w:customStyle="1" w:styleId="C8FBF9621EB94FE084F687C8955AF85F">
    <w:name w:val="C8FBF9621EB94FE084F687C8955AF85F"/>
  </w:style>
  <w:style w:type="paragraph" w:customStyle="1" w:styleId="522022AAE76B4622AC0DF750489702EB">
    <w:name w:val="522022AAE76B4622AC0DF750489702EB"/>
  </w:style>
  <w:style w:type="paragraph" w:customStyle="1" w:styleId="6918C77959FE4E2CB3B6BD78ABC69E19">
    <w:name w:val="6918C77959FE4E2CB3B6BD78ABC69E19"/>
  </w:style>
  <w:style w:type="paragraph" w:customStyle="1" w:styleId="1ED9AEC91FDC4528B51A567B2B19EB9F">
    <w:name w:val="1ED9AEC91FDC4528B51A567B2B19EB9F"/>
  </w:style>
  <w:style w:type="paragraph" w:customStyle="1" w:styleId="FDC2A24E7D2549238DA6EE03BD0A6AE0">
    <w:name w:val="FDC2A24E7D2549238DA6EE03BD0A6AE0"/>
  </w:style>
  <w:style w:type="paragraph" w:customStyle="1" w:styleId="9E827C9D0DA949E385F2E9AB4264125E">
    <w:name w:val="9E827C9D0DA949E385F2E9AB4264125E"/>
  </w:style>
  <w:style w:type="paragraph" w:customStyle="1" w:styleId="47E4EC2DB10B4B8E8A66F7A5C13653CB">
    <w:name w:val="47E4EC2DB10B4B8E8A66F7A5C13653CB"/>
  </w:style>
  <w:style w:type="paragraph" w:customStyle="1" w:styleId="5E4DD00C3A334F93BF5CC79754EBC5EA">
    <w:name w:val="5E4DD00C3A334F93BF5CC79754EBC5EA"/>
  </w:style>
  <w:style w:type="paragraph" w:customStyle="1" w:styleId="EA1708404F1C4A3BB080A0D8EEB67D1D">
    <w:name w:val="EA1708404F1C4A3BB080A0D8EEB67D1D"/>
  </w:style>
  <w:style w:type="paragraph" w:customStyle="1" w:styleId="F3D4204BA37A4A21A656C76DA4274412">
    <w:name w:val="F3D4204BA37A4A21A656C76DA4274412"/>
  </w:style>
  <w:style w:type="paragraph" w:customStyle="1" w:styleId="0168237C60E6479CAFA3D9A1A8409B78">
    <w:name w:val="0168237C60E6479CAFA3D9A1A8409B78"/>
  </w:style>
  <w:style w:type="paragraph" w:customStyle="1" w:styleId="CAD2D506A5824AB88D896BC2795BCEDE">
    <w:name w:val="CAD2D506A5824AB88D896BC2795BCEDE"/>
  </w:style>
  <w:style w:type="paragraph" w:customStyle="1" w:styleId="F426C563814E402488AC06CC39354A11">
    <w:name w:val="F426C563814E402488AC06CC39354A11"/>
  </w:style>
  <w:style w:type="paragraph" w:customStyle="1" w:styleId="0DAD3FB9ACEF4778B961F088737E2361">
    <w:name w:val="0DAD3FB9ACEF4778B961F088737E2361"/>
  </w:style>
  <w:style w:type="paragraph" w:customStyle="1" w:styleId="A7231FB73EFF4B2B92EB3BD21C0CEA01">
    <w:name w:val="A7231FB73EFF4B2B92EB3BD21C0CEA01"/>
  </w:style>
  <w:style w:type="paragraph" w:customStyle="1" w:styleId="5D98FA8C84704C71B6F1557317AE5303">
    <w:name w:val="5D98FA8C84704C71B6F1557317AE5303"/>
  </w:style>
  <w:style w:type="paragraph" w:customStyle="1" w:styleId="2BF891C0AB704CDAB9BC6E80D556473F">
    <w:name w:val="2BF891C0AB704CDAB9BC6E80D556473F"/>
  </w:style>
  <w:style w:type="paragraph" w:customStyle="1" w:styleId="BA85BA3CA0604014A6C0ADF767CCFB6C">
    <w:name w:val="BA85BA3CA0604014A6C0ADF767CCFB6C"/>
    <w:rsid w:val="0093144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TaxCatchAll xmlns="1c567317-0c4d-4a62-8516-c22afd1b5354" xsi:nil="true"/>
    <lcf76f155ced4ddcb4097134ff3c332f xmlns="a0509f21-ed56-4150-9955-96be669e5f2d">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46AD5CDCF19ABB48B55E2D2DE3ED6D35" ma:contentTypeVersion="13" ma:contentTypeDescription="Create a new document." ma:contentTypeScope="" ma:versionID="b7b4e45f8b3764fc6848705adf6d0cea">
  <xsd:schema xmlns:xsd="http://www.w3.org/2001/XMLSchema" xmlns:xs="http://www.w3.org/2001/XMLSchema" xmlns:p="http://schemas.microsoft.com/office/2006/metadata/properties" xmlns:ns2="a0509f21-ed56-4150-9955-96be669e5f2d" xmlns:ns3="1c567317-0c4d-4a62-8516-c22afd1b5354" targetNamespace="http://schemas.microsoft.com/office/2006/metadata/properties" ma:root="true" ma:fieldsID="81e914b8a6d249f3d30a4230ec53e5c3" ns2:_="" ns3:_="">
    <xsd:import namespace="a0509f21-ed56-4150-9955-96be669e5f2d"/>
    <xsd:import namespace="1c567317-0c4d-4a62-8516-c22afd1b5354"/>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element ref="ns2:MediaServiceDateTaken" minOccurs="0"/>
                <xsd:element ref="ns2:MediaServiceGenerationTime" minOccurs="0"/>
                <xsd:element ref="ns2:MediaServiceEventHashCode"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0509f21-ed56-4150-9955-96be669e5f2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7147e460-a74b-4414-8224-31362e5846fd"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c567317-0c4d-4a62-8516-c22afd1b5354"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2ba9aea8-28a4-4209-bc0b-ed385f6f0d4a}" ma:internalName="TaxCatchAll" ma:showField="CatchAllData" ma:web="1c567317-0c4d-4a62-8516-c22afd1b535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847A6BE-66C9-414A-92F5-F76AC1B445AB}">
  <ds:schemaRefs>
    <ds:schemaRef ds:uri="http://schemas.openxmlformats.org/officeDocument/2006/bibliography"/>
  </ds:schemaRefs>
</ds:datastoreItem>
</file>

<file path=customXml/itemProps2.xml><?xml version="1.0" encoding="utf-8"?>
<ds:datastoreItem xmlns:ds="http://schemas.openxmlformats.org/officeDocument/2006/customXml" ds:itemID="{D4770477-49EC-4262-A08F-C99BCDE9FF5C}">
  <ds:schemaRefs>
    <ds:schemaRef ds:uri="http://schemas.microsoft.com/office/2006/metadata/properties"/>
    <ds:schemaRef ds:uri="http://schemas.microsoft.com/office/2006/documentManagement/types"/>
    <ds:schemaRef ds:uri="http://www.w3.org/XML/1998/namespace"/>
    <ds:schemaRef ds:uri="http://purl.org/dc/elements/1.1/"/>
    <ds:schemaRef ds:uri="http://purl.org/dc/terms/"/>
    <ds:schemaRef ds:uri="http://schemas.microsoft.com/office/infopath/2007/PartnerControls"/>
    <ds:schemaRef ds:uri="http://schemas.openxmlformats.org/package/2006/metadata/core-properties"/>
    <ds:schemaRef ds:uri="http://purl.org/dc/dcmitype/"/>
    <ds:schemaRef ds:uri="1c567317-0c4d-4a62-8516-c22afd1b5354"/>
    <ds:schemaRef ds:uri="a0509f21-ed56-4150-9955-96be669e5f2d"/>
  </ds:schemaRefs>
</ds:datastoreItem>
</file>

<file path=customXml/itemProps3.xml><?xml version="1.0" encoding="utf-8"?>
<ds:datastoreItem xmlns:ds="http://schemas.openxmlformats.org/officeDocument/2006/customXml" ds:itemID="{82432D2F-90EF-4051-8D19-35EAF2F2E5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0509f21-ed56-4150-9955-96be669e5f2d"/>
    <ds:schemaRef ds:uri="1c567317-0c4d-4a62-8516-c22afd1b53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AC798C8-F1E7-45BB-BCF7-C3BB421CDED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976</Words>
  <Characters>5212</Characters>
  <Application>Microsoft Office Word</Application>
  <DocSecurity>0</DocSecurity>
  <Lines>200</Lines>
  <Paragraphs>176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2019-10-30T05:31:00Z</dcterms:created>
  <dcterms:modified xsi:type="dcterms:W3CDTF">2026-01-08T23:27:00Z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0x01010046AD5CDCF19ABB48B55E2D2DE3ED6D35</vt:lpwstr>
  </property>
  <property fmtid="{D5CDD505-2E9C-101B-9397-08002B2CF9AE}" pid="3" name="MSIP_Label_79d889eb-932f-4752-8739-64d25806ef64_Enabled">
    <vt:lpwstr>true</vt:lpwstr>
  </property>
  <property fmtid="{D5CDD505-2E9C-101B-9397-08002B2CF9AE}" pid="4" name="MSIP_Label_79d889eb-932f-4752-8739-64d25806ef64_SetDate">
    <vt:lpwstr>2025-12-22T05:32:15Z</vt:lpwstr>
  </property>
  <property fmtid="{D5CDD505-2E9C-101B-9397-08002B2CF9AE}" pid="5" name="MSIP_Label_79d889eb-932f-4752-8739-64d25806ef64_Method">
    <vt:lpwstr>Privileged</vt:lpwstr>
  </property>
  <property fmtid="{D5CDD505-2E9C-101B-9397-08002B2CF9AE}" pid="6" name="MSIP_Label_79d889eb-932f-4752-8739-64d25806ef64_Name">
    <vt:lpwstr>79d889eb-932f-4752-8739-64d25806ef64</vt:lpwstr>
  </property>
  <property fmtid="{D5CDD505-2E9C-101B-9397-08002B2CF9AE}" pid="7" name="MSIP_Label_79d889eb-932f-4752-8739-64d25806ef64_SiteId">
    <vt:lpwstr>dd0cfd15-4558-4b12-8bad-ea26984fc417</vt:lpwstr>
  </property>
  <property fmtid="{D5CDD505-2E9C-101B-9397-08002B2CF9AE}" pid="8" name="MSIP_Label_79d889eb-932f-4752-8739-64d25806ef64_ActionId">
    <vt:lpwstr>e89a4460-3777-44f0-89c6-d6babfbb7652</vt:lpwstr>
  </property>
  <property fmtid="{D5CDD505-2E9C-101B-9397-08002B2CF9AE}" pid="9" name="MSIP_Label_79d889eb-932f-4752-8739-64d25806ef64_ContentBits">
    <vt:lpwstr>0</vt:lpwstr>
  </property>
  <property fmtid="{D5CDD505-2E9C-101B-9397-08002B2CF9AE}" pid="10" name="MSIP_Label_79d889eb-932f-4752-8739-64d25806ef64_Tag">
    <vt:lpwstr>10, 0, 1, 1</vt:lpwstr>
  </property>
  <property fmtid="{D5CDD505-2E9C-101B-9397-08002B2CF9AE}" pid="11" name="MediaServiceImageTags">
    <vt:lpwstr/>
  </property>
</Properties>
</file>