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A848F29" w14:textId="751DBF50" w:rsidR="00BD499F" w:rsidRPr="004C23F4" w:rsidRDefault="00A70823" w:rsidP="00B40C60">
          <w:pPr>
            <w:pStyle w:val="Heading1"/>
            <w:jc w:val="center"/>
            <w:rPr>
              <w:rFonts w:ascii="Arial" w:hAnsi="Arial" w:cs="Arial"/>
            </w:rPr>
          </w:pPr>
          <w:r w:rsidRPr="00A70823">
            <w:rPr>
              <w:rFonts w:ascii="Arial" w:hAnsi="Arial" w:cs="Arial"/>
            </w:rPr>
            <w:t>Dimethylsulfamoyl 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2F416438" w14:textId="77777777" w:rsidTr="008D0157">
        <w:trPr>
          <w:cantSplit/>
          <w:tblHeader/>
        </w:trPr>
        <w:tc>
          <w:tcPr>
            <w:tcW w:w="3986" w:type="dxa"/>
          </w:tcPr>
          <w:p w14:paraId="7A7510C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7810956D" w14:textId="6949591A" w:rsidR="00F43AD5" w:rsidRPr="00717D45" w:rsidRDefault="00A70823" w:rsidP="00B76A41">
            <w:pPr>
              <w:pStyle w:val="Tablefont"/>
            </w:pPr>
            <w:r w:rsidRPr="00A70823">
              <w:t>13360-57-1</w:t>
            </w:r>
          </w:p>
        </w:tc>
      </w:tr>
      <w:tr w:rsidR="00F43AD5" w:rsidRPr="004C23F4" w14:paraId="2A946D5C" w14:textId="77777777" w:rsidTr="008D0157">
        <w:trPr>
          <w:cantSplit/>
        </w:trPr>
        <w:tc>
          <w:tcPr>
            <w:tcW w:w="3986" w:type="dxa"/>
          </w:tcPr>
          <w:p w14:paraId="7AAE884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14AF77D2" w14:textId="17E563FE" w:rsidR="00F43AD5" w:rsidRPr="00717D45" w:rsidRDefault="00A70823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2123EF46" w14:textId="77777777" w:rsidTr="008D0157">
        <w:trPr>
          <w:cantSplit/>
        </w:trPr>
        <w:tc>
          <w:tcPr>
            <w:tcW w:w="3986" w:type="dxa"/>
          </w:tcPr>
          <w:p w14:paraId="1B34337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3CA85725" w14:textId="415F775E" w:rsidR="00F43AD5" w:rsidRPr="00717D45" w:rsidRDefault="00A70823" w:rsidP="00B76A41">
            <w:pPr>
              <w:pStyle w:val="Tablefont"/>
            </w:pPr>
            <w:r w:rsidRPr="00A70823">
              <w:t>C</w:t>
            </w:r>
            <w:r w:rsidRPr="00A70823">
              <w:rPr>
                <w:vertAlign w:val="subscript"/>
              </w:rPr>
              <w:t>2</w:t>
            </w:r>
            <w:r w:rsidRPr="00A70823">
              <w:t>H</w:t>
            </w:r>
            <w:r w:rsidRPr="00A70823">
              <w:rPr>
                <w:vertAlign w:val="subscript"/>
              </w:rPr>
              <w:t>6</w:t>
            </w:r>
            <w:r w:rsidRPr="00A70823">
              <w:t>ClNO</w:t>
            </w:r>
            <w:r w:rsidRPr="00A70823">
              <w:rPr>
                <w:vertAlign w:val="subscript"/>
              </w:rPr>
              <w:t>2</w:t>
            </w:r>
            <w:r w:rsidRPr="00A70823">
              <w:t>S</w:t>
            </w:r>
          </w:p>
        </w:tc>
      </w:tr>
    </w:tbl>
    <w:p w14:paraId="373C4876" w14:textId="0E3BC7F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754F9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5855C481" w14:textId="77777777" w:rsidTr="001B5930">
        <w:trPr>
          <w:cantSplit/>
          <w:tblHeader/>
        </w:trPr>
        <w:tc>
          <w:tcPr>
            <w:tcW w:w="4007" w:type="dxa"/>
            <w:vAlign w:val="center"/>
          </w:tcPr>
          <w:p w14:paraId="1EB497A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112BCCA0" w14:textId="3B56DE7F" w:rsidR="002C7AFE" w:rsidRPr="001B5930" w:rsidRDefault="00751E96" w:rsidP="00017C82">
            <w:pPr>
              <w:pStyle w:val="Tablefont"/>
              <w:rPr>
                <w:b/>
              </w:rPr>
            </w:pPr>
            <w:r w:rsidRPr="001B5930">
              <w:rPr>
                <w:b/>
              </w:rPr>
              <w:t>—</w:t>
            </w:r>
          </w:p>
        </w:tc>
      </w:tr>
      <w:tr w:rsidR="002C7AFE" w:rsidRPr="004C23F4" w14:paraId="17032DE6" w14:textId="77777777" w:rsidTr="001B5930">
        <w:trPr>
          <w:cantSplit/>
        </w:trPr>
        <w:tc>
          <w:tcPr>
            <w:tcW w:w="4007" w:type="dxa"/>
            <w:vAlign w:val="center"/>
          </w:tcPr>
          <w:p w14:paraId="6D607369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28386839" w14:textId="0EA29504" w:rsidR="002C7AFE" w:rsidRPr="001B5930" w:rsidRDefault="00751E96" w:rsidP="00017C82">
            <w:pPr>
              <w:pStyle w:val="Tablefont"/>
              <w:rPr>
                <w:b/>
              </w:rPr>
            </w:pPr>
            <w:r w:rsidRPr="001B5930">
              <w:rPr>
                <w:b/>
              </w:rPr>
              <w:t>—</w:t>
            </w:r>
          </w:p>
        </w:tc>
      </w:tr>
      <w:tr w:rsidR="002C7AFE" w:rsidRPr="004C23F4" w14:paraId="46CC1E0F" w14:textId="77777777" w:rsidTr="001B5930">
        <w:trPr>
          <w:cantSplit/>
        </w:trPr>
        <w:tc>
          <w:tcPr>
            <w:tcW w:w="4007" w:type="dxa"/>
            <w:vAlign w:val="center"/>
          </w:tcPr>
          <w:p w14:paraId="70048633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789D54D3" w14:textId="0E3B7CFE" w:rsidR="002C7AFE" w:rsidRPr="001B5930" w:rsidRDefault="00751E96" w:rsidP="00017C82">
            <w:pPr>
              <w:pStyle w:val="Tablefont"/>
              <w:rPr>
                <w:b/>
              </w:rPr>
            </w:pPr>
            <w:r w:rsidRPr="001B5930">
              <w:rPr>
                <w:b/>
              </w:rPr>
              <w:t>—</w:t>
            </w:r>
          </w:p>
        </w:tc>
      </w:tr>
      <w:tr w:rsidR="002C7AFE" w:rsidRPr="004C23F4" w14:paraId="4D185ECA" w14:textId="77777777" w:rsidTr="001B5930">
        <w:trPr>
          <w:cantSplit/>
        </w:trPr>
        <w:tc>
          <w:tcPr>
            <w:tcW w:w="4007" w:type="dxa"/>
          </w:tcPr>
          <w:p w14:paraId="1FAA059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58A500B1" w14:textId="67D5BCF7" w:rsidR="002C7AFE" w:rsidRPr="001B5930" w:rsidRDefault="002556D7" w:rsidP="008A36CF">
            <w:pPr>
              <w:pStyle w:val="Tablefont"/>
              <w:rPr>
                <w:b/>
              </w:rPr>
            </w:pPr>
            <w:proofErr w:type="spellStart"/>
            <w:r w:rsidRPr="001B5930">
              <w:rPr>
                <w:b/>
              </w:rPr>
              <w:t>Carc</w:t>
            </w:r>
            <w:proofErr w:type="spellEnd"/>
            <w:r w:rsidRPr="001B5930">
              <w:rPr>
                <w:b/>
              </w:rPr>
              <w:t>. 1B, Sk.</w:t>
            </w:r>
          </w:p>
        </w:tc>
      </w:tr>
      <w:tr w:rsidR="002C7AFE" w:rsidRPr="004C23F4" w14:paraId="151198A8" w14:textId="77777777" w:rsidTr="001B5930">
        <w:trPr>
          <w:cantSplit/>
        </w:trPr>
        <w:tc>
          <w:tcPr>
            <w:tcW w:w="4007" w:type="dxa"/>
            <w:vAlign w:val="center"/>
          </w:tcPr>
          <w:p w14:paraId="3AF9591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0ADB2B1C" w14:textId="4931B487" w:rsidR="002C7AFE" w:rsidRPr="001B5930" w:rsidRDefault="00A70823" w:rsidP="00017C82">
            <w:pPr>
              <w:pStyle w:val="Tablefont"/>
              <w:rPr>
                <w:b/>
              </w:rPr>
            </w:pPr>
            <w:r w:rsidRPr="001B5930">
              <w:rPr>
                <w:b/>
              </w:rPr>
              <w:t>—</w:t>
            </w:r>
          </w:p>
        </w:tc>
      </w:tr>
      <w:tr w:rsidR="001B5930" w:rsidRPr="004C23F4" w14:paraId="7C9028FA" w14:textId="77777777" w:rsidTr="00DC11D3">
        <w:trPr>
          <w:cantSplit/>
        </w:trPr>
        <w:tc>
          <w:tcPr>
            <w:tcW w:w="9026" w:type="dxa"/>
            <w:gridSpan w:val="2"/>
            <w:vAlign w:val="center"/>
          </w:tcPr>
          <w:p w14:paraId="08CEB205" w14:textId="12248592" w:rsidR="001B5930" w:rsidRPr="001B5930" w:rsidRDefault="001B5930" w:rsidP="00017C82">
            <w:pPr>
              <w:pStyle w:val="Tablefont"/>
              <w:rPr>
                <w:b/>
              </w:rPr>
            </w:pPr>
            <w:r w:rsidRPr="00484A6A">
              <w:rPr>
                <w:b/>
              </w:rPr>
              <w:t>Sampling and analysis:</w:t>
            </w:r>
            <w:r>
              <w:t xml:space="preserve"> </w:t>
            </w:r>
            <w:r>
              <w:rPr>
                <w:rStyle w:val="WESstatus"/>
                <w:b/>
                <w:color w:val="auto"/>
              </w:rPr>
              <w:t xml:space="preserve"> </w:t>
            </w:r>
            <w:r w:rsidRPr="00484A6A">
              <w:rPr>
                <w:rStyle w:val="WESstatus"/>
                <w:color w:val="auto"/>
              </w:rPr>
              <w:t>N/A</w:t>
            </w:r>
          </w:p>
        </w:tc>
      </w:tr>
    </w:tbl>
    <w:p w14:paraId="418103B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1B4A31C" w14:textId="4BEDA3B0" w:rsidR="002556D7" w:rsidRDefault="00BB0866" w:rsidP="000C139A">
      <w:pPr>
        <w:rPr>
          <w:rFonts w:cs="Arial"/>
        </w:rPr>
      </w:pPr>
      <w:r>
        <w:rPr>
          <w:rFonts w:cs="Arial"/>
        </w:rPr>
        <w:t>A TWA is not recommended as there are i</w:t>
      </w:r>
      <w:r w:rsidR="002556D7">
        <w:rPr>
          <w:rFonts w:cs="Arial"/>
        </w:rPr>
        <w:t xml:space="preserve">nsufficient data </w:t>
      </w:r>
      <w:r>
        <w:rPr>
          <w:rFonts w:cs="Arial"/>
        </w:rPr>
        <w:t>available</w:t>
      </w:r>
      <w:r w:rsidR="002556D7">
        <w:rPr>
          <w:rFonts w:cs="Arial"/>
        </w:rPr>
        <w:t xml:space="preserve">. </w:t>
      </w:r>
    </w:p>
    <w:p w14:paraId="0D7972DB" w14:textId="1035A59A" w:rsidR="006639B4" w:rsidRPr="004C23F4" w:rsidRDefault="00BB0866" w:rsidP="000C139A">
      <w:pPr>
        <w:rPr>
          <w:rFonts w:cs="Arial"/>
        </w:rPr>
      </w:pPr>
      <w:r w:rsidRPr="00BB0866">
        <w:rPr>
          <w:rFonts w:cs="Arial"/>
        </w:rPr>
        <w:t>Given the limited data available from the primary sources, it is recommended that a review of additional sources be conduct</w:t>
      </w:r>
      <w:r w:rsidR="002754F9">
        <w:rPr>
          <w:rFonts w:cs="Arial"/>
        </w:rPr>
        <w:t>ed at the next scheduled review</w:t>
      </w:r>
      <w:r w:rsidR="00751E96">
        <w:rPr>
          <w:rFonts w:cs="Arial"/>
        </w:rPr>
        <w:t>.</w:t>
      </w:r>
    </w:p>
    <w:p w14:paraId="0738057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1CB1738" w14:textId="77777777" w:rsidR="00BB0866" w:rsidRDefault="001B5930" w:rsidP="002556D7">
      <w:proofErr w:type="spellStart"/>
      <w:r>
        <w:t>Dimethylsulfamoyl</w:t>
      </w:r>
      <w:proofErr w:type="spellEnd"/>
      <w:r>
        <w:t xml:space="preserve"> chloride is used in pharmaceutical drug manufacture. </w:t>
      </w:r>
    </w:p>
    <w:p w14:paraId="26E5678F" w14:textId="0B987E75" w:rsidR="002556D7" w:rsidRDefault="002556D7" w:rsidP="002556D7">
      <w:r>
        <w:t xml:space="preserve">Limited toxicological data </w:t>
      </w:r>
      <w:r w:rsidR="00BB0866">
        <w:t>are</w:t>
      </w:r>
      <w:r>
        <w:t xml:space="preserve"> available</w:t>
      </w:r>
      <w:r w:rsidR="00DA384C">
        <w:t xml:space="preserve"> </w:t>
      </w:r>
      <w:r w:rsidR="0066631D">
        <w:t xml:space="preserve">with </w:t>
      </w:r>
      <w:r w:rsidR="00DA384C">
        <w:t xml:space="preserve">the </w:t>
      </w:r>
      <w:r w:rsidR="0066631D">
        <w:t>critical effect likely to be cancer</w:t>
      </w:r>
      <w:r>
        <w:t xml:space="preserve">. After subcutaneous administration to rats, </w:t>
      </w:r>
      <w:proofErr w:type="spellStart"/>
      <w:r>
        <w:t>dimethylsulfamoyl</w:t>
      </w:r>
      <w:proofErr w:type="spellEnd"/>
      <w:r>
        <w:t xml:space="preserve"> chloride induce</w:t>
      </w:r>
      <w:r w:rsidR="00BB0866">
        <w:t>d</w:t>
      </w:r>
      <w:r>
        <w:t xml:space="preserve"> malignant tumours at the injection site in a high percentage of animals. </w:t>
      </w:r>
      <w:r w:rsidR="00BB0866">
        <w:t xml:space="preserve">It is </w:t>
      </w:r>
      <w:r w:rsidR="00BB0866">
        <w:rPr>
          <w:rFonts w:cs="Arial"/>
          <w:color w:val="1C1D1E"/>
          <w:shd w:val="clear" w:color="auto" w:fill="FFFFFF"/>
        </w:rPr>
        <w:t>s</w:t>
      </w:r>
      <w:r>
        <w:rPr>
          <w:rFonts w:cs="Arial"/>
          <w:color w:val="1C1D1E"/>
          <w:shd w:val="clear" w:color="auto" w:fill="FFFFFF"/>
        </w:rPr>
        <w:t xml:space="preserve">tructurally </w:t>
      </w:r>
      <w:r w:rsidR="00ED7E7C">
        <w:rPr>
          <w:rFonts w:cs="Arial"/>
          <w:color w:val="1C1D1E"/>
          <w:shd w:val="clear" w:color="auto" w:fill="FFFFFF"/>
        </w:rPr>
        <w:t>like</w:t>
      </w:r>
      <w:r>
        <w:rPr>
          <w:rFonts w:cs="Arial"/>
          <w:color w:val="1C1D1E"/>
          <w:shd w:val="clear" w:color="auto" w:fill="FFFFFF"/>
        </w:rPr>
        <w:t xml:space="preserve"> </w:t>
      </w:r>
      <w:proofErr w:type="spellStart"/>
      <w:r>
        <w:rPr>
          <w:rFonts w:cs="Arial"/>
          <w:color w:val="1C1D1E"/>
          <w:shd w:val="clear" w:color="auto" w:fill="FFFFFF"/>
        </w:rPr>
        <w:t>dimethylcarbamoyl</w:t>
      </w:r>
      <w:proofErr w:type="spellEnd"/>
      <w:r>
        <w:rPr>
          <w:rFonts w:cs="Arial"/>
          <w:color w:val="1C1D1E"/>
          <w:shd w:val="clear" w:color="auto" w:fill="FFFFFF"/>
        </w:rPr>
        <w:t xml:space="preserve"> chloride which produced </w:t>
      </w:r>
      <w:r>
        <w:t xml:space="preserve">marked local carcinogenicity in animals after inhalation, intratracheal or subcutaneous administration. According to its direct chemical reactivity and to its structural analogy to </w:t>
      </w:r>
      <w:proofErr w:type="spellStart"/>
      <w:r>
        <w:t>dimethylcarbamoyl</w:t>
      </w:r>
      <w:proofErr w:type="spellEnd"/>
      <w:r>
        <w:t xml:space="preserve"> chloride, a genotoxic effect </w:t>
      </w:r>
      <w:r w:rsidR="00BB0866">
        <w:t>is possible.</w:t>
      </w:r>
      <w:r>
        <w:t xml:space="preserve"> </w:t>
      </w:r>
      <w:r w:rsidR="00BB0866">
        <w:t>H</w:t>
      </w:r>
      <w:r>
        <w:t>owever, insufficient data exists</w:t>
      </w:r>
      <w:r w:rsidR="00BB0866">
        <w:t xml:space="preserve"> to confirm the mechanism of action for carcinogenicity</w:t>
      </w:r>
      <w:r>
        <w:t xml:space="preserve"> (DFG, 2003; SCOEL, 2009).</w:t>
      </w:r>
    </w:p>
    <w:p w14:paraId="0563396F" w14:textId="42DA16DE" w:rsidR="002556D7" w:rsidRDefault="00BB0866" w:rsidP="002556D7">
      <w:r>
        <w:t>There are i</w:t>
      </w:r>
      <w:r w:rsidR="00DA384C">
        <w:t xml:space="preserve">nsufficient </w:t>
      </w:r>
      <w:r w:rsidR="00E43BB7">
        <w:t>data to derive a health-based workplace exposure standard</w:t>
      </w:r>
      <w:r>
        <w:t xml:space="preserve"> and a review of additional sources is recommended at the next scheduled review</w:t>
      </w:r>
      <w:r w:rsidR="00E43BB7">
        <w:t>.</w:t>
      </w:r>
    </w:p>
    <w:p w14:paraId="1D2D8D4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A1614E0" w14:textId="267FBA5F" w:rsidR="00A70823" w:rsidRPr="00A70823" w:rsidRDefault="002556D7" w:rsidP="00A70823">
      <w:pPr>
        <w:rPr>
          <w:rFonts w:cs="Arial"/>
        </w:rPr>
      </w:pPr>
      <w:r>
        <w:rPr>
          <w:rFonts w:cs="Arial"/>
        </w:rPr>
        <w:t>C</w:t>
      </w:r>
      <w:r w:rsidR="00A70823" w:rsidRPr="00A70823">
        <w:rPr>
          <w:rFonts w:cs="Arial"/>
        </w:rPr>
        <w:t xml:space="preserve">lassified as a </w:t>
      </w:r>
      <w:r w:rsidR="001B5930">
        <w:rPr>
          <w:rFonts w:cs="Arial"/>
        </w:rPr>
        <w:t>category 1B</w:t>
      </w:r>
      <w:r w:rsidR="001B5930" w:rsidRPr="00A70823">
        <w:rPr>
          <w:rFonts w:cs="Arial"/>
        </w:rPr>
        <w:t xml:space="preserve"> </w:t>
      </w:r>
      <w:r w:rsidR="00A70823" w:rsidRPr="00A70823">
        <w:rPr>
          <w:rFonts w:cs="Arial"/>
        </w:rPr>
        <w:t>carcinogen</w:t>
      </w:r>
      <w:r>
        <w:rPr>
          <w:rFonts w:cs="Arial"/>
        </w:rPr>
        <w:t xml:space="preserve"> </w:t>
      </w:r>
      <w:r w:rsidR="00A70823" w:rsidRPr="00A70823">
        <w:rPr>
          <w:rFonts w:cs="Arial"/>
        </w:rPr>
        <w:t>according to the Globally Harmonized System of</w:t>
      </w:r>
      <w:r w:rsidR="001B5930">
        <w:rPr>
          <w:rFonts w:cs="Arial"/>
        </w:rPr>
        <w:t xml:space="preserve"> Classification and Labelling of</w:t>
      </w:r>
      <w:r w:rsidR="00A70823" w:rsidRPr="00A70823">
        <w:rPr>
          <w:rFonts w:cs="Arial"/>
        </w:rPr>
        <w:t xml:space="preserve"> Chemicals (GHS). </w:t>
      </w:r>
    </w:p>
    <w:p w14:paraId="2C2B8F4C" w14:textId="628E468F" w:rsidR="00A70823" w:rsidRPr="00A70823" w:rsidRDefault="00A70823" w:rsidP="00A70823">
      <w:pPr>
        <w:rPr>
          <w:rFonts w:cs="Arial"/>
        </w:rPr>
      </w:pPr>
      <w:r w:rsidRPr="00A70823">
        <w:rPr>
          <w:rFonts w:cs="Arial"/>
        </w:rPr>
        <w:t>Not classified as a skin</w:t>
      </w:r>
      <w:r w:rsidR="001B5930">
        <w:rPr>
          <w:rFonts w:cs="Arial"/>
        </w:rPr>
        <w:t xml:space="preserve"> </w:t>
      </w:r>
      <w:r w:rsidR="001B5930" w:rsidRPr="00A70823">
        <w:rPr>
          <w:rFonts w:cs="Arial"/>
        </w:rPr>
        <w:t>sensitiser</w:t>
      </w:r>
      <w:r w:rsidRPr="00A70823">
        <w:rPr>
          <w:rFonts w:cs="Arial"/>
        </w:rPr>
        <w:t xml:space="preserve"> or respiratory sensitiser according to the GHS.</w:t>
      </w:r>
    </w:p>
    <w:p w14:paraId="01A69F61" w14:textId="43AC11D9" w:rsidR="0025734A" w:rsidRPr="004C23F4" w:rsidRDefault="00BB0866" w:rsidP="00A70823">
      <w:pPr>
        <w:rPr>
          <w:rFonts w:cs="Arial"/>
        </w:rPr>
      </w:pPr>
      <w:r>
        <w:rPr>
          <w:rFonts w:cs="Arial"/>
        </w:rPr>
        <w:t>A s</w:t>
      </w:r>
      <w:r w:rsidR="002556D7">
        <w:rPr>
          <w:rFonts w:cs="Arial"/>
        </w:rPr>
        <w:t xml:space="preserve">kin notation </w:t>
      </w:r>
      <w:r>
        <w:rPr>
          <w:rFonts w:cs="Arial"/>
        </w:rPr>
        <w:t xml:space="preserve">is </w:t>
      </w:r>
      <w:r w:rsidR="002556D7">
        <w:rPr>
          <w:rFonts w:cs="Arial"/>
        </w:rPr>
        <w:t>recommended based on evidence of dermal absorption in animals</w:t>
      </w:r>
      <w:r w:rsidR="00A70823" w:rsidRPr="00A70823">
        <w:rPr>
          <w:rFonts w:cs="Arial"/>
        </w:rPr>
        <w:t>.</w:t>
      </w:r>
    </w:p>
    <w:p w14:paraId="0AC6044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99F93D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9F7ED8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7F6CAC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760645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5E4746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1CD23D6" w14:textId="63D1270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70823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A70823">
                  <w:t>NA</w:t>
                </w:r>
                <w:proofErr w:type="spellEnd"/>
              </w:sdtContent>
            </w:sdt>
          </w:p>
        </w:tc>
      </w:tr>
      <w:tr w:rsidR="00C978F0" w:rsidRPr="00DA352E" w14:paraId="1F1C68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534F78" w14:textId="7377A4A5" w:rsidR="00C978F0" w:rsidRPr="00DA352E" w:rsidRDefault="00A70823" w:rsidP="003365A5">
            <w:pPr>
              <w:pStyle w:val="Tabletextprimarysource"/>
            </w:pPr>
            <w:r>
              <w:t>No report</w:t>
            </w:r>
            <w:r w:rsidR="001B5930">
              <w:t>.</w:t>
            </w:r>
          </w:p>
        </w:tc>
      </w:tr>
      <w:tr w:rsidR="00C978F0" w:rsidRPr="00DA352E" w14:paraId="0F80C20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D6D39C" w14:textId="42A5A59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7082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A70823">
                  <w:t>NA</w:t>
                </w:r>
                <w:proofErr w:type="spellEnd"/>
              </w:sdtContent>
            </w:sdt>
          </w:p>
        </w:tc>
      </w:tr>
      <w:tr w:rsidR="00C978F0" w:rsidRPr="00DA352E" w14:paraId="0CBA99A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A0E694" w14:textId="7873922F" w:rsidR="00C978F0" w:rsidRPr="00DA352E" w:rsidRDefault="00A70823" w:rsidP="003365A5">
            <w:pPr>
              <w:pStyle w:val="Tabletextprimarysource"/>
            </w:pPr>
            <w:r>
              <w:t>No report</w:t>
            </w:r>
            <w:r w:rsidR="001B5930">
              <w:t>.</w:t>
            </w:r>
          </w:p>
        </w:tc>
      </w:tr>
      <w:tr w:rsidR="00C978F0" w:rsidRPr="00DA352E" w14:paraId="7D46C8A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DA565FF" w14:textId="6125C42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70823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70823">
                  <w:t>Not assigned</w:t>
                </w:r>
              </w:sdtContent>
            </w:sdt>
          </w:p>
        </w:tc>
      </w:tr>
      <w:tr w:rsidR="00C978F0" w:rsidRPr="00DA352E" w14:paraId="05AA1D1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1A83112" w14:textId="188219B7" w:rsidR="00C978F0" w:rsidRDefault="007243A3" w:rsidP="003365A5">
            <w:pPr>
              <w:pStyle w:val="Tabletextprimarysource"/>
            </w:pPr>
            <w:r>
              <w:t xml:space="preserve">No MAK assigned due to demonstrated carcinogenicity </w:t>
            </w:r>
            <w:r w:rsidR="00FA19B3">
              <w:t>in animals and cancer risk exists in humans</w:t>
            </w:r>
          </w:p>
          <w:p w14:paraId="575D5AFC" w14:textId="78C646EB" w:rsidR="007243A3" w:rsidRDefault="007243A3" w:rsidP="003365A5">
            <w:pPr>
              <w:pStyle w:val="Tabletextprimarysource"/>
            </w:pPr>
            <w:r>
              <w:t>Summary of data:</w:t>
            </w:r>
          </w:p>
          <w:p w14:paraId="699BADE3" w14:textId="7F9EB4FC" w:rsidR="00FA19B3" w:rsidRDefault="00FA19B3" w:rsidP="003365A5">
            <w:pPr>
              <w:pStyle w:val="Tabletextprimarysource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Structurally </w:t>
            </w:r>
            <w:proofErr w:type="gramStart"/>
            <w:r>
              <w:rPr>
                <w:rFonts w:cs="Arial"/>
                <w:color w:val="1C1D1E"/>
                <w:shd w:val="clear" w:color="auto" w:fill="FFFFFF"/>
              </w:rPr>
              <w:t>similar to</w:t>
            </w:r>
            <w:proofErr w:type="gramEnd"/>
            <w:r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dimethylcarbamoyl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chloride</w:t>
            </w:r>
          </w:p>
          <w:p w14:paraId="4363E560" w14:textId="5C61A64B" w:rsidR="00FA19B3" w:rsidRDefault="00FA19B3" w:rsidP="003365A5">
            <w:pPr>
              <w:pStyle w:val="Tabletextprimarysource"/>
            </w:pPr>
            <w:r>
              <w:t>Human data:</w:t>
            </w:r>
          </w:p>
          <w:p w14:paraId="7A9DD31B" w14:textId="18DFC204" w:rsidR="007243A3" w:rsidRDefault="00FA19B3" w:rsidP="00BB0866">
            <w:pPr>
              <w:pStyle w:val="ListBullet"/>
              <w:spacing w:before="60" w:after="60"/>
              <w:ind w:left="726" w:hanging="357"/>
              <w:contextualSpacing w:val="0"/>
            </w:pPr>
            <w:r>
              <w:t>No information on toxic effects in humans identified</w:t>
            </w:r>
            <w:r w:rsidR="00DA384C">
              <w:t>.</w:t>
            </w:r>
          </w:p>
          <w:p w14:paraId="290A3401" w14:textId="7EB77531" w:rsidR="00FA19B3" w:rsidRDefault="00AC3302" w:rsidP="00AC3302">
            <w:pPr>
              <w:pStyle w:val="Tabletextprimarysource"/>
            </w:pPr>
            <w:r>
              <w:t>Animal data</w:t>
            </w:r>
          </w:p>
          <w:p w14:paraId="5C17679B" w14:textId="4F0D38BC" w:rsidR="00BB0866" w:rsidRDefault="00685BE4" w:rsidP="00BB086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40 </w:t>
            </w:r>
            <w:proofErr w:type="spellStart"/>
            <w:r>
              <w:t>wk</w:t>
            </w:r>
            <w:proofErr w:type="spellEnd"/>
            <w:r>
              <w:t xml:space="preserve"> </w:t>
            </w:r>
            <w:r w:rsidR="00FA19B3">
              <w:t>subcutaneous administration to rats</w:t>
            </w:r>
            <w:r>
              <w:t xml:space="preserve"> 10 and 100 mg/kg/</w:t>
            </w:r>
            <w:proofErr w:type="spellStart"/>
            <w:r>
              <w:t>wk</w:t>
            </w:r>
            <w:proofErr w:type="spellEnd"/>
            <w:r w:rsidR="00BB0866">
              <w:t xml:space="preserve"> reported </w:t>
            </w:r>
            <w:r w:rsidR="00FA19B3">
              <w:t>malignant tumours at the injection site in a high percentage of animals</w:t>
            </w:r>
          </w:p>
          <w:p w14:paraId="191664B8" w14:textId="4946518C" w:rsidR="00FA19B3" w:rsidRDefault="00685BE4" w:rsidP="00BB0866">
            <w:pPr>
              <w:pStyle w:val="ListBullet"/>
              <w:numPr>
                <w:ilvl w:val="0"/>
                <w:numId w:val="2"/>
              </w:numPr>
              <w:spacing w:before="60" w:after="60"/>
              <w:ind w:left="1156"/>
              <w:contextualSpacing w:val="0"/>
            </w:pPr>
            <w:r>
              <w:t>1 mg/kg/</w:t>
            </w:r>
            <w:proofErr w:type="spellStart"/>
            <w:r>
              <w:t>wk</w:t>
            </w:r>
            <w:proofErr w:type="spellEnd"/>
            <w:r>
              <w:t xml:space="preserve"> intratracheal instillation for 102 </w:t>
            </w:r>
            <w:proofErr w:type="spellStart"/>
            <w:r>
              <w:t>wk</w:t>
            </w:r>
            <w:proofErr w:type="spellEnd"/>
            <w:r>
              <w:t xml:space="preserve"> evidence of malignant tumours not as pronounced</w:t>
            </w:r>
          </w:p>
          <w:p w14:paraId="2CE202A5" w14:textId="48B35B0C" w:rsidR="00AC3302" w:rsidRDefault="00AC3302" w:rsidP="00BB0866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D</w:t>
            </w:r>
            <w:r>
              <w:rPr>
                <w:rFonts w:cs="Arial"/>
                <w:color w:val="1C1D1E"/>
                <w:shd w:val="clear" w:color="auto" w:fill="FFFFFF"/>
              </w:rPr>
              <w:t>imethylcarbamoyl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t>chloride revealed marked local carcinogenicity in animals after inhalation, intratracheal or subcutaneous administration</w:t>
            </w:r>
          </w:p>
          <w:p w14:paraId="60A3B84F" w14:textId="77777777" w:rsidR="00AC3302" w:rsidRDefault="00AC3302" w:rsidP="00BB0866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Dimethylsulfamoyl</w:t>
            </w:r>
            <w:proofErr w:type="spellEnd"/>
            <w:r>
              <w:t xml:space="preserve"> chloride is locally acting carcinogen without very pronounced effects</w:t>
            </w:r>
          </w:p>
          <w:p w14:paraId="42146178" w14:textId="77777777" w:rsidR="00AC3302" w:rsidRPr="00BB0866" w:rsidRDefault="00AC3302" w:rsidP="00BB086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1B5930">
              <w:t>:</w:t>
            </w:r>
            <w:r>
              <w:rPr>
                <w:vertAlign w:val="subscript"/>
              </w:rPr>
              <w:t xml:space="preserve"> </w:t>
            </w:r>
            <w:r>
              <w:t xml:space="preserve">527 mg/kg </w:t>
            </w:r>
            <w:r w:rsidR="001B5930">
              <w:t>(</w:t>
            </w:r>
            <w:r>
              <w:t>rats</w:t>
            </w:r>
            <w:r w:rsidR="001B5930">
              <w:t>, dermal)</w:t>
            </w:r>
            <w:r>
              <w:t>; c</w:t>
            </w:r>
            <w:r>
              <w:rPr>
                <w:rFonts w:cs="Arial"/>
                <w:color w:val="1C1D1E"/>
                <w:shd w:val="clear" w:color="auto" w:fill="FFFFFF"/>
              </w:rPr>
              <w:t>arcinogenic risk is increased even with small percutaneously absorbed amounts.</w:t>
            </w:r>
          </w:p>
          <w:p w14:paraId="1F8D2AA7" w14:textId="17AC2501" w:rsidR="00DA384C" w:rsidRPr="00DA352E" w:rsidRDefault="00DA384C" w:rsidP="00BB0866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C978F0" w:rsidRPr="00DA352E" w14:paraId="2913D6D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2BB035" w14:textId="747971C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70823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70823">
                  <w:t>Not assigned</w:t>
                </w:r>
              </w:sdtContent>
            </w:sdt>
          </w:p>
        </w:tc>
      </w:tr>
      <w:tr w:rsidR="00C978F0" w:rsidRPr="00DA352E" w14:paraId="1820364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F8C63D" w14:textId="77777777" w:rsidR="00AC3302" w:rsidRDefault="00AC3302" w:rsidP="003365A5">
            <w:pPr>
              <w:pStyle w:val="Tabletextprimarysource"/>
            </w:pPr>
            <w:r>
              <w:t>Summary of additional data:</w:t>
            </w:r>
          </w:p>
          <w:p w14:paraId="46082122" w14:textId="77777777" w:rsidR="00C978F0" w:rsidRDefault="00AC3302" w:rsidP="00BB086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Insufficient data to perform a quantitative risk assessment; not feasible to derive a health-based limit</w:t>
            </w:r>
          </w:p>
          <w:p w14:paraId="1E32CE1F" w14:textId="77777777" w:rsidR="00AC3302" w:rsidRDefault="00685BE4" w:rsidP="00BB086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According to its direct chemical reactivity and to its structural analogy to </w:t>
            </w:r>
            <w:proofErr w:type="spellStart"/>
            <w:r>
              <w:t>dimethylcarbamoyl</w:t>
            </w:r>
            <w:proofErr w:type="spellEnd"/>
            <w:r>
              <w:t xml:space="preserve"> chloride, a genotoxic effect appears almost likely</w:t>
            </w:r>
          </w:p>
          <w:p w14:paraId="1036F5A5" w14:textId="77777777" w:rsidR="00685BE4" w:rsidRDefault="00685BE4" w:rsidP="00BB086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absorption classification</w:t>
            </w:r>
            <w:r w:rsidR="002556D7">
              <w:t>.</w:t>
            </w:r>
          </w:p>
          <w:p w14:paraId="7924E989" w14:textId="2643C05A" w:rsidR="00DA384C" w:rsidRPr="00DA352E" w:rsidRDefault="00DA384C" w:rsidP="00BB0866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DA352E" w:rsidRPr="00DA352E" w14:paraId="5D30DB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CE8E2B" w14:textId="2C3DCC4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7082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70823">
                  <w:t>NA</w:t>
                </w:r>
                <w:proofErr w:type="spellEnd"/>
              </w:sdtContent>
            </w:sdt>
          </w:p>
        </w:tc>
      </w:tr>
      <w:tr w:rsidR="00DA352E" w:rsidRPr="00DA352E" w14:paraId="7185D6F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68E77F" w14:textId="6EE7E8B6" w:rsidR="00DA352E" w:rsidRPr="00DA352E" w:rsidRDefault="00A70823" w:rsidP="003365A5">
            <w:pPr>
              <w:pStyle w:val="Tabletextprimarysource"/>
            </w:pPr>
            <w:r>
              <w:t>No report</w:t>
            </w:r>
            <w:r w:rsidR="001B5930">
              <w:t>.</w:t>
            </w:r>
          </w:p>
        </w:tc>
      </w:tr>
      <w:tr w:rsidR="00DA352E" w:rsidRPr="00DA352E" w14:paraId="5B5212B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93B34B" w14:textId="25307B2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7082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70823">
                  <w:t>NA</w:t>
                </w:r>
                <w:proofErr w:type="spellEnd"/>
              </w:sdtContent>
            </w:sdt>
          </w:p>
        </w:tc>
      </w:tr>
      <w:tr w:rsidR="00DA352E" w:rsidRPr="00DA352E" w14:paraId="101F8AC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A41752" w14:textId="0CD1F0E8" w:rsidR="00DA352E" w:rsidRPr="00DA352E" w:rsidRDefault="00A70823" w:rsidP="003365A5">
            <w:pPr>
              <w:pStyle w:val="Tabletextprimarysource"/>
            </w:pPr>
            <w:r>
              <w:t>No report</w:t>
            </w:r>
            <w:r w:rsidR="001B5930">
              <w:t>.</w:t>
            </w:r>
          </w:p>
        </w:tc>
      </w:tr>
    </w:tbl>
    <w:p w14:paraId="251B6349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16F611E6" w14:textId="77777777" w:rsidTr="002556D7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26BCB87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0FCA77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7B2111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5479A45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24886CC" w14:textId="77777777" w:rsidTr="002556D7">
        <w:trPr>
          <w:cantSplit/>
        </w:trPr>
        <w:tc>
          <w:tcPr>
            <w:tcW w:w="1498" w:type="dxa"/>
          </w:tcPr>
          <w:p w14:paraId="35BDA199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46ED4C37" w14:textId="5B79CFF7" w:rsidR="004966BF" w:rsidRPr="00CE617F" w:rsidRDefault="001B5BB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556D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891A776" w14:textId="29E04E67" w:rsidR="004966BF" w:rsidRPr="004C23F4" w:rsidRDefault="002556D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26D2064D" w14:textId="4CD6D0C3" w:rsidR="004966BF" w:rsidRPr="004C23F4" w:rsidRDefault="002556D7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data</w:t>
            </w:r>
            <w:r w:rsidR="00BB0866">
              <w:rPr>
                <w:rStyle w:val="checkbox"/>
                <w:rFonts w:ascii="Arial" w:hAnsi="Arial" w:cs="Arial"/>
              </w:rPr>
              <w:t>.</w:t>
            </w:r>
          </w:p>
        </w:tc>
      </w:tr>
    </w:tbl>
    <w:p w14:paraId="66E16771" w14:textId="77777777" w:rsidR="007E2A4B" w:rsidRDefault="007E2A4B"/>
    <w:bookmarkEnd w:id="0"/>
    <w:p w14:paraId="704A4C64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B93B14E" w14:textId="77777777" w:rsidTr="001B5930">
        <w:trPr>
          <w:trHeight w:val="454"/>
          <w:tblHeader/>
        </w:trPr>
        <w:tc>
          <w:tcPr>
            <w:tcW w:w="6597" w:type="dxa"/>
            <w:vAlign w:val="center"/>
          </w:tcPr>
          <w:p w14:paraId="6D61793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F73E136" w14:textId="53B279A4" w:rsidR="002E0D61" w:rsidRDefault="00482FD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541DF397" w14:textId="77777777" w:rsidTr="001B5930">
        <w:trPr>
          <w:trHeight w:val="454"/>
        </w:trPr>
        <w:tc>
          <w:tcPr>
            <w:tcW w:w="6597" w:type="dxa"/>
            <w:vAlign w:val="center"/>
          </w:tcPr>
          <w:p w14:paraId="5C05CB4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5539F95" w14:textId="3A63B3F4" w:rsidR="008A36CF" w:rsidRDefault="00482FD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B0866" w14:paraId="0EDBA78B" w14:textId="77777777" w:rsidTr="009B143E">
        <w:trPr>
          <w:trHeight w:val="454"/>
        </w:trPr>
        <w:sdt>
          <w:sdtPr>
            <w:rPr>
              <w:b/>
            </w:rPr>
            <w:id w:val="1830936485"/>
            <w:placeholder>
              <w:docPart w:val="AD378D10C78946EC8DF8B75FD1B32C0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0E651C4" w14:textId="3732BF46" w:rsidR="00BB0866" w:rsidRDefault="00BB086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0426592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597B01A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E371DD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38161F5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6A4A052" w14:textId="77777777" w:rsidTr="00812887">
        <w:trPr>
          <w:cantSplit/>
        </w:trPr>
        <w:tc>
          <w:tcPr>
            <w:tcW w:w="3227" w:type="dxa"/>
          </w:tcPr>
          <w:p w14:paraId="274B7C7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5F36CE1" w14:textId="48A7C4A1" w:rsidR="00687890" w:rsidRPr="00DD2F9B" w:rsidRDefault="00A70823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40EFA505" w14:textId="77777777" w:rsidTr="00812887">
        <w:trPr>
          <w:cantSplit/>
        </w:trPr>
        <w:tc>
          <w:tcPr>
            <w:tcW w:w="3227" w:type="dxa"/>
          </w:tcPr>
          <w:p w14:paraId="64A7468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04A641F" w14:textId="638A328E" w:rsidR="007925F0" w:rsidRPr="00DD2F9B" w:rsidRDefault="00205423" w:rsidP="00DD2F9B">
            <w:pPr>
              <w:pStyle w:val="Tablefont"/>
            </w:pPr>
            <w:r w:rsidRPr="00205423">
              <w:t>Carcinogenicity – category 1B</w:t>
            </w:r>
          </w:p>
        </w:tc>
      </w:tr>
      <w:tr w:rsidR="00AF483F" w:rsidRPr="004C23F4" w14:paraId="4409E593" w14:textId="77777777" w:rsidTr="00812887">
        <w:trPr>
          <w:cantSplit/>
        </w:trPr>
        <w:tc>
          <w:tcPr>
            <w:tcW w:w="3227" w:type="dxa"/>
          </w:tcPr>
          <w:p w14:paraId="449A8DA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83929EA" w14:textId="28B68F5D" w:rsidR="00AF483F" w:rsidRPr="00DD2F9B" w:rsidRDefault="00A7082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B541787" w14:textId="77777777" w:rsidTr="00812887">
        <w:trPr>
          <w:cantSplit/>
        </w:trPr>
        <w:tc>
          <w:tcPr>
            <w:tcW w:w="3227" w:type="dxa"/>
          </w:tcPr>
          <w:p w14:paraId="4AB9241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BA9C76B" w14:textId="03D86F88" w:rsidR="00687890" w:rsidRPr="00DD2F9B" w:rsidRDefault="00A70823" w:rsidP="00DD2F9B">
            <w:pPr>
              <w:pStyle w:val="Tablefont"/>
            </w:pPr>
            <w:r w:rsidRPr="00A70823">
              <w:t>Carcinogenicity – category 1B</w:t>
            </w:r>
          </w:p>
        </w:tc>
      </w:tr>
      <w:tr w:rsidR="00E41A26" w:rsidRPr="004C23F4" w14:paraId="675353E0" w14:textId="77777777" w:rsidTr="00812887">
        <w:trPr>
          <w:cantSplit/>
        </w:trPr>
        <w:tc>
          <w:tcPr>
            <w:tcW w:w="3227" w:type="dxa"/>
          </w:tcPr>
          <w:p w14:paraId="6417971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80B5F48" w14:textId="7B027853" w:rsidR="00E41A26" w:rsidRPr="00DD2F9B" w:rsidRDefault="00A70823" w:rsidP="00DD2F9B">
            <w:pPr>
              <w:pStyle w:val="Tablefont"/>
            </w:pPr>
            <w:proofErr w:type="spellStart"/>
            <w:r w:rsidRPr="00A70823">
              <w:t>Carc</w:t>
            </w:r>
            <w:proofErr w:type="spellEnd"/>
            <w:r w:rsidRPr="00A70823">
              <w:t>. 1B</w:t>
            </w:r>
          </w:p>
        </w:tc>
      </w:tr>
      <w:tr w:rsidR="002E0D61" w:rsidRPr="004C23F4" w14:paraId="7D8DB3D1" w14:textId="77777777" w:rsidTr="00812887">
        <w:trPr>
          <w:cantSplit/>
        </w:trPr>
        <w:tc>
          <w:tcPr>
            <w:tcW w:w="3227" w:type="dxa"/>
          </w:tcPr>
          <w:p w14:paraId="02C5A8F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3F0F256" w14:textId="1876D938" w:rsidR="002E0D61" w:rsidRPr="00DD2F9B" w:rsidRDefault="00F6664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5EA05CA" w14:textId="77777777" w:rsidTr="00812887">
        <w:trPr>
          <w:cantSplit/>
        </w:trPr>
        <w:tc>
          <w:tcPr>
            <w:tcW w:w="3227" w:type="dxa"/>
          </w:tcPr>
          <w:p w14:paraId="4038635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E470725" w14:textId="756B4064" w:rsidR="002E0D61" w:rsidRPr="00DD2F9B" w:rsidRDefault="007243A3" w:rsidP="00DD2F9B">
            <w:pPr>
              <w:pStyle w:val="Tablefont"/>
            </w:pPr>
            <w:r>
              <w:t xml:space="preserve">Cat. 2, </w:t>
            </w:r>
            <w:r w:rsidR="00F66642" w:rsidRPr="00F66642">
              <w:t>H (skin)</w:t>
            </w:r>
          </w:p>
        </w:tc>
      </w:tr>
      <w:tr w:rsidR="002E0D61" w:rsidRPr="004C23F4" w14:paraId="255D1734" w14:textId="77777777" w:rsidTr="00812887">
        <w:trPr>
          <w:cantSplit/>
        </w:trPr>
        <w:tc>
          <w:tcPr>
            <w:tcW w:w="3227" w:type="dxa"/>
          </w:tcPr>
          <w:p w14:paraId="4DECC6B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F901407" w14:textId="76E46274" w:rsidR="002E0D61" w:rsidRPr="00DD2F9B" w:rsidRDefault="00F66642" w:rsidP="00DD2F9B">
            <w:pPr>
              <w:pStyle w:val="Tablefont"/>
            </w:pPr>
            <w:r w:rsidRPr="00F66642">
              <w:t>Skin</w:t>
            </w:r>
          </w:p>
        </w:tc>
      </w:tr>
      <w:tr w:rsidR="002E0D61" w:rsidRPr="004C23F4" w14:paraId="14916BAF" w14:textId="77777777" w:rsidTr="00812887">
        <w:trPr>
          <w:cantSplit/>
        </w:trPr>
        <w:tc>
          <w:tcPr>
            <w:tcW w:w="3227" w:type="dxa"/>
          </w:tcPr>
          <w:p w14:paraId="7F4FE46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6F949CF" w14:textId="34751EA8" w:rsidR="002E0D61" w:rsidRPr="00DD2F9B" w:rsidRDefault="00F6664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FD1F47B" w14:textId="77777777" w:rsidTr="00812887">
        <w:trPr>
          <w:cantSplit/>
        </w:trPr>
        <w:tc>
          <w:tcPr>
            <w:tcW w:w="3227" w:type="dxa"/>
          </w:tcPr>
          <w:p w14:paraId="29DCD81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85BAB93" w14:textId="7EABDFE4" w:rsidR="00386093" w:rsidRPr="00DD2F9B" w:rsidRDefault="00F66642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AC47CFA" w14:textId="77777777" w:rsidTr="00812887">
        <w:trPr>
          <w:cantSplit/>
        </w:trPr>
        <w:tc>
          <w:tcPr>
            <w:tcW w:w="3227" w:type="dxa"/>
          </w:tcPr>
          <w:p w14:paraId="049CD08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EF792B9" w14:textId="3CC5E621" w:rsidR="00386093" w:rsidRPr="00DD2F9B" w:rsidRDefault="00F6664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EFB5E6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C60AE1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8A3276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403962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C772C9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80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3111"/>
            </w:tblGrid>
            <w:tr w:rsidR="00482FDD" w:rsidRPr="00482FDD" w14:paraId="3316A27F" w14:textId="77777777" w:rsidTr="00482FDD">
              <w:trPr>
                <w:trHeight w:val="349"/>
              </w:trPr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715A0B" w14:textId="77777777" w:rsidR="00482FDD" w:rsidRPr="00482FDD" w:rsidRDefault="00482FDD" w:rsidP="00482F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98489D" w14:textId="77777777" w:rsidR="00482FDD" w:rsidRPr="00482FDD" w:rsidRDefault="00482FDD" w:rsidP="00482F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268919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666AA9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82FDD" w:rsidRPr="00482FDD" w14:paraId="14EBD176" w14:textId="77777777" w:rsidTr="00482FDD">
              <w:trPr>
                <w:trHeight w:val="349"/>
              </w:trPr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64B875" w14:textId="77777777" w:rsidR="00482FDD" w:rsidRPr="00482FDD" w:rsidRDefault="00482FDD" w:rsidP="00482F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1051D92" w14:textId="77777777" w:rsidR="00482FDD" w:rsidRPr="00482FDD" w:rsidRDefault="00482FDD" w:rsidP="00482F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4C454E" w14:textId="77777777" w:rsidR="00482FDD" w:rsidRPr="00482FDD" w:rsidRDefault="00482FDD" w:rsidP="00482F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0B7DF4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82FDD" w:rsidRPr="00482FDD" w14:paraId="40D0E346" w14:textId="77777777" w:rsidTr="00482FDD">
              <w:trPr>
                <w:trHeight w:val="349"/>
              </w:trPr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CF4AD9" w14:textId="77777777" w:rsidR="00482FDD" w:rsidRPr="00482FDD" w:rsidRDefault="00482FDD" w:rsidP="00482F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773C66" w14:textId="77777777" w:rsidR="00482FDD" w:rsidRPr="00482FDD" w:rsidRDefault="00482FDD" w:rsidP="00482F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54FF87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DBBC3B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82FDD" w:rsidRPr="00482FDD" w14:paraId="21CD2647" w14:textId="77777777" w:rsidTr="00482FDD">
              <w:trPr>
                <w:trHeight w:val="349"/>
              </w:trPr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ABC4FB" w14:textId="77777777" w:rsidR="00482FDD" w:rsidRPr="00482FDD" w:rsidRDefault="00482FDD" w:rsidP="00482F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B08EC6" w14:textId="77777777" w:rsidR="00482FDD" w:rsidRPr="00482FDD" w:rsidRDefault="00482FDD" w:rsidP="00482F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62279B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9651CF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82FDD" w:rsidRPr="00482FDD" w14:paraId="0D20457D" w14:textId="77777777" w:rsidTr="00482FDD">
              <w:trPr>
                <w:trHeight w:val="349"/>
              </w:trPr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422E7C" w14:textId="77777777" w:rsidR="00482FDD" w:rsidRPr="00482FDD" w:rsidRDefault="00482FDD" w:rsidP="00482F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FE3555" w14:textId="77777777" w:rsidR="00482FDD" w:rsidRPr="00482FDD" w:rsidRDefault="00482FDD" w:rsidP="00482F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50DDCA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59550A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82FDD" w:rsidRPr="00482FDD" w14:paraId="39195E46" w14:textId="77777777" w:rsidTr="00482FDD">
              <w:trPr>
                <w:trHeight w:val="349"/>
              </w:trPr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16929F" w14:textId="77777777" w:rsidR="00482FDD" w:rsidRPr="00482FDD" w:rsidRDefault="00482FDD" w:rsidP="00482F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0398CE" w14:textId="77777777" w:rsidR="00482FDD" w:rsidRPr="00482FDD" w:rsidRDefault="00482FDD" w:rsidP="00482F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09F5C6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2665BB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82FDD" w:rsidRPr="00482FDD" w14:paraId="084C2C65" w14:textId="77777777" w:rsidTr="00482FDD">
              <w:trPr>
                <w:trHeight w:val="349"/>
              </w:trPr>
              <w:tc>
                <w:tcPr>
                  <w:tcW w:w="36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4264C5" w14:textId="77777777" w:rsidR="00482FDD" w:rsidRPr="00482FDD" w:rsidRDefault="00482FDD" w:rsidP="00482F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20A77F" w14:textId="77777777" w:rsidR="00482FDD" w:rsidRPr="00482FDD" w:rsidRDefault="00482FDD" w:rsidP="00482F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C66304" w14:textId="77777777" w:rsidR="00482FDD" w:rsidRPr="00482FDD" w:rsidRDefault="00482FDD" w:rsidP="00482F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D16CEB" w14:textId="77777777" w:rsidR="00482FDD" w:rsidRPr="00482FDD" w:rsidRDefault="00482FDD" w:rsidP="00482FD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82FD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262CB70D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2F65F8B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351CE6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0BC244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CC9586B" w14:textId="7E8056DF" w:rsidR="00EB3D1B" w:rsidRDefault="002556D7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468DF0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7DD1EC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3FCDB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8C34FE7" w14:textId="66462A19" w:rsidR="001B79E5" w:rsidRDefault="001B5930" w:rsidP="001B79E5">
                <w:pPr>
                  <w:pStyle w:val="Tablefont"/>
                </w:pPr>
                <w:r>
                  <w:t>143.59</w:t>
                </w:r>
              </w:p>
            </w:tc>
          </w:sdtContent>
        </w:sdt>
      </w:tr>
      <w:tr w:rsidR="00A31D99" w:rsidRPr="004C23F4" w14:paraId="0D1A80F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F23AD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FC82AB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4FBBC7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CD1AA0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275319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6F59957" w14:textId="77777777" w:rsidTr="00EA6243">
        <w:trPr>
          <w:cantSplit/>
        </w:trPr>
        <w:tc>
          <w:tcPr>
            <w:tcW w:w="4077" w:type="dxa"/>
            <w:vAlign w:val="center"/>
          </w:tcPr>
          <w:p w14:paraId="487A79A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98B8C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D9609A5" w14:textId="77777777" w:rsidTr="00EA6243">
        <w:trPr>
          <w:cantSplit/>
        </w:trPr>
        <w:tc>
          <w:tcPr>
            <w:tcW w:w="4077" w:type="dxa"/>
            <w:vAlign w:val="center"/>
          </w:tcPr>
          <w:p w14:paraId="1708596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65B74A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2C8BB05" w14:textId="77777777" w:rsidTr="00EA6243">
        <w:trPr>
          <w:cantSplit/>
        </w:trPr>
        <w:tc>
          <w:tcPr>
            <w:tcW w:w="4077" w:type="dxa"/>
            <w:vAlign w:val="center"/>
          </w:tcPr>
          <w:p w14:paraId="2FFCF1E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5D83728" w14:textId="77777777" w:rsidR="00E06F40" w:rsidRPr="00A006A0" w:rsidRDefault="001B5BB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9BB7F3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C82AD6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90C36F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4A6C28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C8F5D35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C43573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E76545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2F7A9F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0C1E973" w14:textId="77777777" w:rsidR="00751E96" w:rsidRDefault="00751E96" w:rsidP="00751E96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(2003) </w:t>
      </w:r>
      <w:proofErr w:type="spellStart"/>
      <w:r>
        <w:t>Dimethylsulfamoyl</w:t>
      </w:r>
      <w:proofErr w:type="spellEnd"/>
      <w:r>
        <w:t xml:space="preserve"> chloride – MAK value documentation.</w:t>
      </w:r>
    </w:p>
    <w:p w14:paraId="4E00696E" w14:textId="7DD8394F" w:rsidR="00F66642" w:rsidRDefault="00F66642" w:rsidP="00F66642">
      <w:r>
        <w:t>European Chemicals Agency (ECHA) (2019</w:t>
      </w:r>
      <w:r w:rsidR="002556D7">
        <w:t xml:space="preserve">) </w:t>
      </w:r>
      <w:proofErr w:type="spellStart"/>
      <w:r w:rsidR="002556D7">
        <w:t>Dimethylsulfamoyl</w:t>
      </w:r>
      <w:proofErr w:type="spellEnd"/>
      <w:r>
        <w:t xml:space="preserve"> chloride – REACH assessment.</w:t>
      </w:r>
    </w:p>
    <w:p w14:paraId="01B99E02" w14:textId="146B44A8" w:rsidR="00F66642" w:rsidRDefault="00F66642" w:rsidP="00F66642">
      <w:r w:rsidRPr="002022B6">
        <w:t>EU Scientific Committee on Occupational Exposure Limits (SCOEL)</w:t>
      </w:r>
      <w:r>
        <w:t xml:space="preserve"> (2009) Recommendation from the Scientific Committee on Occupational Exposure Limits </w:t>
      </w:r>
      <w:r w:rsidR="002556D7">
        <w:t xml:space="preserve">for </w:t>
      </w:r>
      <w:proofErr w:type="spellStart"/>
      <w:r w:rsidR="002556D7">
        <w:t>Dimethylsulfamoyl</w:t>
      </w:r>
      <w:proofErr w:type="spellEnd"/>
      <w:r>
        <w:t xml:space="preserve"> chloride. SCOEL/</w:t>
      </w:r>
      <w:r w:rsidRPr="00F66642">
        <w:t>SUM/151</w:t>
      </w:r>
      <w:r>
        <w:t>.</w:t>
      </w:r>
    </w:p>
    <w:p w14:paraId="1094229A" w14:textId="77777777" w:rsidR="00751E96" w:rsidRDefault="00751E96" w:rsidP="00751E96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235AF54" w14:textId="77777777" w:rsidR="00751E96" w:rsidRPr="00351FE0" w:rsidRDefault="00751E96" w:rsidP="00F66642"/>
    <w:sectPr w:rsidR="00751E96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5A224E" w14:textId="77777777" w:rsidR="00C92982" w:rsidRDefault="00C92982" w:rsidP="00F43AD5">
      <w:pPr>
        <w:spacing w:after="0" w:line="240" w:lineRule="auto"/>
      </w:pPr>
      <w:r>
        <w:separator/>
      </w:r>
    </w:p>
  </w:endnote>
  <w:endnote w:type="continuationSeparator" w:id="0">
    <w:p w14:paraId="2B30D3DF" w14:textId="77777777" w:rsidR="00C92982" w:rsidRDefault="00C9298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3B02C71" w14:textId="77777777" w:rsidR="00F66642" w:rsidRPr="00F66642" w:rsidRDefault="00F66642" w:rsidP="00F66642">
        <w:pPr>
          <w:pStyle w:val="Footer"/>
          <w:rPr>
            <w:b/>
            <w:sz w:val="18"/>
            <w:szCs w:val="18"/>
          </w:rPr>
        </w:pPr>
      </w:p>
      <w:p w14:paraId="57DC6333" w14:textId="4186EE49" w:rsidR="008A36CF" w:rsidRDefault="00F66642" w:rsidP="00F66642">
        <w:pPr>
          <w:pStyle w:val="Footer"/>
          <w:rPr>
            <w:sz w:val="18"/>
            <w:szCs w:val="18"/>
          </w:rPr>
        </w:pPr>
        <w:proofErr w:type="spellStart"/>
        <w:r w:rsidRPr="00F66642">
          <w:rPr>
            <w:b/>
            <w:sz w:val="18"/>
            <w:szCs w:val="18"/>
          </w:rPr>
          <w:t>Dimethylsulfamoyl</w:t>
        </w:r>
        <w:proofErr w:type="spellEnd"/>
        <w:r w:rsidRPr="00F66642">
          <w:rPr>
            <w:b/>
            <w:sz w:val="18"/>
            <w:szCs w:val="18"/>
          </w:rPr>
          <w:t xml:space="preserve"> chloride</w:t>
        </w:r>
        <w:r w:rsidR="008A36CF">
          <w:rPr>
            <w:b/>
            <w:sz w:val="18"/>
            <w:szCs w:val="18"/>
          </w:rPr>
          <w:t xml:space="preserve"> (</w:t>
        </w:r>
        <w:r w:rsidRPr="00F66642">
          <w:rPr>
            <w:b/>
            <w:sz w:val="18"/>
            <w:szCs w:val="18"/>
          </w:rPr>
          <w:t>13360-57-1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CD677FD" w14:textId="6682275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176C3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4D8D5" w14:textId="77777777" w:rsidR="00C92982" w:rsidRDefault="00C92982" w:rsidP="00F43AD5">
      <w:pPr>
        <w:spacing w:after="0" w:line="240" w:lineRule="auto"/>
      </w:pPr>
      <w:r>
        <w:separator/>
      </w:r>
    </w:p>
  </w:footnote>
  <w:footnote w:type="continuationSeparator" w:id="0">
    <w:p w14:paraId="5A753AB1" w14:textId="77777777" w:rsidR="00C92982" w:rsidRDefault="00C9298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8408B" w14:textId="08E84EED" w:rsidR="003176C3" w:rsidRDefault="003176C3" w:rsidP="003176C3">
    <w:pPr>
      <w:pStyle w:val="Header"/>
      <w:jc w:val="right"/>
    </w:pPr>
    <w:r>
      <w:rPr>
        <w:noProof/>
        <w:lang w:eastAsia="en-AU"/>
      </w:rPr>
      <w:drawing>
        <wp:inline distT="0" distB="0" distL="0" distR="0" wp14:anchorId="073EC96E" wp14:editId="65486B9C">
          <wp:extent cx="294767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6FDE0C" w14:textId="3E5637D2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4B160" w14:textId="32D77E72" w:rsidR="003176C3" w:rsidRDefault="003176C3" w:rsidP="003176C3">
    <w:pPr>
      <w:pStyle w:val="Header"/>
      <w:jc w:val="right"/>
    </w:pPr>
    <w:r>
      <w:rPr>
        <w:noProof/>
        <w:lang w:eastAsia="en-AU"/>
      </w:rPr>
      <w:drawing>
        <wp:inline distT="0" distB="0" distL="0" distR="0" wp14:anchorId="08A33CEB" wp14:editId="7481D3EE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895B47" w14:textId="6AAE3B89" w:rsidR="008A36CF" w:rsidRDefault="008A36CF" w:rsidP="003176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72E20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9D32F3A"/>
    <w:multiLevelType w:val="hybridMultilevel"/>
    <w:tmpl w:val="05341576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5191784">
    <w:abstractNumId w:val="0"/>
  </w:num>
  <w:num w:numId="2" w16cid:durableId="13229284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3ABF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5930"/>
    <w:rsid w:val="001B5BBA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5423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56D7"/>
    <w:rsid w:val="0025734A"/>
    <w:rsid w:val="00263255"/>
    <w:rsid w:val="002754F9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176C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2FDD"/>
    <w:rsid w:val="00484A6A"/>
    <w:rsid w:val="00485BFD"/>
    <w:rsid w:val="004867A2"/>
    <w:rsid w:val="004873F2"/>
    <w:rsid w:val="00490D4C"/>
    <w:rsid w:val="00493A35"/>
    <w:rsid w:val="0049527A"/>
    <w:rsid w:val="004966BF"/>
    <w:rsid w:val="00496F8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631D"/>
    <w:rsid w:val="0067305D"/>
    <w:rsid w:val="00677D9B"/>
    <w:rsid w:val="00685BE4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3238"/>
    <w:rsid w:val="00701053"/>
    <w:rsid w:val="00701507"/>
    <w:rsid w:val="00714021"/>
    <w:rsid w:val="00716A0F"/>
    <w:rsid w:val="00717D45"/>
    <w:rsid w:val="007208F7"/>
    <w:rsid w:val="007218AF"/>
    <w:rsid w:val="007243A3"/>
    <w:rsid w:val="007365D1"/>
    <w:rsid w:val="00740E0E"/>
    <w:rsid w:val="00750212"/>
    <w:rsid w:val="00751E96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3D1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3876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AA9"/>
    <w:rsid w:val="00887E4B"/>
    <w:rsid w:val="008915C8"/>
    <w:rsid w:val="008A36CF"/>
    <w:rsid w:val="008A3BC4"/>
    <w:rsid w:val="008B403C"/>
    <w:rsid w:val="008B7983"/>
    <w:rsid w:val="008C2511"/>
    <w:rsid w:val="008D0157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0823"/>
    <w:rsid w:val="00A84504"/>
    <w:rsid w:val="00A8672F"/>
    <w:rsid w:val="00A93057"/>
    <w:rsid w:val="00A968B0"/>
    <w:rsid w:val="00AB2672"/>
    <w:rsid w:val="00AB2817"/>
    <w:rsid w:val="00AB43C4"/>
    <w:rsid w:val="00AC1296"/>
    <w:rsid w:val="00AC32E7"/>
    <w:rsid w:val="00AC3302"/>
    <w:rsid w:val="00AC3A9F"/>
    <w:rsid w:val="00AC6D2F"/>
    <w:rsid w:val="00AE2745"/>
    <w:rsid w:val="00AE2F64"/>
    <w:rsid w:val="00AE625D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0866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2982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384C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3BB7"/>
    <w:rsid w:val="00E44D8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30FC"/>
    <w:rsid w:val="00EA6243"/>
    <w:rsid w:val="00EA74AB"/>
    <w:rsid w:val="00EB3D1B"/>
    <w:rsid w:val="00ED1D89"/>
    <w:rsid w:val="00ED66BC"/>
    <w:rsid w:val="00ED7E7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6642"/>
    <w:rsid w:val="00F67BBB"/>
    <w:rsid w:val="00F87D92"/>
    <w:rsid w:val="00F90AA7"/>
    <w:rsid w:val="00F92498"/>
    <w:rsid w:val="00F9496B"/>
    <w:rsid w:val="00F970C9"/>
    <w:rsid w:val="00FA06A8"/>
    <w:rsid w:val="00FA19B3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FA19B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A38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384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384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38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384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D378D10C78946EC8DF8B75FD1B32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A3C8D-2EAD-457B-A1E2-E7A39926B1DE}"/>
      </w:docPartPr>
      <w:docPartBody>
        <w:p w:rsidR="00B91A6D" w:rsidRDefault="00A07B31" w:rsidP="00A07B31">
          <w:pPr>
            <w:pStyle w:val="AD378D10C78946EC8DF8B75FD1B32C0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B1499"/>
    <w:rsid w:val="003C39A9"/>
    <w:rsid w:val="00631AED"/>
    <w:rsid w:val="00736AC1"/>
    <w:rsid w:val="007973D1"/>
    <w:rsid w:val="00A07B31"/>
    <w:rsid w:val="00B91A6D"/>
    <w:rsid w:val="00D21A9F"/>
    <w:rsid w:val="00E729FB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07B3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AD378D10C78946EC8DF8B75FD1B32C0A">
    <w:name w:val="AD378D10C78946EC8DF8B75FD1B32C0A"/>
    <w:rsid w:val="00A07B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2165AB-D1BA-4575-BC69-D589435B1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microsoft.com/office/infopath/2007/PartnerControls"/>
    <ds:schemaRef ds:uri="a0509f21-ed56-4150-9955-96be669e5f2d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1c567317-0c4d-4a62-8516-c22afd1b5354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7CCC55B-1E40-41DF-BBCC-02949264F6E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759</Words>
  <Characters>4585</Characters>
  <Application>Microsoft Office Word</Application>
  <DocSecurity>0</DocSecurity>
  <Lines>186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6</cp:revision>
  <cp:lastPrinted>2018-10-22T22:41:00Z</cp:lastPrinted>
  <dcterms:created xsi:type="dcterms:W3CDTF">2019-11-07T07:57:00Z</dcterms:created>
  <dcterms:modified xsi:type="dcterms:W3CDTF">2026-01-08T23:24:00Z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2025-12-22T05:31:35Z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ec4fffea-07ea-47ef-8168-e26cc77fd084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