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D0B560D" w14:textId="4BD164F2" w:rsidR="00BD499F" w:rsidRPr="004C23F4" w:rsidRDefault="007174B5" w:rsidP="00B40C60">
          <w:pPr>
            <w:pStyle w:val="Heading1"/>
            <w:jc w:val="center"/>
            <w:rPr>
              <w:rFonts w:ascii="Arial" w:hAnsi="Arial" w:cs="Arial"/>
            </w:rPr>
          </w:pPr>
          <w:proofErr w:type="spellStart"/>
          <w:r w:rsidRPr="007174B5">
            <w:rPr>
              <w:rFonts w:ascii="Arial" w:hAnsi="Arial" w:cs="Arial"/>
            </w:rPr>
            <w:t>Diglycidyl</w:t>
          </w:r>
          <w:proofErr w:type="spellEnd"/>
          <w:r w:rsidRPr="007174B5">
            <w:rPr>
              <w:rFonts w:ascii="Arial" w:hAnsi="Arial" w:cs="Arial"/>
            </w:rPr>
            <w:t xml:space="preserve"> resorcinol ether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9"/>
        <w:gridCol w:w="5037"/>
      </w:tblGrid>
      <w:tr w:rsidR="00F43AD5" w:rsidRPr="004C23F4" w14:paraId="3D60175B" w14:textId="77777777" w:rsidTr="00B76A41">
        <w:trPr>
          <w:cantSplit/>
          <w:tblHeader/>
        </w:trPr>
        <w:tc>
          <w:tcPr>
            <w:tcW w:w="4077" w:type="dxa"/>
          </w:tcPr>
          <w:p w14:paraId="66F11460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9A79731" w14:textId="64EB30DC" w:rsidR="00F43AD5" w:rsidRPr="00717D45" w:rsidRDefault="007174B5" w:rsidP="00B76A41">
            <w:pPr>
              <w:pStyle w:val="Tablefont"/>
            </w:pPr>
            <w:r w:rsidRPr="007174B5">
              <w:t>101-90-6</w:t>
            </w:r>
          </w:p>
        </w:tc>
      </w:tr>
      <w:tr w:rsidR="00F43AD5" w:rsidRPr="004C23F4" w14:paraId="05BA67CE" w14:textId="77777777" w:rsidTr="00B76A41">
        <w:trPr>
          <w:cantSplit/>
        </w:trPr>
        <w:tc>
          <w:tcPr>
            <w:tcW w:w="4077" w:type="dxa"/>
          </w:tcPr>
          <w:p w14:paraId="2A6CCEC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2B44B402" w14:textId="4E6FDEC2" w:rsidR="00F43AD5" w:rsidRPr="00717D45" w:rsidRDefault="00C7143E" w:rsidP="00B76A41">
            <w:pPr>
              <w:pStyle w:val="Tablefont"/>
            </w:pPr>
            <w:r w:rsidRPr="00C7143E">
              <w:t>NCI-</w:t>
            </w:r>
            <w:proofErr w:type="spellStart"/>
            <w:r w:rsidRPr="00C7143E">
              <w:t>C54966</w:t>
            </w:r>
            <w:proofErr w:type="spellEnd"/>
            <w:r>
              <w:t xml:space="preserve">, </w:t>
            </w:r>
            <w:proofErr w:type="spellStart"/>
            <w:r w:rsidRPr="00C7143E">
              <w:t>RDGE</w:t>
            </w:r>
            <w:proofErr w:type="spellEnd"/>
            <w:r>
              <w:t xml:space="preserve">, </w:t>
            </w:r>
            <w:proofErr w:type="spellStart"/>
            <w:r w:rsidRPr="00C7143E">
              <w:t>DGRE</w:t>
            </w:r>
            <w:proofErr w:type="spellEnd"/>
            <w:r>
              <w:t xml:space="preserve">, </w:t>
            </w:r>
            <w:r w:rsidR="002735DE">
              <w:br/>
            </w:r>
            <w:r w:rsidR="00A71C84">
              <w:t>r</w:t>
            </w:r>
            <w:r w:rsidR="00A71C84" w:rsidRPr="00C7143E">
              <w:t xml:space="preserve">esorcinol </w:t>
            </w:r>
            <w:proofErr w:type="spellStart"/>
            <w:r w:rsidRPr="00C7143E">
              <w:t>diglycidyl</w:t>
            </w:r>
            <w:proofErr w:type="spellEnd"/>
            <w:r w:rsidRPr="00C7143E">
              <w:t xml:space="preserve"> ether</w:t>
            </w:r>
            <w:r>
              <w:t xml:space="preserve">, </w:t>
            </w:r>
            <w:r w:rsidR="00A71C84">
              <w:t>r</w:t>
            </w:r>
            <w:r w:rsidR="00A71C84" w:rsidRPr="00C7143E">
              <w:t xml:space="preserve">esorcinol </w:t>
            </w:r>
            <w:r w:rsidRPr="00C7143E">
              <w:t>glycidyl ether</w:t>
            </w:r>
          </w:p>
        </w:tc>
      </w:tr>
      <w:tr w:rsidR="00F43AD5" w:rsidRPr="004C23F4" w14:paraId="3644DA59" w14:textId="77777777" w:rsidTr="00B76A41">
        <w:trPr>
          <w:cantSplit/>
        </w:trPr>
        <w:tc>
          <w:tcPr>
            <w:tcW w:w="4077" w:type="dxa"/>
          </w:tcPr>
          <w:p w14:paraId="5B2CEA5A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5277874" w14:textId="23D47636" w:rsidR="00F43AD5" w:rsidRPr="00717D45" w:rsidRDefault="00C7143E" w:rsidP="00B76A41">
            <w:pPr>
              <w:pStyle w:val="Tablefont"/>
            </w:pPr>
            <w:proofErr w:type="spellStart"/>
            <w:r>
              <w:t>C</w:t>
            </w:r>
            <w:r w:rsidRPr="00C7143E">
              <w:rPr>
                <w:vertAlign w:val="subscript"/>
              </w:rPr>
              <w:t>12</w:t>
            </w:r>
            <w:r>
              <w:t>H</w:t>
            </w:r>
            <w:r w:rsidRPr="00C7143E">
              <w:rPr>
                <w:vertAlign w:val="subscript"/>
              </w:rPr>
              <w:t>14</w:t>
            </w:r>
            <w:r>
              <w:t>O</w:t>
            </w:r>
            <w:r w:rsidRPr="00C7143E">
              <w:rPr>
                <w:vertAlign w:val="subscript"/>
              </w:rPr>
              <w:t>4</w:t>
            </w:r>
            <w:proofErr w:type="spellEnd"/>
          </w:p>
        </w:tc>
      </w:tr>
      <w:tr w:rsidR="00F43AD5" w:rsidRPr="004C23F4" w14:paraId="3F5918BD" w14:textId="77777777" w:rsidTr="00B76A41">
        <w:trPr>
          <w:cantSplit/>
        </w:trPr>
        <w:tc>
          <w:tcPr>
            <w:tcW w:w="4077" w:type="dxa"/>
          </w:tcPr>
          <w:p w14:paraId="0A796ADE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6F0574A7" w14:textId="279F7C7F" w:rsidR="00F43AD5" w:rsidRPr="00A71C84" w:rsidRDefault="00C7143E" w:rsidP="00B76A41">
            <w:pPr>
              <w:pStyle w:val="Tablerowheading"/>
              <w:rPr>
                <w:b w:val="0"/>
              </w:rPr>
            </w:pPr>
            <w:r w:rsidRPr="00BE0B96">
              <w:rPr>
                <w:b w:val="0"/>
              </w:rPr>
              <w:t>—</w:t>
            </w:r>
          </w:p>
        </w:tc>
      </w:tr>
    </w:tbl>
    <w:p w14:paraId="5816DE0E" w14:textId="098FB7E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AC0E3F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AC0E3F" w:rsidRPr="004C23F4" w14:paraId="2B00C0AA" w14:textId="77777777" w:rsidTr="00AC0E3F">
        <w:trPr>
          <w:cantSplit/>
          <w:tblHeader/>
        </w:trPr>
        <w:tc>
          <w:tcPr>
            <w:tcW w:w="4010" w:type="dxa"/>
            <w:vAlign w:val="center"/>
          </w:tcPr>
          <w:p w14:paraId="00519F4C" w14:textId="77777777" w:rsidR="00AC0E3F" w:rsidRPr="002C58FF" w:rsidRDefault="00AC0E3F" w:rsidP="00AC0E3F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5658E2C7" w14:textId="119C0004" w:rsidR="00AC0E3F" w:rsidRPr="00A71C84" w:rsidRDefault="00AC0E3F" w:rsidP="00AC0E3F">
            <w:pPr>
              <w:pStyle w:val="Tablefont"/>
              <w:rPr>
                <w:b/>
              </w:rPr>
            </w:pPr>
            <w:r w:rsidRPr="00BE0B96">
              <w:rPr>
                <w:rFonts w:cs="Arial"/>
                <w:b/>
                <w:szCs w:val="20"/>
              </w:rPr>
              <w:t>—</w:t>
            </w:r>
          </w:p>
        </w:tc>
      </w:tr>
      <w:tr w:rsidR="00AC0E3F" w:rsidRPr="004C23F4" w14:paraId="720E3678" w14:textId="77777777" w:rsidTr="00AC0E3F">
        <w:trPr>
          <w:cantSplit/>
        </w:trPr>
        <w:tc>
          <w:tcPr>
            <w:tcW w:w="4010" w:type="dxa"/>
            <w:vAlign w:val="center"/>
          </w:tcPr>
          <w:p w14:paraId="56EC0FD9" w14:textId="77777777" w:rsidR="00AC0E3F" w:rsidRPr="002C58FF" w:rsidRDefault="00AC0E3F" w:rsidP="00AC0E3F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3928ECB9" w14:textId="3A818EB8" w:rsidR="00AC0E3F" w:rsidRPr="00A71C84" w:rsidRDefault="00AC0E3F" w:rsidP="00AC0E3F">
            <w:pPr>
              <w:pStyle w:val="Tablefont"/>
              <w:rPr>
                <w:b/>
              </w:rPr>
            </w:pPr>
            <w:r w:rsidRPr="00BE0B96">
              <w:rPr>
                <w:rFonts w:cs="Arial"/>
                <w:b/>
                <w:szCs w:val="20"/>
              </w:rPr>
              <w:t>—</w:t>
            </w:r>
          </w:p>
        </w:tc>
      </w:tr>
      <w:tr w:rsidR="00AC0E3F" w:rsidRPr="004C23F4" w14:paraId="3B592412" w14:textId="77777777" w:rsidTr="00AC0E3F">
        <w:trPr>
          <w:cantSplit/>
        </w:trPr>
        <w:tc>
          <w:tcPr>
            <w:tcW w:w="4010" w:type="dxa"/>
            <w:vAlign w:val="center"/>
          </w:tcPr>
          <w:p w14:paraId="264C7B74" w14:textId="77777777" w:rsidR="00AC0E3F" w:rsidRPr="002C58FF" w:rsidRDefault="00AC0E3F" w:rsidP="00AC0E3F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F28CD4E" w14:textId="452E2AAE" w:rsidR="00AC0E3F" w:rsidRPr="00A71C84" w:rsidRDefault="00AC0E3F" w:rsidP="00AC0E3F">
            <w:pPr>
              <w:pStyle w:val="Tablefont"/>
              <w:rPr>
                <w:b/>
              </w:rPr>
            </w:pPr>
            <w:r w:rsidRPr="00BE0B96">
              <w:rPr>
                <w:rFonts w:cs="Arial"/>
                <w:b/>
                <w:szCs w:val="20"/>
              </w:rPr>
              <w:t>—</w:t>
            </w:r>
          </w:p>
        </w:tc>
      </w:tr>
      <w:tr w:rsidR="00AC0E3F" w:rsidRPr="004C23F4" w14:paraId="6B59FC7E" w14:textId="77777777" w:rsidTr="00AC0E3F">
        <w:trPr>
          <w:cantSplit/>
        </w:trPr>
        <w:tc>
          <w:tcPr>
            <w:tcW w:w="4010" w:type="dxa"/>
          </w:tcPr>
          <w:p w14:paraId="65C98E3E" w14:textId="77777777" w:rsidR="00AC0E3F" w:rsidRPr="002C58FF" w:rsidRDefault="00AC0E3F" w:rsidP="00AC0E3F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0062DA36" w14:textId="27AEF7E8" w:rsidR="00AC0E3F" w:rsidRPr="00A71C84" w:rsidRDefault="00AC0E3F" w:rsidP="00AC0E3F">
            <w:pPr>
              <w:pStyle w:val="Tablefont"/>
              <w:rPr>
                <w:b/>
              </w:rPr>
            </w:pPr>
            <w:proofErr w:type="spellStart"/>
            <w:r w:rsidRPr="00A71C84">
              <w:rPr>
                <w:b/>
              </w:rPr>
              <w:t>Carc</w:t>
            </w:r>
            <w:proofErr w:type="spellEnd"/>
            <w:r w:rsidRPr="00A71C84">
              <w:rPr>
                <w:b/>
              </w:rPr>
              <w:t xml:space="preserve">. 2, </w:t>
            </w:r>
            <w:proofErr w:type="spellStart"/>
            <w:r w:rsidRPr="00A71C84">
              <w:rPr>
                <w:b/>
              </w:rPr>
              <w:t>DSEN</w:t>
            </w:r>
            <w:proofErr w:type="spellEnd"/>
          </w:p>
        </w:tc>
      </w:tr>
      <w:tr w:rsidR="00AC0E3F" w:rsidRPr="004C23F4" w14:paraId="5F3752B1" w14:textId="77777777" w:rsidTr="00AC0E3F">
        <w:trPr>
          <w:cantSplit/>
        </w:trPr>
        <w:tc>
          <w:tcPr>
            <w:tcW w:w="4010" w:type="dxa"/>
            <w:vAlign w:val="center"/>
          </w:tcPr>
          <w:p w14:paraId="7638546C" w14:textId="77777777" w:rsidR="00AC0E3F" w:rsidRPr="002C58FF" w:rsidRDefault="00AC0E3F" w:rsidP="00AC0E3F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16" w:type="dxa"/>
          </w:tcPr>
          <w:p w14:paraId="6A0BBBFA" w14:textId="025B94B5" w:rsidR="00AC0E3F" w:rsidRPr="00A71C84" w:rsidRDefault="000121E5" w:rsidP="00AC0E3F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10 ppm </w:t>
            </w:r>
          </w:p>
        </w:tc>
      </w:tr>
      <w:tr w:rsidR="008B27AA" w:rsidRPr="004C23F4" w14:paraId="06001568" w14:textId="77777777" w:rsidTr="00FA4891">
        <w:trPr>
          <w:cantSplit/>
        </w:trPr>
        <w:tc>
          <w:tcPr>
            <w:tcW w:w="9026" w:type="dxa"/>
            <w:gridSpan w:val="2"/>
            <w:vAlign w:val="center"/>
          </w:tcPr>
          <w:p w14:paraId="18295DCC" w14:textId="29DC501A" w:rsidR="008B27AA" w:rsidRPr="00EB3D1B" w:rsidRDefault="008B27AA" w:rsidP="00AC0E3F">
            <w:pPr>
              <w:pStyle w:val="Tablefont"/>
              <w:rPr>
                <w:b/>
              </w:rPr>
            </w:pPr>
            <w:r w:rsidRPr="00B90B06">
              <w:rPr>
                <w:b/>
              </w:rPr>
              <w:t>Sampling and analysis:</w:t>
            </w:r>
            <w:r>
              <w:rPr>
                <w:rStyle w:val="WESstatus"/>
              </w:rPr>
              <w:t xml:space="preserve"> </w:t>
            </w:r>
            <w:r w:rsidR="00B90B06">
              <w:rPr>
                <w:rStyle w:val="WESstatus"/>
                <w:b/>
              </w:rPr>
              <w:t>N/A</w:t>
            </w:r>
          </w:p>
        </w:tc>
      </w:tr>
    </w:tbl>
    <w:p w14:paraId="4C41F665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2975B1F" w14:textId="1B62A1C0" w:rsidR="00B90B06" w:rsidRDefault="002E3BEF" w:rsidP="00B90B06">
      <w:r>
        <w:rPr>
          <w:rFonts w:cs="Arial"/>
        </w:rPr>
        <w:t>A</w:t>
      </w:r>
      <w:r w:rsidR="00B90B06">
        <w:rPr>
          <w:rFonts w:cs="Arial"/>
        </w:rPr>
        <w:t xml:space="preserve"> TWA</w:t>
      </w:r>
      <w:r w:rsidR="00B90B06" w:rsidRPr="008D1A98">
        <w:t xml:space="preserve"> </w:t>
      </w:r>
      <w:r w:rsidR="00B90B06">
        <w:t xml:space="preserve">is </w:t>
      </w:r>
      <w:r>
        <w:t xml:space="preserve">not </w:t>
      </w:r>
      <w:r w:rsidR="00B90B06">
        <w:t>recommended due to insufficient data</w:t>
      </w:r>
      <w:r w:rsidR="0064006E">
        <w:t>.</w:t>
      </w:r>
    </w:p>
    <w:p w14:paraId="738F8DE0" w14:textId="680C1DB0" w:rsidR="00B90B06" w:rsidRPr="0064580F" w:rsidRDefault="002E3BEF" w:rsidP="00B90B06">
      <w:pPr>
        <w:rPr>
          <w:rFonts w:cs="Arial"/>
        </w:rPr>
      </w:pPr>
      <w:r w:rsidRPr="002E3BEF"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395536FB" w14:textId="77777777" w:rsidR="00C7155E" w:rsidRPr="004C23F4" w:rsidRDefault="00F10C97" w:rsidP="003365A5">
      <w:pPr>
        <w:pStyle w:val="Heading2"/>
      </w:pPr>
      <w:r>
        <w:t>Discussion and conclusions</w:t>
      </w:r>
    </w:p>
    <w:p w14:paraId="0C3C708E" w14:textId="77777777" w:rsidR="002E3BEF" w:rsidRDefault="00AC0E3F" w:rsidP="001F0AAA">
      <w:proofErr w:type="spellStart"/>
      <w:r>
        <w:t>Diglycidyl</w:t>
      </w:r>
      <w:proofErr w:type="spellEnd"/>
      <w:r>
        <w:t xml:space="preserve"> resorcinol ether is used in a variety of commercial products such as adhesives, surface treatments, paints and varnishes, and in construction materials (</w:t>
      </w:r>
      <w:proofErr w:type="spellStart"/>
      <w:r>
        <w:t>NICNAS</w:t>
      </w:r>
      <w:proofErr w:type="spellEnd"/>
      <w:r>
        <w:t xml:space="preserve">, 2015). </w:t>
      </w:r>
    </w:p>
    <w:p w14:paraId="28EC6E05" w14:textId="45BF7073" w:rsidR="001F0AAA" w:rsidRDefault="00B90B06" w:rsidP="001F0AAA">
      <w:r>
        <w:t xml:space="preserve">Critical effects include </w:t>
      </w:r>
      <w:r w:rsidR="001F0AAA">
        <w:t>severe skin irritation</w:t>
      </w:r>
      <w:r>
        <w:t xml:space="preserve"> on contact</w:t>
      </w:r>
      <w:r w:rsidR="001F0AAA">
        <w:t xml:space="preserve"> and sensitisation in humans. Contact with mucous membranes of the eye caused severe irritation in rabbits.</w:t>
      </w:r>
      <w:r w:rsidR="000121E5">
        <w:t xml:space="preserve"> </w:t>
      </w:r>
      <w:r w:rsidR="001F0AAA">
        <w:t>Positive result for mutagenicity in adequately conducted assays (</w:t>
      </w:r>
      <w:proofErr w:type="spellStart"/>
      <w:r w:rsidR="001F0AAA">
        <w:t>DFG</w:t>
      </w:r>
      <w:proofErr w:type="spellEnd"/>
      <w:r w:rsidR="001F0AAA">
        <w:t xml:space="preserve">, 2005; </w:t>
      </w:r>
      <w:proofErr w:type="spellStart"/>
      <w:r w:rsidR="001F0AAA">
        <w:t>HCOTN</w:t>
      </w:r>
      <w:proofErr w:type="spellEnd"/>
      <w:r w:rsidR="001F0AAA">
        <w:t>, 1999)</w:t>
      </w:r>
    </w:p>
    <w:p w14:paraId="37837DB0" w14:textId="699867D3" w:rsidR="00AC0E3F" w:rsidRDefault="00E863E5" w:rsidP="00AC0E3F">
      <w:r w:rsidRPr="00E863E5">
        <w:rPr>
          <w:rStyle w:val="checkbox"/>
          <w:rFonts w:ascii="Arial" w:hAnsi="Arial" w:cs="Arial"/>
        </w:rPr>
        <w:t xml:space="preserve">Evidence in animals suggest that carcinogenicity may act through a mutagenic mechanism and </w:t>
      </w:r>
      <w:proofErr w:type="spellStart"/>
      <w:r w:rsidRPr="00E863E5">
        <w:rPr>
          <w:rStyle w:val="checkbox"/>
          <w:rFonts w:ascii="Arial" w:hAnsi="Arial" w:cs="Arial"/>
        </w:rPr>
        <w:t>DFG</w:t>
      </w:r>
      <w:proofErr w:type="spellEnd"/>
      <w:r w:rsidR="001848D4">
        <w:rPr>
          <w:rStyle w:val="checkbox"/>
          <w:rFonts w:ascii="Arial" w:hAnsi="Arial" w:cs="Arial"/>
        </w:rPr>
        <w:t> </w:t>
      </w:r>
      <w:r w:rsidRPr="00E863E5">
        <w:rPr>
          <w:rStyle w:val="checkbox"/>
          <w:rFonts w:ascii="Arial" w:hAnsi="Arial" w:cs="Arial"/>
        </w:rPr>
        <w:t>(2005) note it is a proven genotoxic carcinogen. However, the cancers reported in animals are not relevant for humans and there is a lack of data available to confirm this effect in humans through the inhalational route. Therefore, it is unclear if a non-threshold mechanism for cancer is a critical effect in recommending a TWA. A review of additional data sources is recommended at the next scheduled review</w:t>
      </w:r>
      <w:r w:rsidR="00AC0E3F">
        <w:rPr>
          <w:rStyle w:val="checkbox"/>
          <w:rFonts w:ascii="Arial" w:hAnsi="Arial" w:cs="Arial"/>
        </w:rPr>
        <w:t>.</w:t>
      </w:r>
    </w:p>
    <w:p w14:paraId="326D665C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430F0038" w14:textId="4AF0A824" w:rsidR="00C7143E" w:rsidRPr="00C7143E" w:rsidRDefault="00AC0E3F" w:rsidP="00C7143E">
      <w:pPr>
        <w:rPr>
          <w:rFonts w:cs="Arial"/>
        </w:rPr>
      </w:pPr>
      <w:r>
        <w:rPr>
          <w:rFonts w:cs="Arial"/>
        </w:rPr>
        <w:t>C</w:t>
      </w:r>
      <w:r w:rsidR="00C7143E" w:rsidRPr="00C7143E">
        <w:rPr>
          <w:rFonts w:cs="Arial"/>
        </w:rPr>
        <w:t xml:space="preserve">lassified as a </w:t>
      </w:r>
      <w:r w:rsidR="00BE0B96">
        <w:rPr>
          <w:rFonts w:cs="Arial"/>
        </w:rPr>
        <w:t xml:space="preserve">category 2 </w:t>
      </w:r>
      <w:r w:rsidR="00C7143E" w:rsidRPr="00C7143E">
        <w:rPr>
          <w:rFonts w:cs="Arial"/>
        </w:rPr>
        <w:t>carcinogen according to the Globally Harmonized System of</w:t>
      </w:r>
      <w:r w:rsidR="008B27AA">
        <w:rPr>
          <w:rFonts w:cs="Arial"/>
        </w:rPr>
        <w:t xml:space="preserve"> Classification and Labelling of</w:t>
      </w:r>
      <w:r w:rsidR="00C7143E" w:rsidRPr="00C7143E">
        <w:rPr>
          <w:rFonts w:cs="Arial"/>
        </w:rPr>
        <w:t xml:space="preserve"> Chemicals (GHS). </w:t>
      </w:r>
    </w:p>
    <w:p w14:paraId="31883D82" w14:textId="0ED2266A" w:rsidR="00C7143E" w:rsidRPr="00C7143E" w:rsidRDefault="00AC0E3F" w:rsidP="00C7143E">
      <w:pPr>
        <w:rPr>
          <w:rFonts w:cs="Arial"/>
        </w:rPr>
      </w:pPr>
      <w:r>
        <w:rPr>
          <w:rFonts w:cs="Arial"/>
        </w:rPr>
        <w:t>C</w:t>
      </w:r>
      <w:r w:rsidR="00C7143E" w:rsidRPr="00C7143E">
        <w:rPr>
          <w:rFonts w:cs="Arial"/>
        </w:rPr>
        <w:t>lassified as a skin</w:t>
      </w:r>
      <w:r w:rsidR="002E3BEF">
        <w:rPr>
          <w:rFonts w:cs="Arial"/>
        </w:rPr>
        <w:t xml:space="preserve"> sensitiser and</w:t>
      </w:r>
      <w:r>
        <w:rPr>
          <w:rFonts w:cs="Arial"/>
        </w:rPr>
        <w:t xml:space="preserve"> not a</w:t>
      </w:r>
      <w:r w:rsidR="00C7143E" w:rsidRPr="00C7143E">
        <w:rPr>
          <w:rFonts w:cs="Arial"/>
        </w:rPr>
        <w:t xml:space="preserve"> respiratory sensitiser according to the GHS.</w:t>
      </w:r>
    </w:p>
    <w:p w14:paraId="5D99BF62" w14:textId="77777777" w:rsidR="008B27AA" w:rsidRDefault="008B27AA" w:rsidP="008B27AA">
      <w:pPr>
        <w:rPr>
          <w:rFonts w:cs="Arial"/>
        </w:rPr>
      </w:pPr>
      <w:r>
        <w:rPr>
          <w:rFonts w:cs="Arial"/>
        </w:rPr>
        <w:t>There are insufficient data to recommend a skin notation.</w:t>
      </w:r>
    </w:p>
    <w:p w14:paraId="222C6097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B82542E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1E41B96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05ACF96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703302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86CBAB7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26DA86A9" w14:textId="4632912B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C7143E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proofErr w:type="spellStart"/>
                <w:r w:rsidR="00C7143E">
                  <w:t>NA</w:t>
                </w:r>
                <w:proofErr w:type="spellEnd"/>
              </w:sdtContent>
            </w:sdt>
          </w:p>
        </w:tc>
      </w:tr>
      <w:tr w:rsidR="00C978F0" w:rsidRPr="00DA352E" w14:paraId="3B8C767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E43D698" w14:textId="62F8421C" w:rsidR="00C978F0" w:rsidRPr="00DA352E" w:rsidRDefault="00C7143E" w:rsidP="003365A5">
            <w:pPr>
              <w:pStyle w:val="Tabletextprimarysource"/>
            </w:pPr>
            <w:r>
              <w:t>No report</w:t>
            </w:r>
            <w:r w:rsidR="008B27AA">
              <w:t>.</w:t>
            </w:r>
          </w:p>
        </w:tc>
      </w:tr>
      <w:tr w:rsidR="00C978F0" w:rsidRPr="00DA352E" w14:paraId="563E306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6A86BD9" w14:textId="4F27D9EE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C7143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proofErr w:type="spellStart"/>
                <w:r w:rsidR="00C7143E">
                  <w:t>NA</w:t>
                </w:r>
                <w:proofErr w:type="spellEnd"/>
              </w:sdtContent>
            </w:sdt>
          </w:p>
        </w:tc>
      </w:tr>
      <w:tr w:rsidR="00C978F0" w:rsidRPr="00DA352E" w14:paraId="20DFBE4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AD3F80C" w14:textId="45018235" w:rsidR="00C978F0" w:rsidRPr="00DA352E" w:rsidRDefault="00C7143E" w:rsidP="003365A5">
            <w:pPr>
              <w:pStyle w:val="Tabletextprimarysource"/>
            </w:pPr>
            <w:r>
              <w:t>No report</w:t>
            </w:r>
            <w:r w:rsidR="008B27AA">
              <w:t>.</w:t>
            </w:r>
          </w:p>
        </w:tc>
      </w:tr>
      <w:tr w:rsidR="00C978F0" w:rsidRPr="00DA352E" w14:paraId="2A3FF3C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2935C12" w14:textId="02F8ACF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C7143E">
                  <w:t>2005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C7143E">
                  <w:t>Not assigned</w:t>
                </w:r>
              </w:sdtContent>
            </w:sdt>
          </w:p>
        </w:tc>
      </w:tr>
      <w:tr w:rsidR="00C978F0" w:rsidRPr="00DA352E" w14:paraId="2B05F2B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1CF665C" w14:textId="5E068894" w:rsidR="00C978F0" w:rsidRDefault="00AB688C" w:rsidP="003365A5">
            <w:pPr>
              <w:pStyle w:val="Tabletextprimarysource"/>
              <w:rPr>
                <w:rFonts w:cs="Arial"/>
                <w:color w:val="1C1D1E"/>
                <w:shd w:val="clear" w:color="auto" w:fill="FFFFFF"/>
              </w:rPr>
            </w:pPr>
            <w:r>
              <w:t xml:space="preserve">No MAK recommended as substance is a proven </w:t>
            </w:r>
            <w:r>
              <w:rPr>
                <w:rFonts w:cs="Arial"/>
                <w:color w:val="1C1D1E"/>
                <w:shd w:val="clear" w:color="auto" w:fill="FFFFFF"/>
              </w:rPr>
              <w:t>genotoxic carcinogen</w:t>
            </w:r>
            <w:r w:rsidR="00FE30FF">
              <w:rPr>
                <w:rFonts w:cs="Arial"/>
                <w:color w:val="1C1D1E"/>
                <w:shd w:val="clear" w:color="auto" w:fill="FFFFFF"/>
              </w:rPr>
              <w:t>.</w:t>
            </w:r>
          </w:p>
          <w:p w14:paraId="7C81DF99" w14:textId="77777777" w:rsidR="00AB688C" w:rsidRDefault="00AB688C" w:rsidP="003365A5">
            <w:pPr>
              <w:pStyle w:val="Tabletextprimarysource"/>
            </w:pPr>
            <w:r>
              <w:t>Summary of data:</w:t>
            </w:r>
          </w:p>
          <w:p w14:paraId="5EB50D81" w14:textId="77777777" w:rsidR="00AB688C" w:rsidRDefault="00AB688C" w:rsidP="003365A5">
            <w:pPr>
              <w:pStyle w:val="Tabletextprimarysource"/>
            </w:pPr>
            <w:r>
              <w:t>Human data:</w:t>
            </w:r>
          </w:p>
          <w:p w14:paraId="68C6548A" w14:textId="77777777" w:rsidR="00ED22EB" w:rsidRDefault="00ED22EB" w:rsidP="002E3BE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Limited data in humans</w:t>
            </w:r>
          </w:p>
          <w:p w14:paraId="727F049C" w14:textId="33B4495A" w:rsidR="000C5D33" w:rsidRDefault="00AB688C" w:rsidP="002E3BE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Contact causes severe skin irritation and sometimes sensitisation in humans</w:t>
            </w:r>
            <w:r w:rsidR="000C5D33">
              <w:t>.</w:t>
            </w:r>
          </w:p>
          <w:p w14:paraId="541414D6" w14:textId="77777777" w:rsidR="001848D4" w:rsidRDefault="001848D4" w:rsidP="00E02A40">
            <w:pPr>
              <w:pStyle w:val="Tabletextprimarysource"/>
            </w:pPr>
          </w:p>
          <w:p w14:paraId="4FBC149A" w14:textId="5A5398A7" w:rsidR="00AB688C" w:rsidRDefault="00E02A40" w:rsidP="00E02A40">
            <w:pPr>
              <w:pStyle w:val="Tabletextprimarysource"/>
            </w:pPr>
            <w:r>
              <w:t>Animal data:</w:t>
            </w:r>
          </w:p>
          <w:p w14:paraId="0432C3A7" w14:textId="5B5B60DE" w:rsidR="00E02A40" w:rsidRDefault="00E02A40" w:rsidP="002E3BEF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 w:rsidR="00B30415">
              <w:t>:</w:t>
            </w:r>
            <w:r>
              <w:t xml:space="preserve"> 980 mg/kg (mice, oral)</w:t>
            </w:r>
          </w:p>
          <w:p w14:paraId="600877AF" w14:textId="77777777" w:rsidR="00E02A40" w:rsidRDefault="00E02A40" w:rsidP="002E3BE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Contact with mucous membranes of the eye caused severe irritation in rabbits</w:t>
            </w:r>
          </w:p>
          <w:p w14:paraId="20B9B7AB" w14:textId="266EDFF5" w:rsidR="00E02A40" w:rsidRDefault="00E02A40" w:rsidP="002E3BEF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High incidence of </w:t>
            </w:r>
            <w:proofErr w:type="spellStart"/>
            <w:r>
              <w:t>papillomas</w:t>
            </w:r>
            <w:proofErr w:type="spellEnd"/>
            <w:r>
              <w:t xml:space="preserve"> and carcinomas in the forestomach of rats and mice after 103</w:t>
            </w:r>
            <w:r w:rsidR="000C5D33">
              <w:t> </w:t>
            </w:r>
            <w:proofErr w:type="spellStart"/>
            <w:r>
              <w:t>wk</w:t>
            </w:r>
            <w:proofErr w:type="spellEnd"/>
            <w:r>
              <w:t xml:space="preserve"> oral administration</w:t>
            </w:r>
            <w:r w:rsidR="00FE30FF">
              <w:t>.</w:t>
            </w:r>
          </w:p>
          <w:p w14:paraId="0D3CBE65" w14:textId="77777777" w:rsidR="000C5D33" w:rsidRDefault="000C5D33" w:rsidP="000121E5">
            <w:pPr>
              <w:pStyle w:val="ListBullet"/>
              <w:numPr>
                <w:ilvl w:val="0"/>
                <w:numId w:val="0"/>
              </w:numPr>
            </w:pPr>
          </w:p>
          <w:p w14:paraId="7751411A" w14:textId="77777777" w:rsidR="000C5D33" w:rsidRDefault="00E02A40" w:rsidP="00E02A40">
            <w:pPr>
              <w:pStyle w:val="Tabletextprimarysource"/>
            </w:pPr>
            <w:r>
              <w:t xml:space="preserve">Positive for mutagenicity in </w:t>
            </w:r>
            <w:r>
              <w:rPr>
                <w:i/>
              </w:rPr>
              <w:t>S</w:t>
            </w:r>
            <w:r w:rsidR="002E3BEF">
              <w:rPr>
                <w:i/>
              </w:rPr>
              <w:t>.</w:t>
            </w:r>
            <w:r>
              <w:rPr>
                <w:i/>
              </w:rPr>
              <w:t xml:space="preserve"> typhimurium</w:t>
            </w:r>
            <w:r w:rsidR="0066354C">
              <w:t xml:space="preserve">, </w:t>
            </w:r>
            <w:proofErr w:type="spellStart"/>
            <w:r w:rsidR="0066354C" w:rsidRPr="0066354C">
              <w:t>L5178Y</w:t>
            </w:r>
            <w:proofErr w:type="spellEnd"/>
            <w:r w:rsidR="0066354C" w:rsidRPr="0066354C">
              <w:t xml:space="preserve"> mouse lymphoma</w:t>
            </w:r>
            <w:r w:rsidR="0066354C">
              <w:t xml:space="preserve"> and </w:t>
            </w:r>
            <w:r w:rsidR="0066354C" w:rsidRPr="0066354C">
              <w:rPr>
                <w:i/>
              </w:rPr>
              <w:t>Drosophila melanogaster</w:t>
            </w:r>
            <w:r w:rsidR="00FE30FF" w:rsidRPr="00BE0B96">
              <w:t>.</w:t>
            </w:r>
          </w:p>
          <w:p w14:paraId="72791ACC" w14:textId="6027F0E4" w:rsidR="001848D4" w:rsidRPr="0066354C" w:rsidRDefault="001848D4" w:rsidP="00E02A40">
            <w:pPr>
              <w:pStyle w:val="Tabletextprimarysource"/>
            </w:pPr>
          </w:p>
        </w:tc>
      </w:tr>
      <w:tr w:rsidR="00C978F0" w:rsidRPr="00DA352E" w14:paraId="1BC9CB6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E3CC121" w14:textId="396FC20E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C7143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C7143E">
                  <w:t>NA</w:t>
                </w:r>
                <w:proofErr w:type="spellEnd"/>
              </w:sdtContent>
            </w:sdt>
          </w:p>
        </w:tc>
      </w:tr>
      <w:tr w:rsidR="00C978F0" w:rsidRPr="00DA352E" w14:paraId="4854504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78C3184" w14:textId="4C1B4053" w:rsidR="00C978F0" w:rsidRPr="00DA352E" w:rsidRDefault="00C7143E" w:rsidP="003365A5">
            <w:pPr>
              <w:pStyle w:val="Tabletextprimarysource"/>
            </w:pPr>
            <w:r>
              <w:t>No report</w:t>
            </w:r>
            <w:r w:rsidR="008B27AA">
              <w:t>.</w:t>
            </w:r>
          </w:p>
        </w:tc>
      </w:tr>
      <w:tr w:rsidR="00DA352E" w:rsidRPr="00DA352E" w14:paraId="446E0FC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99480D" w14:textId="343230C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C7143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C7143E">
                  <w:t>NA</w:t>
                </w:r>
                <w:proofErr w:type="spellEnd"/>
              </w:sdtContent>
            </w:sdt>
          </w:p>
        </w:tc>
      </w:tr>
      <w:tr w:rsidR="00DA352E" w:rsidRPr="00DA352E" w14:paraId="6300083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D5F7B0A" w14:textId="5B80C004" w:rsidR="00DA352E" w:rsidRPr="00DA352E" w:rsidRDefault="00C7143E" w:rsidP="003365A5">
            <w:pPr>
              <w:pStyle w:val="Tabletextprimarysource"/>
            </w:pPr>
            <w:r>
              <w:t>No report</w:t>
            </w:r>
            <w:r w:rsidR="008B27AA">
              <w:t>.</w:t>
            </w:r>
          </w:p>
        </w:tc>
      </w:tr>
      <w:tr w:rsidR="00DA352E" w:rsidRPr="00DA352E" w14:paraId="7B904B3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3493C05" w14:textId="22C3FB3D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C7143E">
                  <w:t>1999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C7143E">
                  <w:t>Not assigned</w:t>
                </w:r>
              </w:sdtContent>
            </w:sdt>
          </w:p>
        </w:tc>
      </w:tr>
      <w:tr w:rsidR="00DA352E" w:rsidRPr="00DA352E" w14:paraId="0681627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91C5C72" w14:textId="2B0DF336" w:rsidR="00DA352E" w:rsidRDefault="000020AD" w:rsidP="00B04674">
            <w:pPr>
              <w:pStyle w:val="Tabletextprimarysource"/>
            </w:pPr>
            <w:r>
              <w:t>Insufficient data</w:t>
            </w:r>
            <w:r w:rsidR="00B04674">
              <w:t xml:space="preserve"> to estimate the additional cancer risk and therefore a TWA</w:t>
            </w:r>
            <w:r w:rsidR="00FE30FF">
              <w:t>.</w:t>
            </w:r>
          </w:p>
          <w:p w14:paraId="23C761B2" w14:textId="77777777" w:rsidR="00B04674" w:rsidRDefault="00B04674" w:rsidP="002E3BEF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Review referred to </w:t>
            </w:r>
            <w:proofErr w:type="spellStart"/>
            <w:r>
              <w:t>DFG</w:t>
            </w:r>
            <w:proofErr w:type="spellEnd"/>
            <w:r>
              <w:t xml:space="preserve"> (2005) with no additional data located</w:t>
            </w:r>
          </w:p>
          <w:p w14:paraId="5450181C" w14:textId="77777777" w:rsidR="00B04674" w:rsidRDefault="00B04674" w:rsidP="002E3BE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inhalation carcinogenicity studies available</w:t>
            </w:r>
          </w:p>
          <w:p w14:paraId="4E8B0121" w14:textId="0BD6D0CA" w:rsidR="00B04674" w:rsidRDefault="00B04674" w:rsidP="002E3BEF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LOAEL</w:t>
            </w:r>
            <w:proofErr w:type="spellEnd"/>
            <w:r>
              <w:t xml:space="preserve"> inducing a statistically significant increase in forestomach tumours was 12 mg/kg</w:t>
            </w:r>
            <w:r w:rsidR="002E3BEF">
              <w:t>/d</w:t>
            </w:r>
            <w:r>
              <w:t xml:space="preserve"> in rats</w:t>
            </w:r>
            <w:r w:rsidR="00FE30FF">
              <w:t>.</w:t>
            </w:r>
          </w:p>
          <w:p w14:paraId="69A1FD5A" w14:textId="7EA301DA" w:rsidR="000C5D33" w:rsidRPr="00DA352E" w:rsidRDefault="000C5D33" w:rsidP="00EB2138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</w:tbl>
    <w:p w14:paraId="2CAAC02D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5"/>
        <w:gridCol w:w="423"/>
        <w:gridCol w:w="661"/>
        <w:gridCol w:w="6447"/>
      </w:tblGrid>
      <w:tr w:rsidR="004966BF" w:rsidRPr="00263255" w14:paraId="0C04549B" w14:textId="77777777" w:rsidTr="00AC0E3F">
        <w:trPr>
          <w:cantSplit/>
          <w:trHeight w:val="393"/>
          <w:tblHeader/>
        </w:trPr>
        <w:tc>
          <w:tcPr>
            <w:tcW w:w="1495" w:type="dxa"/>
            <w:shd w:val="clear" w:color="auto" w:fill="BFBFBF" w:themeFill="background1" w:themeFillShade="BF"/>
            <w:vAlign w:val="center"/>
          </w:tcPr>
          <w:p w14:paraId="2D9B557E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3B2B7FC4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ED15680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7" w:type="dxa"/>
            <w:shd w:val="clear" w:color="auto" w:fill="BFBFBF" w:themeFill="background1" w:themeFillShade="BF"/>
            <w:vAlign w:val="center"/>
          </w:tcPr>
          <w:p w14:paraId="0FF02D3E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56CBC16D" w14:textId="77777777" w:rsidTr="002E3BEF">
        <w:tc>
          <w:tcPr>
            <w:tcW w:w="1495" w:type="dxa"/>
          </w:tcPr>
          <w:p w14:paraId="2B6E3C33" w14:textId="77777777" w:rsidR="004966BF" w:rsidRPr="004C23F4" w:rsidRDefault="004966BF" w:rsidP="00224EE2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423" w:type="dxa"/>
          </w:tcPr>
          <w:p w14:paraId="3F083F47" w14:textId="47345C9D" w:rsidR="004966BF" w:rsidRPr="00CE617F" w:rsidRDefault="00AF2D2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AC0E3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A705CF6" w14:textId="0077941A" w:rsidR="004966BF" w:rsidRPr="004C23F4" w:rsidRDefault="00AC0E3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2015</w:t>
            </w:r>
          </w:p>
        </w:tc>
        <w:tc>
          <w:tcPr>
            <w:tcW w:w="6447" w:type="dxa"/>
          </w:tcPr>
          <w:p w14:paraId="01F96063" w14:textId="5C1E7E90" w:rsidR="00AC0E3F" w:rsidRPr="00CA73D0" w:rsidRDefault="00AC0E3F" w:rsidP="002E3BEF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>
              <w:rPr>
                <w:rFonts w:cs="Arial"/>
              </w:rPr>
              <w:t xml:space="preserve">Used in adhesives, surface treatments, paints and varnishes, </w:t>
            </w:r>
            <w:r w:rsidRPr="00CA73D0">
              <w:rPr>
                <w:rFonts w:cs="Arial"/>
              </w:rPr>
              <w:t>and in construction materials</w:t>
            </w:r>
          </w:p>
          <w:p w14:paraId="41C8C1F2" w14:textId="17F62B5A" w:rsidR="00AC0E3F" w:rsidRPr="00CA73D0" w:rsidRDefault="00AC0E3F" w:rsidP="002E3BEF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 w:rsidRPr="00BE0B96">
              <w:lastRenderedPageBreak/>
              <w:t>Dermal</w:t>
            </w:r>
            <w:r w:rsidRPr="00BE0B96">
              <w:rPr>
                <w:rFonts w:cs="Arial"/>
              </w:rPr>
              <w:t xml:space="preserve"> penetration is expected to be very low (&lt;1%) </w:t>
            </w:r>
          </w:p>
          <w:p w14:paraId="623FBEF4" w14:textId="77777777" w:rsidR="00AC0E3F" w:rsidRPr="00CA73D0" w:rsidRDefault="00AC0E3F" w:rsidP="002E3BEF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BE0B96">
              <w:rPr>
                <w:rStyle w:val="checkbox"/>
                <w:rFonts w:ascii="Arial" w:hAnsi="Arial" w:cs="Arial"/>
              </w:rPr>
              <w:t xml:space="preserve">Reported to not be a skin sensitiser in Dunkin-Hartley albino </w:t>
            </w:r>
            <w:r w:rsidRPr="00BE0B96">
              <w:t>guinea</w:t>
            </w:r>
            <w:r w:rsidRPr="00CA73D0">
              <w:rPr>
                <w:rStyle w:val="checkbox"/>
                <w:rFonts w:ascii="Arial" w:hAnsi="Arial" w:cs="Arial"/>
              </w:rPr>
              <w:t xml:space="preserve"> pigs</w:t>
            </w:r>
          </w:p>
          <w:p w14:paraId="03AB1EDD" w14:textId="09CB95D5" w:rsidR="004966BF" w:rsidRPr="00AC0E3F" w:rsidRDefault="00AC0E3F" w:rsidP="002E3BEF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BE0B96">
              <w:rPr>
                <w:rStyle w:val="checkbox"/>
                <w:rFonts w:ascii="Arial" w:hAnsi="Arial" w:cs="Arial"/>
              </w:rPr>
              <w:t xml:space="preserve">Critical health effects include systemic long-term effects (potential </w:t>
            </w:r>
            <w:r w:rsidRPr="00BE0B96">
              <w:t>carcinogenicity</w:t>
            </w:r>
            <w:r w:rsidRPr="00CA73D0">
              <w:rPr>
                <w:rStyle w:val="checkbox"/>
                <w:rFonts w:ascii="Arial" w:hAnsi="Arial" w:cs="Arial"/>
              </w:rPr>
              <w:t xml:space="preserve"> and mutagenicity) and local effects (skin sensitisation).</w:t>
            </w:r>
          </w:p>
        </w:tc>
      </w:tr>
    </w:tbl>
    <w:bookmarkEnd w:id="0"/>
    <w:p w14:paraId="35328AF0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2E0D61" w14:paraId="67AA0503" w14:textId="77777777" w:rsidTr="00BE0B96">
        <w:trPr>
          <w:trHeight w:val="454"/>
          <w:tblHeader/>
        </w:trPr>
        <w:tc>
          <w:tcPr>
            <w:tcW w:w="6609" w:type="dxa"/>
            <w:vAlign w:val="center"/>
          </w:tcPr>
          <w:p w14:paraId="6F08E0D1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42A5A4A4" w14:textId="01B0334E" w:rsidR="002E0D61" w:rsidRDefault="00AC0E3F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7B1AE46C" w14:textId="77777777" w:rsidTr="00BE0B96">
        <w:trPr>
          <w:trHeight w:val="454"/>
        </w:trPr>
        <w:tc>
          <w:tcPr>
            <w:tcW w:w="6609" w:type="dxa"/>
            <w:vAlign w:val="center"/>
          </w:tcPr>
          <w:p w14:paraId="008F3157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106483A4" w14:textId="0BB6C574" w:rsidR="008A36CF" w:rsidRDefault="000121E5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04BF122" w14:textId="77777777" w:rsidTr="00BE0B96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9" w:type="dxa"/>
                <w:vAlign w:val="center"/>
              </w:tcPr>
              <w:p w14:paraId="51B9F144" w14:textId="281E4081" w:rsidR="008A36CF" w:rsidRPr="006901A2" w:rsidRDefault="00E863E5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  <w:tc>
          <w:tcPr>
            <w:tcW w:w="2417" w:type="dxa"/>
            <w:vAlign w:val="center"/>
          </w:tcPr>
          <w:p w14:paraId="6569A0D5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207CBEC9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44A13DF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CAFDDE3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1E04880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7D2183F" w14:textId="77777777" w:rsidTr="00812887">
        <w:trPr>
          <w:cantSplit/>
        </w:trPr>
        <w:tc>
          <w:tcPr>
            <w:tcW w:w="3227" w:type="dxa"/>
          </w:tcPr>
          <w:p w14:paraId="28E8FC6C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D288DBC" w14:textId="2DD625DA" w:rsidR="00687890" w:rsidRPr="00DD2F9B" w:rsidRDefault="00C7143E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1CBE360E" w14:textId="77777777" w:rsidTr="00812887">
        <w:trPr>
          <w:cantSplit/>
        </w:trPr>
        <w:tc>
          <w:tcPr>
            <w:tcW w:w="3227" w:type="dxa"/>
          </w:tcPr>
          <w:p w14:paraId="01F91683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4BE1491A" w14:textId="071D6259" w:rsidR="007925F0" w:rsidRPr="00DD2F9B" w:rsidRDefault="00CA73D0" w:rsidP="00DD2F9B">
            <w:pPr>
              <w:pStyle w:val="Tablefont"/>
            </w:pPr>
            <w:r w:rsidRPr="00B40908">
              <w:t>Carcinogenicity – category 2</w:t>
            </w:r>
            <w:r w:rsidR="00B90B06">
              <w:t xml:space="preserve">, </w:t>
            </w:r>
            <w:r w:rsidR="00EE0254" w:rsidRPr="00EE0254">
              <w:t>Skin sensitisation – category 1</w:t>
            </w:r>
            <w:r w:rsidR="00EE0254">
              <w:t xml:space="preserve">, </w:t>
            </w:r>
          </w:p>
        </w:tc>
      </w:tr>
      <w:tr w:rsidR="00AF483F" w:rsidRPr="004C23F4" w14:paraId="0B360EF0" w14:textId="77777777" w:rsidTr="00812887">
        <w:trPr>
          <w:cantSplit/>
        </w:trPr>
        <w:tc>
          <w:tcPr>
            <w:tcW w:w="3227" w:type="dxa"/>
          </w:tcPr>
          <w:p w14:paraId="482C65C4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6A48F042" w14:textId="40B3DE16" w:rsidR="00AF483F" w:rsidRPr="00DD2F9B" w:rsidRDefault="00CA73D0" w:rsidP="00DD2F9B">
            <w:pPr>
              <w:pStyle w:val="Tablefont"/>
            </w:pPr>
            <w:proofErr w:type="spellStart"/>
            <w:r w:rsidRPr="00EE0254">
              <w:t>Carc</w:t>
            </w:r>
            <w:proofErr w:type="spellEnd"/>
            <w:r w:rsidRPr="00EE0254">
              <w:t>. Cat 3</w:t>
            </w:r>
            <w:r>
              <w:t xml:space="preserve">, </w:t>
            </w:r>
            <w:r w:rsidR="00EE0254" w:rsidRPr="00EE0254">
              <w:t>Skin sensitisation</w:t>
            </w:r>
            <w:r w:rsidR="00EE0254">
              <w:t xml:space="preserve">, </w:t>
            </w:r>
          </w:p>
        </w:tc>
      </w:tr>
      <w:tr w:rsidR="00687890" w:rsidRPr="004C23F4" w14:paraId="310BA24E" w14:textId="77777777" w:rsidTr="00812887">
        <w:trPr>
          <w:cantSplit/>
        </w:trPr>
        <w:tc>
          <w:tcPr>
            <w:tcW w:w="3227" w:type="dxa"/>
          </w:tcPr>
          <w:p w14:paraId="33E7C370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D4166A5" w14:textId="0F94F65F" w:rsidR="00687890" w:rsidRPr="00DD2F9B" w:rsidRDefault="007E1297" w:rsidP="00DD2F9B">
            <w:pPr>
              <w:pStyle w:val="Tablefont"/>
            </w:pPr>
            <w:r w:rsidRPr="007E1297">
              <w:t>Carcinogenicity – category 2</w:t>
            </w:r>
            <w:r>
              <w:t xml:space="preserve">, </w:t>
            </w:r>
            <w:r w:rsidRPr="007E1297">
              <w:t>Skin sensitisation – category 1</w:t>
            </w:r>
          </w:p>
        </w:tc>
      </w:tr>
      <w:tr w:rsidR="00E41A26" w:rsidRPr="004C23F4" w14:paraId="30B9D5ED" w14:textId="77777777" w:rsidTr="00812887">
        <w:trPr>
          <w:cantSplit/>
        </w:trPr>
        <w:tc>
          <w:tcPr>
            <w:tcW w:w="3227" w:type="dxa"/>
          </w:tcPr>
          <w:p w14:paraId="265E666D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0E8C2025" w14:textId="4B17F6D0" w:rsidR="00E41A26" w:rsidRPr="00DD2F9B" w:rsidRDefault="007E1297" w:rsidP="00DD2F9B">
            <w:pPr>
              <w:pStyle w:val="Tablefont"/>
            </w:pPr>
            <w:proofErr w:type="spellStart"/>
            <w:r w:rsidRPr="007E1297">
              <w:t>Carc</w:t>
            </w:r>
            <w:proofErr w:type="spellEnd"/>
            <w:r w:rsidRPr="007E1297">
              <w:t>. 2</w:t>
            </w:r>
            <w:r>
              <w:t xml:space="preserve">, </w:t>
            </w:r>
            <w:r w:rsidRPr="007E1297">
              <w:t>Skin Sens. 1</w:t>
            </w:r>
          </w:p>
        </w:tc>
      </w:tr>
      <w:tr w:rsidR="002E0D61" w:rsidRPr="004C23F4" w14:paraId="33E195DC" w14:textId="77777777" w:rsidTr="00812887">
        <w:trPr>
          <w:cantSplit/>
        </w:trPr>
        <w:tc>
          <w:tcPr>
            <w:tcW w:w="3227" w:type="dxa"/>
          </w:tcPr>
          <w:p w14:paraId="6450BE8F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08AB6F82" w14:textId="1F050B4B" w:rsidR="002E0D61" w:rsidRPr="00DD2F9B" w:rsidRDefault="007E129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575AACF" w14:textId="77777777" w:rsidTr="00812887">
        <w:trPr>
          <w:cantSplit/>
        </w:trPr>
        <w:tc>
          <w:tcPr>
            <w:tcW w:w="3227" w:type="dxa"/>
          </w:tcPr>
          <w:p w14:paraId="703EE545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37EE8BCB" w14:textId="11A85CC5" w:rsidR="002E0D61" w:rsidRPr="00DD2F9B" w:rsidRDefault="00CA73D0" w:rsidP="00DD2F9B">
            <w:pPr>
              <w:pStyle w:val="Tablefont"/>
            </w:pPr>
            <w:r w:rsidRPr="007E1297">
              <w:t>Carcinogenicity – 2</w:t>
            </w:r>
            <w:r>
              <w:t xml:space="preserve">, </w:t>
            </w:r>
            <w:r w:rsidR="007E1297" w:rsidRPr="007E1297">
              <w:t>H (skin)</w:t>
            </w:r>
            <w:r w:rsidR="007E1297">
              <w:t xml:space="preserve">, </w:t>
            </w:r>
            <w:proofErr w:type="spellStart"/>
            <w:r w:rsidR="007E1297" w:rsidRPr="007E1297">
              <w:t>Sh</w:t>
            </w:r>
            <w:proofErr w:type="spellEnd"/>
            <w:r w:rsidR="007E1297" w:rsidRPr="007E1297">
              <w:t xml:space="preserve"> (dermal sensitiser)</w:t>
            </w:r>
          </w:p>
        </w:tc>
      </w:tr>
      <w:tr w:rsidR="002E0D61" w:rsidRPr="004C23F4" w14:paraId="24257CC8" w14:textId="77777777" w:rsidTr="00812887">
        <w:trPr>
          <w:cantSplit/>
        </w:trPr>
        <w:tc>
          <w:tcPr>
            <w:tcW w:w="3227" w:type="dxa"/>
          </w:tcPr>
          <w:p w14:paraId="1E26ACA8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4CBA5A42" w14:textId="47467975" w:rsidR="002E0D61" w:rsidRPr="00DD2F9B" w:rsidRDefault="00EC0FB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A18E5C2" w14:textId="77777777" w:rsidTr="00812887">
        <w:trPr>
          <w:cantSplit/>
        </w:trPr>
        <w:tc>
          <w:tcPr>
            <w:tcW w:w="3227" w:type="dxa"/>
          </w:tcPr>
          <w:p w14:paraId="4D30C039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624B340E" w14:textId="4E80D393" w:rsidR="002E0D61" w:rsidRPr="00DD2F9B" w:rsidRDefault="00EC0FBD" w:rsidP="00DD2F9B">
            <w:pPr>
              <w:pStyle w:val="Tablefont"/>
            </w:pPr>
            <w:r w:rsidRPr="00EC0FBD">
              <w:t>Carcinogenicity – category 2</w:t>
            </w:r>
            <w:r>
              <w:t xml:space="preserve">, </w:t>
            </w:r>
            <w:r w:rsidRPr="00EC0FBD">
              <w:t>Skin sensitiser</w:t>
            </w:r>
          </w:p>
        </w:tc>
      </w:tr>
      <w:tr w:rsidR="00386093" w:rsidRPr="004C23F4" w14:paraId="6EEF9E60" w14:textId="77777777" w:rsidTr="00812887">
        <w:trPr>
          <w:cantSplit/>
        </w:trPr>
        <w:tc>
          <w:tcPr>
            <w:tcW w:w="3227" w:type="dxa"/>
          </w:tcPr>
          <w:p w14:paraId="28333A2A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04B2C4E" w14:textId="20E0727A" w:rsidR="00386093" w:rsidRPr="00DD2F9B" w:rsidRDefault="00EC0FBD" w:rsidP="00DD2F9B">
            <w:pPr>
              <w:pStyle w:val="Tablefont"/>
            </w:pPr>
            <w:r w:rsidRPr="00EC0FBD">
              <w:t xml:space="preserve">Carcinogenicity – Group </w:t>
            </w:r>
            <w:proofErr w:type="spellStart"/>
            <w:r w:rsidRPr="00EC0FBD">
              <w:t>2B</w:t>
            </w:r>
            <w:proofErr w:type="spellEnd"/>
          </w:p>
        </w:tc>
      </w:tr>
      <w:tr w:rsidR="00386093" w:rsidRPr="004C23F4" w14:paraId="7E1113EA" w14:textId="77777777" w:rsidTr="00812887">
        <w:trPr>
          <w:cantSplit/>
        </w:trPr>
        <w:tc>
          <w:tcPr>
            <w:tcW w:w="3227" w:type="dxa"/>
          </w:tcPr>
          <w:p w14:paraId="799BB43E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655EB9F7" w14:textId="1876D6ED" w:rsidR="00386093" w:rsidRPr="00DD2F9B" w:rsidRDefault="00EC0FBD" w:rsidP="00BE0B96">
            <w:pPr>
              <w:pStyle w:val="Tablefont"/>
            </w:pPr>
            <w:r>
              <w:t>NA</w:t>
            </w:r>
          </w:p>
        </w:tc>
      </w:tr>
    </w:tbl>
    <w:bookmarkEnd w:id="2"/>
    <w:p w14:paraId="7035FA61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1D35D89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D4F3A68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4B84C2E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3304B7E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53807C60" w14:textId="7A1292B5" w:rsidR="00932DCE" w:rsidRPr="004C23F4" w:rsidRDefault="00FE30FF" w:rsidP="00F9496B">
            <w:pPr>
              <w:pStyle w:val="Tablefont"/>
            </w:pPr>
            <w:r w:rsidRPr="00FE30FF">
              <w:t>Insufficient data to assign a skin notation</w:t>
            </w:r>
            <w:r w:rsidR="008B27AA">
              <w:t>.</w:t>
            </w:r>
          </w:p>
        </w:tc>
      </w:tr>
    </w:tbl>
    <w:bookmarkEnd w:id="3"/>
    <w:p w14:paraId="6ECCC15D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3B15C5EC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0230D84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BCA4DC2" w14:textId="40DE3E64" w:rsidR="00EB3D1B" w:rsidRDefault="000121E5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4D56BC49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3DD79D3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3821649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009DB93A" w14:textId="2E438606" w:rsidR="001B79E5" w:rsidRDefault="00EC0FBD" w:rsidP="001B79E5">
                <w:pPr>
                  <w:pStyle w:val="Tablefont"/>
                </w:pPr>
                <w:r w:rsidRPr="00EC0FBD">
                  <w:t>222.24</w:t>
                </w:r>
              </w:p>
            </w:tc>
          </w:sdtContent>
        </w:sdt>
      </w:tr>
      <w:tr w:rsidR="00A31D99" w:rsidRPr="004C23F4" w14:paraId="3D0FC17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3B73B33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7766C7E6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1A0519B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07E8080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01468CC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BD07061" w14:textId="77777777" w:rsidTr="00EA6243">
        <w:trPr>
          <w:cantSplit/>
        </w:trPr>
        <w:tc>
          <w:tcPr>
            <w:tcW w:w="4077" w:type="dxa"/>
            <w:vAlign w:val="center"/>
          </w:tcPr>
          <w:p w14:paraId="50B8B036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84CF7EF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B6AD4EA" w14:textId="77777777" w:rsidTr="00EA6243">
        <w:trPr>
          <w:cantSplit/>
        </w:trPr>
        <w:tc>
          <w:tcPr>
            <w:tcW w:w="4077" w:type="dxa"/>
            <w:vAlign w:val="center"/>
          </w:tcPr>
          <w:p w14:paraId="267409F0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CAE07B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FB06BEF" w14:textId="77777777" w:rsidTr="00EA6243">
        <w:trPr>
          <w:cantSplit/>
        </w:trPr>
        <w:tc>
          <w:tcPr>
            <w:tcW w:w="4077" w:type="dxa"/>
            <w:vAlign w:val="center"/>
          </w:tcPr>
          <w:p w14:paraId="5C770240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C9E4B02" w14:textId="77777777" w:rsidR="00E06F40" w:rsidRPr="00A006A0" w:rsidRDefault="00AF2D23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6E29925A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E41D32E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BE0816D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ED220D0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A432E48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E4F8339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B69F0AE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5E536FB9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1F1F7CE" w14:textId="250A6F61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1C5F994F" w14:textId="6BDAE9EE" w:rsidR="00EC0FBD" w:rsidRDefault="00EC0FBD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(2006) </w:t>
      </w:r>
      <w:proofErr w:type="spellStart"/>
      <w:r w:rsidRPr="00EC0FBD">
        <w:t>Diglycidylresorcinether</w:t>
      </w:r>
      <w:proofErr w:type="spellEnd"/>
      <w:r>
        <w:t xml:space="preserve"> – MAK value documentation.</w:t>
      </w:r>
    </w:p>
    <w:p w14:paraId="2D86D5C8" w14:textId="4D928B10" w:rsidR="00EC0FBD" w:rsidRDefault="00EC0FBD" w:rsidP="00084859">
      <w:r>
        <w:t xml:space="preserve">European Chemicals Agency (ECHA) (2019) </w:t>
      </w:r>
      <w:proofErr w:type="spellStart"/>
      <w:r w:rsidRPr="00EC0FBD">
        <w:t>Diglycidyl</w:t>
      </w:r>
      <w:proofErr w:type="spellEnd"/>
      <w:r w:rsidRPr="00EC0FBD">
        <w:t xml:space="preserve"> resorcinol ether</w:t>
      </w:r>
      <w:r>
        <w:t>– REACH assessment.</w:t>
      </w:r>
    </w:p>
    <w:p w14:paraId="5A5219CA" w14:textId="77777777" w:rsidR="00FE30FF" w:rsidRDefault="00FE30FF" w:rsidP="00FE30FF">
      <w:r w:rsidRPr="002022B6">
        <w:t>Health Council of the Netherlands</w:t>
      </w:r>
      <w:r>
        <w:t xml:space="preserve"> (</w:t>
      </w:r>
      <w:proofErr w:type="spellStart"/>
      <w:r>
        <w:t>HCOTN</w:t>
      </w:r>
      <w:proofErr w:type="spellEnd"/>
      <w:r>
        <w:t xml:space="preserve">) (1999) </w:t>
      </w:r>
      <w:proofErr w:type="spellStart"/>
      <w:r w:rsidRPr="00EC0FBD">
        <w:t>Diglycidyl</w:t>
      </w:r>
      <w:proofErr w:type="spellEnd"/>
      <w:r w:rsidRPr="00EC0FBD">
        <w:t xml:space="preserve"> resorcinol ether (</w:t>
      </w:r>
      <w:proofErr w:type="spellStart"/>
      <w:r w:rsidRPr="00EC0FBD">
        <w:t>DGRE</w:t>
      </w:r>
      <w:proofErr w:type="spellEnd"/>
      <w:r w:rsidRPr="00EC0FBD">
        <w:t>)</w:t>
      </w:r>
      <w:r w:rsidRPr="005F7416">
        <w:t>. Health-based calculated occupational cancer risk values. The Hague: Health Council of t</w:t>
      </w:r>
      <w:r>
        <w:t xml:space="preserve">he Netherlands; publication no. </w:t>
      </w:r>
      <w:r w:rsidRPr="00EC0FBD">
        <w:t>1999/</w:t>
      </w:r>
      <w:proofErr w:type="spellStart"/>
      <w:r w:rsidRPr="00EC0FBD">
        <w:t>09OSH</w:t>
      </w:r>
      <w:proofErr w:type="spellEnd"/>
      <w:r>
        <w:t>.</w:t>
      </w:r>
    </w:p>
    <w:p w14:paraId="0162352C" w14:textId="228B0921" w:rsidR="00EC0FBD" w:rsidRDefault="00EC0FBD" w:rsidP="00084859">
      <w:r w:rsidRPr="002022B6">
        <w:t>International Agency for Research on Cancer</w:t>
      </w:r>
      <w:r>
        <w:t xml:space="preserve"> (IARC) (</w:t>
      </w:r>
      <w:r w:rsidRPr="00EC0FBD">
        <w:t>1999</w:t>
      </w:r>
      <w:r>
        <w:t xml:space="preserve">) </w:t>
      </w:r>
      <w:proofErr w:type="spellStart"/>
      <w:r w:rsidRPr="00EC0FBD">
        <w:t>Diglycidyl</w:t>
      </w:r>
      <w:proofErr w:type="spellEnd"/>
      <w:r w:rsidRPr="00EC0FBD">
        <w:t xml:space="preserve"> resorcinol ether</w:t>
      </w:r>
      <w:r>
        <w:t>. IARC Monographs on the evaluation of the carcinogenic risk to humans.</w:t>
      </w:r>
    </w:p>
    <w:p w14:paraId="4AEA0823" w14:textId="6608FD2E" w:rsidR="00EE0254" w:rsidRDefault="00EE0254" w:rsidP="00EE0254">
      <w:r>
        <w:t>National Industrial Chemicals Notification and Assessment Scheme (</w:t>
      </w:r>
      <w:proofErr w:type="spellStart"/>
      <w:r>
        <w:t>NICNAS</w:t>
      </w:r>
      <w:proofErr w:type="spellEnd"/>
      <w:r>
        <w:t>) (2015)</w:t>
      </w:r>
      <w:r w:rsidR="00A71C84">
        <w:t xml:space="preserve"> </w:t>
      </w:r>
      <w:proofErr w:type="spellStart"/>
      <w:r>
        <w:t>Diglycidyl</w:t>
      </w:r>
      <w:proofErr w:type="spellEnd"/>
      <w:r>
        <w:t xml:space="preserve"> resorcinol ether: Human health tier II assessment – IMAP report.</w:t>
      </w:r>
    </w:p>
    <w:p w14:paraId="65E03549" w14:textId="77777777" w:rsidR="00FE30FF" w:rsidRDefault="00FE30FF" w:rsidP="00FE30FF">
      <w:r w:rsidRPr="0035432C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01E5BF15" w14:textId="77777777" w:rsidR="00FE30FF" w:rsidRPr="00351FE0" w:rsidRDefault="00FE30FF" w:rsidP="00EE0254"/>
    <w:sectPr w:rsidR="00FE30F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320501" w14:textId="77777777" w:rsidR="00343033" w:rsidRDefault="00343033" w:rsidP="00F43AD5">
      <w:pPr>
        <w:spacing w:after="0" w:line="240" w:lineRule="auto"/>
      </w:pPr>
      <w:r>
        <w:separator/>
      </w:r>
    </w:p>
  </w:endnote>
  <w:endnote w:type="continuationSeparator" w:id="0">
    <w:p w14:paraId="6F0D96E6" w14:textId="77777777" w:rsidR="00343033" w:rsidRDefault="00343033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8B758E7" w14:textId="7514D488" w:rsidR="008A36CF" w:rsidRDefault="007174B5" w:rsidP="0034744C">
        <w:pPr>
          <w:pStyle w:val="Footer"/>
          <w:rPr>
            <w:sz w:val="18"/>
            <w:szCs w:val="18"/>
          </w:rPr>
        </w:pPr>
        <w:proofErr w:type="spellStart"/>
        <w:r w:rsidRPr="007174B5">
          <w:rPr>
            <w:b/>
            <w:sz w:val="18"/>
            <w:szCs w:val="18"/>
          </w:rPr>
          <w:t>Diglycidyl</w:t>
        </w:r>
        <w:proofErr w:type="spellEnd"/>
        <w:r w:rsidRPr="007174B5">
          <w:rPr>
            <w:b/>
            <w:sz w:val="18"/>
            <w:szCs w:val="18"/>
          </w:rPr>
          <w:t xml:space="preserve"> resorcinol ether</w:t>
        </w:r>
        <w:r w:rsidR="008A36CF">
          <w:rPr>
            <w:b/>
            <w:sz w:val="18"/>
            <w:szCs w:val="18"/>
          </w:rPr>
          <w:t xml:space="preserve"> (</w:t>
        </w:r>
        <w:r w:rsidRPr="007174B5">
          <w:rPr>
            <w:b/>
            <w:sz w:val="18"/>
            <w:szCs w:val="18"/>
          </w:rPr>
          <w:t>101-90-6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3CDA6A4A" w14:textId="238B5DC6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601B71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5BEA0" w14:textId="77777777" w:rsidR="00343033" w:rsidRDefault="00343033" w:rsidP="00F43AD5">
      <w:pPr>
        <w:spacing w:after="0" w:line="240" w:lineRule="auto"/>
      </w:pPr>
      <w:r>
        <w:separator/>
      </w:r>
    </w:p>
  </w:footnote>
  <w:footnote w:type="continuationSeparator" w:id="0">
    <w:p w14:paraId="4BEF692A" w14:textId="77777777" w:rsidR="00343033" w:rsidRDefault="00343033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22D67" w14:textId="028E5A35" w:rsidR="006673EB" w:rsidRDefault="006673EB" w:rsidP="006673EB">
    <w:pPr>
      <w:pStyle w:val="Header"/>
      <w:jc w:val="right"/>
    </w:pPr>
    <w:r>
      <w:rPr>
        <w:noProof/>
        <w:lang w:eastAsia="en-AU"/>
      </w:rPr>
      <w:drawing>
        <wp:inline distT="0" distB="0" distL="0" distR="0" wp14:anchorId="40F5D110" wp14:editId="441A5DE1">
          <wp:extent cx="2945130" cy="595630"/>
          <wp:effectExtent l="0" t="0" r="762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AE2332E" w14:textId="033D031B" w:rsidR="008A36CF" w:rsidRPr="006673EB" w:rsidRDefault="008A36CF" w:rsidP="006673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C8D76" w14:textId="3556A6F3" w:rsidR="006673EB" w:rsidRDefault="006673EB" w:rsidP="006673EB">
    <w:pPr>
      <w:pStyle w:val="Header"/>
      <w:jc w:val="right"/>
    </w:pPr>
    <w:r>
      <w:rPr>
        <w:noProof/>
        <w:lang w:eastAsia="en-AU"/>
      </w:rPr>
      <w:drawing>
        <wp:inline distT="0" distB="0" distL="0" distR="0" wp14:anchorId="0D179F72" wp14:editId="42CCEA96">
          <wp:extent cx="2945130" cy="595630"/>
          <wp:effectExtent l="0" t="0" r="762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9BD1062" w14:textId="7BF3B380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EF6317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45544323">
    <w:abstractNumId w:val="0"/>
  </w:num>
  <w:num w:numId="2" w16cid:durableId="1507863698">
    <w:abstractNumId w:val="0"/>
  </w:num>
  <w:num w:numId="3" w16cid:durableId="1073042806">
    <w:abstractNumId w:val="0"/>
  </w:num>
  <w:num w:numId="4" w16cid:durableId="1781759737">
    <w:abstractNumId w:val="0"/>
  </w:num>
  <w:num w:numId="5" w16cid:durableId="521086809">
    <w:abstractNumId w:val="0"/>
  </w:num>
  <w:num w:numId="6" w16cid:durableId="1390032135">
    <w:abstractNumId w:val="0"/>
  </w:num>
  <w:num w:numId="7" w16cid:durableId="753094267">
    <w:abstractNumId w:val="0"/>
  </w:num>
  <w:num w:numId="8" w16cid:durableId="1037313184">
    <w:abstractNumId w:val="0"/>
  </w:num>
  <w:num w:numId="9" w16cid:durableId="350643416">
    <w:abstractNumId w:val="0"/>
  </w:num>
  <w:num w:numId="10" w16cid:durableId="961299799">
    <w:abstractNumId w:val="0"/>
  </w:num>
  <w:num w:numId="11" w16cid:durableId="1468936242">
    <w:abstractNumId w:val="0"/>
  </w:num>
  <w:num w:numId="12" w16cid:durableId="1398286255">
    <w:abstractNumId w:val="0"/>
  </w:num>
  <w:num w:numId="13" w16cid:durableId="3983347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20AD"/>
    <w:rsid w:val="00007B80"/>
    <w:rsid w:val="000121E5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C5D33"/>
    <w:rsid w:val="000D291C"/>
    <w:rsid w:val="000E5A54"/>
    <w:rsid w:val="000E5E83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848D4"/>
    <w:rsid w:val="001A009E"/>
    <w:rsid w:val="001A1287"/>
    <w:rsid w:val="001A3859"/>
    <w:rsid w:val="001A3C9D"/>
    <w:rsid w:val="001A43F8"/>
    <w:rsid w:val="001B6A43"/>
    <w:rsid w:val="001B79E5"/>
    <w:rsid w:val="001D56F0"/>
    <w:rsid w:val="001D663B"/>
    <w:rsid w:val="001D7B41"/>
    <w:rsid w:val="001E46DA"/>
    <w:rsid w:val="001E7D80"/>
    <w:rsid w:val="001F0AAA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35DE"/>
    <w:rsid w:val="00276494"/>
    <w:rsid w:val="00277B0C"/>
    <w:rsid w:val="002A09ED"/>
    <w:rsid w:val="002B1A2C"/>
    <w:rsid w:val="002C34F2"/>
    <w:rsid w:val="002C58FF"/>
    <w:rsid w:val="002C7AFE"/>
    <w:rsid w:val="002D05D2"/>
    <w:rsid w:val="002E0D61"/>
    <w:rsid w:val="002E3BEF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3033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3F41FC"/>
    <w:rsid w:val="004030BC"/>
    <w:rsid w:val="00403F7D"/>
    <w:rsid w:val="004065AB"/>
    <w:rsid w:val="00406785"/>
    <w:rsid w:val="004079B4"/>
    <w:rsid w:val="00417A56"/>
    <w:rsid w:val="00420957"/>
    <w:rsid w:val="00422A10"/>
    <w:rsid w:val="00423660"/>
    <w:rsid w:val="00430179"/>
    <w:rsid w:val="00435237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1B71"/>
    <w:rsid w:val="0060669E"/>
    <w:rsid w:val="00610F2E"/>
    <w:rsid w:val="00611399"/>
    <w:rsid w:val="00624C4E"/>
    <w:rsid w:val="00625200"/>
    <w:rsid w:val="006363A8"/>
    <w:rsid w:val="00636DB7"/>
    <w:rsid w:val="0064006E"/>
    <w:rsid w:val="00650905"/>
    <w:rsid w:val="006532ED"/>
    <w:rsid w:val="006549F2"/>
    <w:rsid w:val="006567B7"/>
    <w:rsid w:val="00657BFB"/>
    <w:rsid w:val="0066333C"/>
    <w:rsid w:val="0066354C"/>
    <w:rsid w:val="006639B4"/>
    <w:rsid w:val="006650FE"/>
    <w:rsid w:val="006673EB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4B5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33B5"/>
    <w:rsid w:val="007B1B42"/>
    <w:rsid w:val="007C30EB"/>
    <w:rsid w:val="007E063C"/>
    <w:rsid w:val="007E1297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27AA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DF5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71C84"/>
    <w:rsid w:val="00A84504"/>
    <w:rsid w:val="00A8672F"/>
    <w:rsid w:val="00A93057"/>
    <w:rsid w:val="00A968B0"/>
    <w:rsid w:val="00AB2672"/>
    <w:rsid w:val="00AB2817"/>
    <w:rsid w:val="00AB43C4"/>
    <w:rsid w:val="00AB688C"/>
    <w:rsid w:val="00AC0E3F"/>
    <w:rsid w:val="00AC32E7"/>
    <w:rsid w:val="00AC3A9F"/>
    <w:rsid w:val="00AC6D2F"/>
    <w:rsid w:val="00AE2745"/>
    <w:rsid w:val="00AE2F64"/>
    <w:rsid w:val="00AF2D23"/>
    <w:rsid w:val="00AF42CB"/>
    <w:rsid w:val="00AF483F"/>
    <w:rsid w:val="00AF5E07"/>
    <w:rsid w:val="00AF5F06"/>
    <w:rsid w:val="00B00A25"/>
    <w:rsid w:val="00B04674"/>
    <w:rsid w:val="00B1422A"/>
    <w:rsid w:val="00B1765C"/>
    <w:rsid w:val="00B213C4"/>
    <w:rsid w:val="00B30415"/>
    <w:rsid w:val="00B40C60"/>
    <w:rsid w:val="00B43601"/>
    <w:rsid w:val="00B479A9"/>
    <w:rsid w:val="00B52EDF"/>
    <w:rsid w:val="00B71188"/>
    <w:rsid w:val="00B76A41"/>
    <w:rsid w:val="00B87D4C"/>
    <w:rsid w:val="00B90B06"/>
    <w:rsid w:val="00B93646"/>
    <w:rsid w:val="00BA0B38"/>
    <w:rsid w:val="00BA1DBB"/>
    <w:rsid w:val="00BA4510"/>
    <w:rsid w:val="00BA529A"/>
    <w:rsid w:val="00BB612A"/>
    <w:rsid w:val="00BD499F"/>
    <w:rsid w:val="00BD56DE"/>
    <w:rsid w:val="00BE0B96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43E"/>
    <w:rsid w:val="00C7155E"/>
    <w:rsid w:val="00C71D1E"/>
    <w:rsid w:val="00C71D7D"/>
    <w:rsid w:val="00C74833"/>
    <w:rsid w:val="00C850A0"/>
    <w:rsid w:val="00C85A86"/>
    <w:rsid w:val="00C978F0"/>
    <w:rsid w:val="00CA58FE"/>
    <w:rsid w:val="00CA73D0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767DB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A40"/>
    <w:rsid w:val="00E02B23"/>
    <w:rsid w:val="00E06F40"/>
    <w:rsid w:val="00E07CE8"/>
    <w:rsid w:val="00E10557"/>
    <w:rsid w:val="00E26A07"/>
    <w:rsid w:val="00E32595"/>
    <w:rsid w:val="00E37CFD"/>
    <w:rsid w:val="00E41A26"/>
    <w:rsid w:val="00E46BCB"/>
    <w:rsid w:val="00E51CAF"/>
    <w:rsid w:val="00E60F04"/>
    <w:rsid w:val="00E62AAC"/>
    <w:rsid w:val="00E6700C"/>
    <w:rsid w:val="00E6770E"/>
    <w:rsid w:val="00E67C2F"/>
    <w:rsid w:val="00E67EF5"/>
    <w:rsid w:val="00E804EA"/>
    <w:rsid w:val="00E80A71"/>
    <w:rsid w:val="00E82337"/>
    <w:rsid w:val="00E863E5"/>
    <w:rsid w:val="00E92499"/>
    <w:rsid w:val="00E949AF"/>
    <w:rsid w:val="00E96077"/>
    <w:rsid w:val="00EA0A06"/>
    <w:rsid w:val="00EA6243"/>
    <w:rsid w:val="00EA74AB"/>
    <w:rsid w:val="00EB2138"/>
    <w:rsid w:val="00EB3D1B"/>
    <w:rsid w:val="00EC0FBD"/>
    <w:rsid w:val="00ED1D89"/>
    <w:rsid w:val="00ED22EB"/>
    <w:rsid w:val="00ED66BC"/>
    <w:rsid w:val="00EE0254"/>
    <w:rsid w:val="00EE42A1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3129"/>
    <w:rsid w:val="00F87D92"/>
    <w:rsid w:val="00F90AA7"/>
    <w:rsid w:val="00F92498"/>
    <w:rsid w:val="00F9496B"/>
    <w:rsid w:val="00F970C9"/>
    <w:rsid w:val="00FA06A8"/>
    <w:rsid w:val="00FA3DF5"/>
    <w:rsid w:val="00FA4F32"/>
    <w:rsid w:val="00FA741F"/>
    <w:rsid w:val="00FB4E07"/>
    <w:rsid w:val="00FB755A"/>
    <w:rsid w:val="00FC60A2"/>
    <w:rsid w:val="00FD16AE"/>
    <w:rsid w:val="00FD1871"/>
    <w:rsid w:val="00FD3110"/>
    <w:rsid w:val="00FE30FF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AB688C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E3B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3BE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3BE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3B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3BEF"/>
    <w:rPr>
      <w:b/>
      <w:bCs/>
      <w:szCs w:val="20"/>
    </w:rPr>
  </w:style>
  <w:style w:type="paragraph" w:styleId="Revision">
    <w:name w:val="Revision"/>
    <w:hidden/>
    <w:uiPriority w:val="99"/>
    <w:semiHidden/>
    <w:rsid w:val="000121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2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256EE"/>
    <w:rsid w:val="00475E51"/>
    <w:rsid w:val="007A33B5"/>
    <w:rsid w:val="008D2B86"/>
    <w:rsid w:val="00C20928"/>
    <w:rsid w:val="00D21A9F"/>
    <w:rsid w:val="00D66CA7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66CA7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B474C5-5F1E-45D5-83B3-1EA471633D23}">
  <ds:schemaRefs>
    <ds:schemaRef ds:uri="http://www.w3.org/XML/1998/namespace"/>
    <ds:schemaRef ds:uri="http://schemas.microsoft.com/office/2006/documentManagement/types"/>
    <ds:schemaRef ds:uri="a0509f21-ed56-4150-9955-96be669e5f2d"/>
    <ds:schemaRef ds:uri="http://purl.org/dc/dcmitype/"/>
    <ds:schemaRef ds:uri="http://schemas.microsoft.com/office/2006/metadata/properties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1c567317-0c4d-4a62-8516-c22afd1b5354"/>
  </ds:schemaRefs>
</ds:datastoreItem>
</file>

<file path=customXml/itemProps2.xml><?xml version="1.0" encoding="utf-8"?>
<ds:datastoreItem xmlns:ds="http://schemas.openxmlformats.org/officeDocument/2006/customXml" ds:itemID="{F01B2A8C-9350-491A-984E-7389D47C29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C81923-81C9-4485-A6A3-0B0275F75FC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1019F-B299-4FAB-98D0-A05D2368D9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956</Words>
  <Characters>5326</Characters>
  <Application>Microsoft Office Word</Application>
  <DocSecurity>0</DocSecurity>
  <Lines>204</Lines>
  <Paragraphs>174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2019-10-29T22:06:00Z</dcterms:created>
  <dcterms:modified xsi:type="dcterms:W3CDTF">2026-01-08T23:09:00Z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2025-12-22T05:18:35Z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22658b3b-04dd-4c82-9a5c-bff8e19363c1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