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1B2766B" w14:textId="77777777" w:rsidR="00BD499F" w:rsidRPr="004C23F4" w:rsidRDefault="004253F1" w:rsidP="00B40C60">
          <w:pPr>
            <w:pStyle w:val="Heading1"/>
            <w:jc w:val="center"/>
            <w:rPr>
              <w:rFonts w:ascii="Arial" w:hAnsi="Arial" w:cs="Arial"/>
            </w:rPr>
          </w:pPr>
          <w:r w:rsidDel="00EF258C">
            <w:rPr>
              <w:rFonts w:ascii="Arial" w:hAnsi="Arial" w:cs="Arial"/>
            </w:rPr>
            <w:t>diesel engine emissions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F43AD5" w:rsidRPr="004C23F4" w14:paraId="09B8BFAD" w14:textId="77777777" w:rsidTr="00B76A41">
        <w:trPr>
          <w:cantSplit/>
          <w:tblHeader/>
        </w:trPr>
        <w:tc>
          <w:tcPr>
            <w:tcW w:w="4077" w:type="dxa"/>
          </w:tcPr>
          <w:p w14:paraId="7675BE16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1E0A3C51" w14:textId="77777777" w:rsidR="00F43AD5" w:rsidRPr="00717D45" w:rsidRDefault="004253F1" w:rsidP="00B76A41">
            <w:pPr>
              <w:pStyle w:val="Tablefont"/>
            </w:pPr>
            <w:r w:rsidRPr="004253F1">
              <w:t>—</w:t>
            </w:r>
          </w:p>
        </w:tc>
      </w:tr>
      <w:tr w:rsidR="00F43AD5" w:rsidRPr="004C23F4" w14:paraId="50EA2FF9" w14:textId="77777777" w:rsidTr="00B76A41">
        <w:trPr>
          <w:cantSplit/>
        </w:trPr>
        <w:tc>
          <w:tcPr>
            <w:tcW w:w="4077" w:type="dxa"/>
          </w:tcPr>
          <w:p w14:paraId="0F9E17EF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F08D543" w14:textId="77777777" w:rsidR="00F43AD5" w:rsidRPr="00717D45" w:rsidRDefault="004253F1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7859DC1D" w14:textId="77777777" w:rsidTr="00B76A41">
        <w:trPr>
          <w:cantSplit/>
        </w:trPr>
        <w:tc>
          <w:tcPr>
            <w:tcW w:w="4077" w:type="dxa"/>
          </w:tcPr>
          <w:p w14:paraId="433F4BFB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E52C4EE" w14:textId="77777777" w:rsidR="00F43AD5" w:rsidRPr="00717D45" w:rsidRDefault="004253F1" w:rsidP="00B76A41">
            <w:pPr>
              <w:pStyle w:val="Tablefont"/>
            </w:pPr>
            <w:r>
              <w:t>—</w:t>
            </w:r>
          </w:p>
        </w:tc>
      </w:tr>
      <w:tr w:rsidR="00F43AD5" w:rsidRPr="004C23F4" w14:paraId="622807C9" w14:textId="77777777" w:rsidTr="00B76A41">
        <w:trPr>
          <w:cantSplit/>
        </w:trPr>
        <w:tc>
          <w:tcPr>
            <w:tcW w:w="4077" w:type="dxa"/>
          </w:tcPr>
          <w:p w14:paraId="2A5E35E7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7B46B203" w14:textId="77777777" w:rsidR="00F43AD5" w:rsidRPr="00B40C60" w:rsidRDefault="004253F1" w:rsidP="00B76A41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34BF9D09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EF258C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1"/>
        <w:gridCol w:w="5015"/>
      </w:tblGrid>
      <w:tr w:rsidR="001058C3" w:rsidRPr="004C23F4" w14:paraId="4F6BF307" w14:textId="77777777" w:rsidTr="00465DE1">
        <w:trPr>
          <w:cantSplit/>
          <w:tblHeader/>
        </w:trPr>
        <w:tc>
          <w:tcPr>
            <w:tcW w:w="4011" w:type="dxa"/>
            <w:vAlign w:val="center"/>
          </w:tcPr>
          <w:p w14:paraId="35F83524" w14:textId="77777777" w:rsidR="001058C3" w:rsidRPr="002C58FF" w:rsidRDefault="001058C3" w:rsidP="001058C3">
            <w:pPr>
              <w:pStyle w:val="Tablerowright"/>
            </w:pPr>
            <w:r>
              <w:t>TWA:</w:t>
            </w:r>
          </w:p>
        </w:tc>
        <w:tc>
          <w:tcPr>
            <w:tcW w:w="5015" w:type="dxa"/>
          </w:tcPr>
          <w:p w14:paraId="0E1B7BE0" w14:textId="77777777" w:rsidR="001058C3" w:rsidRPr="00C806B5" w:rsidRDefault="001058C3" w:rsidP="001058C3">
            <w:pPr>
              <w:spacing w:after="0"/>
              <w:rPr>
                <w:b/>
              </w:rPr>
            </w:pPr>
            <w:r w:rsidRPr="00EC5FDC">
              <w:t>—</w:t>
            </w:r>
          </w:p>
        </w:tc>
      </w:tr>
      <w:tr w:rsidR="001058C3" w:rsidRPr="004C23F4" w14:paraId="4A31DCC7" w14:textId="77777777" w:rsidTr="004253F1">
        <w:trPr>
          <w:cantSplit/>
        </w:trPr>
        <w:tc>
          <w:tcPr>
            <w:tcW w:w="4011" w:type="dxa"/>
            <w:vAlign w:val="center"/>
          </w:tcPr>
          <w:p w14:paraId="7B572549" w14:textId="77777777" w:rsidR="001058C3" w:rsidRPr="002C58FF" w:rsidRDefault="001058C3" w:rsidP="001058C3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5" w:type="dxa"/>
          </w:tcPr>
          <w:p w14:paraId="593E683D" w14:textId="77777777" w:rsidR="001058C3" w:rsidRDefault="001058C3" w:rsidP="001058C3">
            <w:pPr>
              <w:spacing w:after="0"/>
            </w:pPr>
            <w:r w:rsidRPr="00EC5FDC">
              <w:t>—</w:t>
            </w:r>
          </w:p>
        </w:tc>
      </w:tr>
      <w:tr w:rsidR="001058C3" w:rsidRPr="004C23F4" w14:paraId="48755751" w14:textId="77777777" w:rsidTr="004253F1">
        <w:trPr>
          <w:cantSplit/>
        </w:trPr>
        <w:tc>
          <w:tcPr>
            <w:tcW w:w="4011" w:type="dxa"/>
            <w:vAlign w:val="center"/>
          </w:tcPr>
          <w:p w14:paraId="75EF985B" w14:textId="77777777" w:rsidR="001058C3" w:rsidRPr="002C58FF" w:rsidRDefault="001058C3" w:rsidP="001058C3">
            <w:pPr>
              <w:pStyle w:val="Tablerowright"/>
            </w:pPr>
            <w:r>
              <w:t>Peak limitation:</w:t>
            </w:r>
          </w:p>
        </w:tc>
        <w:tc>
          <w:tcPr>
            <w:tcW w:w="5015" w:type="dxa"/>
          </w:tcPr>
          <w:p w14:paraId="03B4C1A4" w14:textId="77777777" w:rsidR="001058C3" w:rsidRDefault="001058C3" w:rsidP="001058C3">
            <w:pPr>
              <w:spacing w:after="0"/>
            </w:pPr>
            <w:r w:rsidRPr="00EC5FDC">
              <w:t>—</w:t>
            </w:r>
          </w:p>
        </w:tc>
      </w:tr>
      <w:tr w:rsidR="001058C3" w:rsidRPr="004C23F4" w14:paraId="657FDD67" w14:textId="77777777" w:rsidTr="004253F1">
        <w:trPr>
          <w:cantSplit/>
        </w:trPr>
        <w:tc>
          <w:tcPr>
            <w:tcW w:w="4011" w:type="dxa"/>
          </w:tcPr>
          <w:p w14:paraId="58A394BE" w14:textId="77777777" w:rsidR="001058C3" w:rsidRPr="002C58FF" w:rsidRDefault="001058C3" w:rsidP="001058C3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5" w:type="dxa"/>
          </w:tcPr>
          <w:p w14:paraId="168E2075" w14:textId="77777777" w:rsidR="001058C3" w:rsidRDefault="001058C3" w:rsidP="001058C3">
            <w:pPr>
              <w:spacing w:after="0"/>
            </w:pPr>
            <w:r w:rsidRPr="00EC5FDC">
              <w:t>—</w:t>
            </w:r>
          </w:p>
        </w:tc>
      </w:tr>
      <w:tr w:rsidR="001058C3" w:rsidRPr="004C23F4" w14:paraId="0813935C" w14:textId="77777777" w:rsidTr="004253F1">
        <w:trPr>
          <w:cantSplit/>
        </w:trPr>
        <w:tc>
          <w:tcPr>
            <w:tcW w:w="4011" w:type="dxa"/>
            <w:vAlign w:val="center"/>
          </w:tcPr>
          <w:p w14:paraId="755D9B65" w14:textId="77777777" w:rsidR="001058C3" w:rsidRPr="002C58FF" w:rsidRDefault="001058C3" w:rsidP="001058C3">
            <w:pPr>
              <w:pStyle w:val="Tablerowright"/>
            </w:pPr>
            <w:r>
              <w:t>IDLH:</w:t>
            </w:r>
          </w:p>
        </w:tc>
        <w:tc>
          <w:tcPr>
            <w:tcW w:w="5015" w:type="dxa"/>
          </w:tcPr>
          <w:p w14:paraId="231F6FDF" w14:textId="77777777" w:rsidR="001058C3" w:rsidRDefault="001058C3" w:rsidP="001058C3">
            <w:pPr>
              <w:spacing w:after="0"/>
            </w:pPr>
            <w:r w:rsidRPr="00EC5FDC">
              <w:t>—</w:t>
            </w:r>
          </w:p>
        </w:tc>
      </w:tr>
      <w:tr w:rsidR="001058C3" w:rsidRPr="004C23F4" w14:paraId="5977E799" w14:textId="77777777" w:rsidTr="00A220DA">
        <w:trPr>
          <w:cantSplit/>
          <w:trHeight w:val="513"/>
        </w:trPr>
        <w:tc>
          <w:tcPr>
            <w:tcW w:w="9026" w:type="dxa"/>
            <w:gridSpan w:val="2"/>
            <w:vAlign w:val="center"/>
          </w:tcPr>
          <w:p w14:paraId="7208DFA0" w14:textId="7F3FB84B" w:rsidR="001058C3" w:rsidRDefault="001058C3" w:rsidP="00BD7CA8">
            <w:pPr>
              <w:spacing w:after="0"/>
            </w:pPr>
            <w:r w:rsidRPr="00C806B5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</w:p>
        </w:tc>
      </w:tr>
    </w:tbl>
    <w:p w14:paraId="67FCB6C4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4FC6367" w14:textId="77777777" w:rsidR="007E14EA" w:rsidRDefault="009C3942" w:rsidP="007E14EA">
      <w:r>
        <w:t>There are i</w:t>
      </w:r>
      <w:r w:rsidR="00AE683F">
        <w:t xml:space="preserve">nsufficient </w:t>
      </w:r>
      <w:r w:rsidR="008A66B0">
        <w:t>data available</w:t>
      </w:r>
      <w:r w:rsidR="00AE683F">
        <w:t xml:space="preserve"> to recommend a </w:t>
      </w:r>
      <w:r w:rsidR="008A66B0">
        <w:t xml:space="preserve">suitable </w:t>
      </w:r>
      <w:r w:rsidR="00AE683F">
        <w:t>TWA</w:t>
      </w:r>
      <w:r w:rsidR="007E14EA">
        <w:t>.</w:t>
      </w:r>
    </w:p>
    <w:p w14:paraId="417E5D54" w14:textId="77777777" w:rsidR="00EF258C" w:rsidRPr="004C23F4" w:rsidRDefault="007705F3" w:rsidP="007E14EA">
      <w:pPr>
        <w:rPr>
          <w:rFonts w:cs="Arial"/>
        </w:rPr>
      </w:pPr>
      <w:r>
        <w:t>Given the</w:t>
      </w:r>
      <w:r w:rsidRPr="007705F3">
        <w:t xml:space="preserve"> data available from the primary sources, it is recommended that a review of additional sources be conducted a</w:t>
      </w:r>
      <w:r>
        <w:t>s priority a</w:t>
      </w:r>
      <w:r w:rsidRPr="007705F3">
        <w:t>t the next scheduled review</w:t>
      </w:r>
      <w:r w:rsidR="00EF258C">
        <w:t>.</w:t>
      </w:r>
    </w:p>
    <w:p w14:paraId="27CF4379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55C3845" w14:textId="3E707990" w:rsidR="007E024F" w:rsidRDefault="00434101" w:rsidP="00D50D47">
      <w:pPr>
        <w:pStyle w:val="ListBullet"/>
        <w:numPr>
          <w:ilvl w:val="0"/>
          <w:numId w:val="0"/>
        </w:numPr>
      </w:pPr>
      <w:r w:rsidRPr="00434101">
        <w:rPr>
          <w:rFonts w:cs="Arial"/>
        </w:rPr>
        <w:t>Emissions</w:t>
      </w:r>
      <w:r>
        <w:rPr>
          <w:rFonts w:cs="Arial"/>
        </w:rPr>
        <w:t xml:space="preserve"> from diesel engines consist of a m</w:t>
      </w:r>
      <w:r w:rsidRPr="00434101">
        <w:rPr>
          <w:rFonts w:cs="Arial"/>
        </w:rPr>
        <w:t>ixture of hundreds of chemical compounds, which are emitted in the gaseous</w:t>
      </w:r>
      <w:r w:rsidR="00357AD4">
        <w:rPr>
          <w:rFonts w:cs="Arial"/>
        </w:rPr>
        <w:t xml:space="preserve"> and</w:t>
      </w:r>
      <w:r>
        <w:rPr>
          <w:rFonts w:cs="Arial"/>
        </w:rPr>
        <w:t xml:space="preserve"> the particulate phase. The</w:t>
      </w:r>
      <w:r w:rsidRPr="00434101">
        <w:rPr>
          <w:rFonts w:cs="Arial"/>
        </w:rPr>
        <w:t xml:space="preserve"> composition </w:t>
      </w:r>
      <w:r>
        <w:rPr>
          <w:rFonts w:cs="Arial"/>
        </w:rPr>
        <w:t xml:space="preserve">of emissions </w:t>
      </w:r>
      <w:r w:rsidRPr="00434101">
        <w:rPr>
          <w:rFonts w:cs="Arial"/>
        </w:rPr>
        <w:t xml:space="preserve">varies depending on </w:t>
      </w:r>
      <w:r>
        <w:rPr>
          <w:rFonts w:cs="Arial"/>
        </w:rPr>
        <w:t xml:space="preserve">several factors including </w:t>
      </w:r>
      <w:r w:rsidRPr="00434101">
        <w:rPr>
          <w:rFonts w:cs="Arial"/>
        </w:rPr>
        <w:t>engine</w:t>
      </w:r>
      <w:r>
        <w:rPr>
          <w:rFonts w:cs="Arial"/>
        </w:rPr>
        <w:t xml:space="preserve"> type</w:t>
      </w:r>
      <w:r w:rsidRPr="00434101">
        <w:rPr>
          <w:rFonts w:cs="Arial"/>
        </w:rPr>
        <w:t xml:space="preserve">, fuel </w:t>
      </w:r>
      <w:r>
        <w:rPr>
          <w:rFonts w:cs="Arial"/>
        </w:rPr>
        <w:t xml:space="preserve">type </w:t>
      </w:r>
      <w:r w:rsidRPr="00434101">
        <w:rPr>
          <w:rFonts w:cs="Arial"/>
        </w:rPr>
        <w:t xml:space="preserve">and </w:t>
      </w:r>
      <w:r>
        <w:rPr>
          <w:rFonts w:cs="Arial"/>
        </w:rPr>
        <w:t>operating conditions. Diesel engine emissions contain carcinogenic substances such polycyclic aromatic hydrocarbons</w:t>
      </w:r>
      <w:r w:rsidR="00357AD4">
        <w:rPr>
          <w:rFonts w:cs="Arial"/>
        </w:rPr>
        <w:t xml:space="preserve"> (PAH</w:t>
      </w:r>
      <w:r w:rsidR="002A3689">
        <w:rPr>
          <w:rFonts w:cs="Arial"/>
        </w:rPr>
        <w:t>s</w:t>
      </w:r>
      <w:r w:rsidR="00357AD4">
        <w:rPr>
          <w:rFonts w:cs="Arial"/>
        </w:rPr>
        <w:t>)</w:t>
      </w:r>
      <w:r>
        <w:rPr>
          <w:rFonts w:cs="Arial"/>
        </w:rPr>
        <w:t xml:space="preserve"> </w:t>
      </w:r>
      <w:r w:rsidR="00473781">
        <w:rPr>
          <w:rFonts w:cs="Arial"/>
        </w:rPr>
        <w:t xml:space="preserve">and benzene </w:t>
      </w:r>
      <w:r>
        <w:rPr>
          <w:rFonts w:cs="Arial"/>
        </w:rPr>
        <w:t xml:space="preserve">(DFG, 2014; </w:t>
      </w:r>
      <w:r w:rsidR="00826129">
        <w:rPr>
          <w:rFonts w:cs="Arial"/>
        </w:rPr>
        <w:t xml:space="preserve">HCOTN, 2019; </w:t>
      </w:r>
      <w:r>
        <w:rPr>
          <w:rFonts w:cs="Arial"/>
        </w:rPr>
        <w:t>SCOEL, 2016).</w:t>
      </w:r>
      <w:r w:rsidR="007E024F" w:rsidRPr="007E024F">
        <w:t xml:space="preserve"> </w:t>
      </w:r>
    </w:p>
    <w:p w14:paraId="4DE79B90" w14:textId="05B8266C" w:rsidR="00434101" w:rsidRDefault="00434101" w:rsidP="00434101">
      <w:pPr>
        <w:rPr>
          <w:rFonts w:cs="Arial"/>
        </w:rPr>
      </w:pPr>
      <w:r>
        <w:rPr>
          <w:rFonts w:cs="Arial"/>
          <w:color w:val="1C1D1E"/>
          <w:shd w:val="clear" w:color="auto" w:fill="FFFFFF"/>
        </w:rPr>
        <w:t xml:space="preserve">Epidemiological studies have shown an increased relative lung cancer risk for occupations with exposure to diesel engine emissions. </w:t>
      </w:r>
      <w:r w:rsidR="00473781">
        <w:rPr>
          <w:rFonts w:cs="Arial"/>
          <w:color w:val="1C1D1E"/>
          <w:shd w:val="clear" w:color="auto" w:fill="FFFFFF"/>
        </w:rPr>
        <w:t xml:space="preserve">The </w:t>
      </w:r>
      <w:r w:rsidR="00473781" w:rsidRPr="00473781">
        <w:rPr>
          <w:rFonts w:cs="Arial"/>
          <w:color w:val="1C1D1E"/>
          <w:shd w:val="clear" w:color="auto" w:fill="FFFFFF"/>
        </w:rPr>
        <w:t>evidence</w:t>
      </w:r>
      <w:r w:rsidR="00473781">
        <w:rPr>
          <w:rFonts w:cs="Arial"/>
          <w:color w:val="1C1D1E"/>
          <w:shd w:val="clear" w:color="auto" w:fill="FFFFFF"/>
        </w:rPr>
        <w:t xml:space="preserve"> strongly suggests</w:t>
      </w:r>
      <w:r w:rsidR="00473781" w:rsidRPr="00473781">
        <w:rPr>
          <w:rFonts w:cs="Arial"/>
          <w:color w:val="1C1D1E"/>
          <w:shd w:val="clear" w:color="auto" w:fill="FFFFFF"/>
        </w:rPr>
        <w:t xml:space="preserve"> that diesel engine </w:t>
      </w:r>
      <w:r w:rsidR="00473781">
        <w:rPr>
          <w:rFonts w:cs="Arial"/>
          <w:color w:val="1C1D1E"/>
          <w:shd w:val="clear" w:color="auto" w:fill="FFFFFF"/>
        </w:rPr>
        <w:t>emissions</w:t>
      </w:r>
      <w:r w:rsidR="004D3E7A">
        <w:rPr>
          <w:rFonts w:cs="Arial"/>
          <w:color w:val="1C1D1E"/>
          <w:shd w:val="clear" w:color="auto" w:fill="FFFFFF"/>
        </w:rPr>
        <w:t>,</w:t>
      </w:r>
      <w:r w:rsidR="00473781" w:rsidRPr="00473781">
        <w:rPr>
          <w:rFonts w:cs="Arial"/>
          <w:color w:val="1C1D1E"/>
          <w:shd w:val="clear" w:color="auto" w:fill="FFFFFF"/>
        </w:rPr>
        <w:t xml:space="preserve"> and many of its components, can induce lung cancer in humans through genotoxic mechanisms that include DNA damage</w:t>
      </w:r>
      <w:r w:rsidR="00473781">
        <w:rPr>
          <w:rFonts w:cs="Arial"/>
          <w:color w:val="1C1D1E"/>
          <w:shd w:val="clear" w:color="auto" w:fill="FFFFFF"/>
        </w:rPr>
        <w:t xml:space="preserve"> </w:t>
      </w:r>
      <w:r w:rsidR="00473781">
        <w:rPr>
          <w:rFonts w:cs="Arial"/>
        </w:rPr>
        <w:t xml:space="preserve">(DFG, 2014; </w:t>
      </w:r>
      <w:r w:rsidR="00826129">
        <w:rPr>
          <w:rFonts w:cs="Arial"/>
        </w:rPr>
        <w:t xml:space="preserve">HCOTN, 2019; IARC, 2014; </w:t>
      </w:r>
      <w:r w:rsidR="00473781">
        <w:rPr>
          <w:rFonts w:cs="Arial"/>
        </w:rPr>
        <w:t xml:space="preserve">SCOEL, 2016). </w:t>
      </w:r>
      <w:r w:rsidR="004D3E7A">
        <w:t>Consequently, d</w:t>
      </w:r>
      <w:r w:rsidR="00473781">
        <w:t>iesel engines emissions are</w:t>
      </w:r>
      <w:r w:rsidR="00473781" w:rsidRPr="004C1942">
        <w:t xml:space="preserve"> characterised as </w:t>
      </w:r>
      <w:r w:rsidR="00BD7CA8">
        <w:t xml:space="preserve">a </w:t>
      </w:r>
      <w:r w:rsidR="00473781" w:rsidRPr="004C1942">
        <w:t>non-t</w:t>
      </w:r>
      <w:r w:rsidR="00473781">
        <w:t xml:space="preserve">hreshold genotoxic carcinogen. </w:t>
      </w:r>
      <w:r w:rsidR="00AE683F">
        <w:t>At present, no appropriate inhalation unit risk exists with which to derive a suitable TWA to protect for carcinogenic effects.</w:t>
      </w:r>
    </w:p>
    <w:p w14:paraId="4947BDC0" w14:textId="22EF083A" w:rsidR="00C64EAA" w:rsidRDefault="00C64EAA" w:rsidP="00434101">
      <w:r>
        <w:rPr>
          <w:rFonts w:cs="Arial"/>
        </w:rPr>
        <w:t xml:space="preserve">HCOTN (2019) </w:t>
      </w:r>
      <w:r w:rsidR="00BD7CA8">
        <w:rPr>
          <w:rFonts w:cs="Arial"/>
        </w:rPr>
        <w:t>has</w:t>
      </w:r>
      <w:r>
        <w:rPr>
          <w:rFonts w:cs="Arial"/>
        </w:rPr>
        <w:t xml:space="preserve"> derived a </w:t>
      </w:r>
      <w:r>
        <w:t xml:space="preserve">risk-based exposure concentration of 0.011 </w:t>
      </w:r>
      <w:r>
        <w:rPr>
          <w:rFonts w:cs="Arial"/>
        </w:rPr>
        <w:t>µg/m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</w:t>
      </w:r>
      <w:r w:rsidR="00AE683F">
        <w:rPr>
          <w:rFonts w:cs="Arial"/>
        </w:rPr>
        <w:t xml:space="preserve">as respirable elemental carbon, </w:t>
      </w:r>
      <w:r>
        <w:rPr>
          <w:rFonts w:cs="Arial"/>
        </w:rPr>
        <w:t>for 40 years occupational exposure</w:t>
      </w:r>
      <w:r>
        <w:t xml:space="preserve"> with lung cancer as </w:t>
      </w:r>
      <w:r w:rsidR="004D3E7A">
        <w:t xml:space="preserve">the </w:t>
      </w:r>
      <w:r>
        <w:t xml:space="preserve">critical effect. </w:t>
      </w:r>
      <w:r w:rsidR="00AE683F">
        <w:rPr>
          <w:rFonts w:cs="Arial"/>
        </w:rPr>
        <w:t xml:space="preserve">This is considered the “target risk level”, a concentration at which an additional </w:t>
      </w:r>
      <w:r w:rsidR="009C3942">
        <w:rPr>
          <w:rFonts w:cs="Arial"/>
        </w:rPr>
        <w:t>four</w:t>
      </w:r>
      <w:r w:rsidR="00AE683F">
        <w:rPr>
          <w:rFonts w:cs="Arial"/>
        </w:rPr>
        <w:t xml:space="preserve"> extra lung cancer deaths per 100,000 are likely to occur due to 40 years of occupational exposure</w:t>
      </w:r>
      <w:r w:rsidR="00AE683F" w:rsidDel="00AE683F">
        <w:t xml:space="preserve"> </w:t>
      </w:r>
    </w:p>
    <w:p w14:paraId="604751CE" w14:textId="77777777" w:rsidR="001A7194" w:rsidRDefault="00EF258C" w:rsidP="001A7194">
      <w:pPr>
        <w:rPr>
          <w:rFonts w:cs="Arial"/>
        </w:rPr>
      </w:pPr>
      <w:r>
        <w:t xml:space="preserve">New engine technologies will replace existing engines, impacting on the exhaust components and possibly the toxicological relevance. </w:t>
      </w:r>
      <w:r w:rsidR="001A7194">
        <w:t xml:space="preserve">Given that diesel engine emission composition can vary depending on several factors and there are limited data regarding diesel engine emissions from </w:t>
      </w:r>
      <w:r w:rsidR="001A7194">
        <w:lastRenderedPageBreak/>
        <w:t xml:space="preserve">modern engines (post 2007) in the primary sources, a priority review of additional data sources is recommended at the next scheduled review. </w:t>
      </w:r>
    </w:p>
    <w:p w14:paraId="2B1A2A9F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5E1E6FC" w14:textId="77777777" w:rsidR="004253F1" w:rsidRPr="00473781" w:rsidRDefault="004253F1" w:rsidP="004253F1">
      <w:pPr>
        <w:rPr>
          <w:rFonts w:cs="Arial"/>
        </w:rPr>
      </w:pPr>
      <w:r w:rsidRPr="00473781">
        <w:rPr>
          <w:rFonts w:cs="Arial"/>
        </w:rPr>
        <w:t>Not classified as a carcinogen according to the Globally Harmonized System of</w:t>
      </w:r>
      <w:r w:rsidR="00A220DA">
        <w:rPr>
          <w:rFonts w:cs="Arial"/>
        </w:rPr>
        <w:t xml:space="preserve"> Classification and Labelling of</w:t>
      </w:r>
      <w:r w:rsidRPr="00473781">
        <w:rPr>
          <w:rFonts w:cs="Arial"/>
        </w:rPr>
        <w:t xml:space="preserve"> Chemicals (GHS). </w:t>
      </w:r>
      <w:r w:rsidR="00473781">
        <w:rPr>
          <w:rFonts w:cs="Arial"/>
        </w:rPr>
        <w:t xml:space="preserve">Evidence suggests that </w:t>
      </w:r>
      <w:r w:rsidR="00C64EAA">
        <w:rPr>
          <w:rFonts w:cs="Arial"/>
        </w:rPr>
        <w:t>diesel engine emissions are carcinogenic</w:t>
      </w:r>
      <w:r w:rsidR="0006353B">
        <w:rPr>
          <w:rFonts w:cs="Arial"/>
        </w:rPr>
        <w:t>,</w:t>
      </w:r>
      <w:r w:rsidR="00C64EAA">
        <w:rPr>
          <w:rFonts w:cs="Arial"/>
        </w:rPr>
        <w:t xml:space="preserve"> and a review of the literature is recommended to establish a classification.</w:t>
      </w:r>
    </w:p>
    <w:p w14:paraId="6667277D" w14:textId="77777777" w:rsidR="004253F1" w:rsidRPr="00473781" w:rsidRDefault="004253F1" w:rsidP="004253F1">
      <w:pPr>
        <w:rPr>
          <w:rFonts w:cs="Arial"/>
        </w:rPr>
      </w:pPr>
      <w:r w:rsidRPr="00473781">
        <w:rPr>
          <w:rFonts w:cs="Arial"/>
        </w:rPr>
        <w:t xml:space="preserve">Not classified as a skin </w:t>
      </w:r>
      <w:r w:rsidR="00A220DA" w:rsidRPr="00473781">
        <w:rPr>
          <w:rFonts w:cs="Arial"/>
        </w:rPr>
        <w:t xml:space="preserve">sensitiser </w:t>
      </w:r>
      <w:r w:rsidRPr="00473781">
        <w:rPr>
          <w:rFonts w:cs="Arial"/>
        </w:rPr>
        <w:t>or respiratory sensitiser according to the GHS.</w:t>
      </w:r>
    </w:p>
    <w:p w14:paraId="1E62CD5D" w14:textId="77777777" w:rsidR="004529F0" w:rsidRPr="004C23F4" w:rsidRDefault="002A3689" w:rsidP="004253F1">
      <w:pPr>
        <w:rPr>
          <w:rFonts w:cs="Arial"/>
        </w:rPr>
      </w:pPr>
      <w:r>
        <w:rPr>
          <w:rFonts w:cs="Arial"/>
        </w:rPr>
        <w:t>There are insufficient data to recommend a skin notation</w:t>
      </w:r>
      <w:r w:rsidR="004253F1" w:rsidRPr="00473781">
        <w:rPr>
          <w:rFonts w:cs="Arial"/>
        </w:rPr>
        <w:t>.</w:t>
      </w:r>
    </w:p>
    <w:p w14:paraId="4F6D324A" w14:textId="77777777" w:rsidR="0025734A" w:rsidRPr="004C23F4" w:rsidRDefault="0025734A">
      <w:pPr>
        <w:rPr>
          <w:rFonts w:cs="Arial"/>
        </w:rPr>
      </w:pPr>
    </w:p>
    <w:p w14:paraId="2B2F21FE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4A37D055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A403C85" w14:textId="77777777" w:rsidR="008D026D" w:rsidRDefault="00381A05" w:rsidP="003365A5">
      <w:pPr>
        <w:pStyle w:val="Heading3"/>
      </w:pPr>
      <w:r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41B2986" w14:textId="77777777" w:rsidTr="00647072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D5EACE1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A1CC34C" w14:textId="77777777" w:rsidTr="00C806B5">
        <w:tc>
          <w:tcPr>
            <w:tcW w:w="5000" w:type="pct"/>
            <w:gridSpan w:val="2"/>
            <w:shd w:val="clear" w:color="auto" w:fill="F2F2F2" w:themeFill="background1" w:themeFillShade="F2"/>
          </w:tcPr>
          <w:p w14:paraId="0114E834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BF6A11" w:rsidDel="00EF258C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BF6A11">
                  <w:t>NA</w:t>
                </w:r>
              </w:sdtContent>
            </w:sdt>
          </w:p>
        </w:tc>
      </w:tr>
      <w:tr w:rsidR="00C978F0" w:rsidRPr="00DA352E" w14:paraId="41BAC8AA" w14:textId="77777777" w:rsidTr="00C806B5">
        <w:trPr>
          <w:gridAfter w:val="1"/>
          <w:wAfter w:w="8" w:type="pct"/>
        </w:trPr>
        <w:tc>
          <w:tcPr>
            <w:tcW w:w="4992" w:type="pct"/>
          </w:tcPr>
          <w:p w14:paraId="5C7CFB1F" w14:textId="77777777" w:rsidR="00C978F0" w:rsidRPr="00DA352E" w:rsidRDefault="00BF6A11" w:rsidP="003365A5">
            <w:pPr>
              <w:pStyle w:val="Tabletextprimarysource"/>
            </w:pPr>
            <w:r>
              <w:t>No report</w:t>
            </w:r>
            <w:r w:rsidR="00A220DA">
              <w:t>.</w:t>
            </w:r>
          </w:p>
        </w:tc>
      </w:tr>
      <w:tr w:rsidR="00C978F0" w:rsidRPr="00DA352E" w14:paraId="5FD6A397" w14:textId="77777777" w:rsidTr="00C806B5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5B0EF3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BF6A11" w:rsidDel="00EF258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BF6A11">
                  <w:t>NA</w:t>
                </w:r>
              </w:sdtContent>
            </w:sdt>
          </w:p>
        </w:tc>
      </w:tr>
      <w:tr w:rsidR="00C978F0" w:rsidRPr="00DA352E" w14:paraId="121CFC23" w14:textId="77777777" w:rsidTr="00C806B5">
        <w:trPr>
          <w:gridAfter w:val="1"/>
          <w:wAfter w:w="8" w:type="pct"/>
        </w:trPr>
        <w:tc>
          <w:tcPr>
            <w:tcW w:w="4992" w:type="pct"/>
          </w:tcPr>
          <w:p w14:paraId="484ECD0B" w14:textId="77777777" w:rsidR="00C978F0" w:rsidRPr="00DA352E" w:rsidRDefault="00BF6A11" w:rsidP="003365A5">
            <w:pPr>
              <w:pStyle w:val="Tabletextprimarysource"/>
            </w:pPr>
            <w:r>
              <w:t>No report</w:t>
            </w:r>
            <w:r w:rsidR="00A220DA">
              <w:t>.</w:t>
            </w:r>
          </w:p>
        </w:tc>
      </w:tr>
      <w:tr w:rsidR="00C978F0" w:rsidRPr="00DA352E" w14:paraId="3C0E1E16" w14:textId="77777777" w:rsidTr="00C806B5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D0175B8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637286" w:rsidDel="00EF258C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BF6A11">
                  <w:t>Not assigned</w:t>
                </w:r>
              </w:sdtContent>
            </w:sdt>
          </w:p>
        </w:tc>
      </w:tr>
      <w:tr w:rsidR="00C978F0" w:rsidRPr="00DA352E" w14:paraId="74ABC6D9" w14:textId="77777777" w:rsidTr="00C806B5">
        <w:trPr>
          <w:gridAfter w:val="1"/>
          <w:wAfter w:w="8" w:type="pct"/>
        </w:trPr>
        <w:tc>
          <w:tcPr>
            <w:tcW w:w="4992" w:type="pct"/>
          </w:tcPr>
          <w:p w14:paraId="04A510C8" w14:textId="77777777" w:rsidR="00727B55" w:rsidRDefault="006858D0" w:rsidP="003365A5">
            <w:pPr>
              <w:pStyle w:val="Tabletextprimarysource"/>
            </w:pPr>
            <w:r>
              <w:t>No MAK assigned due to evidence of carcinogenicity in humans and animals.</w:t>
            </w:r>
            <w:r w:rsidR="00637286">
              <w:t xml:space="preserve"> </w:t>
            </w:r>
            <w:r w:rsidR="00FD2FB0">
              <w:t xml:space="preserve">Carcinogenic effects of </w:t>
            </w:r>
            <w:r w:rsidR="00727B55">
              <w:t xml:space="preserve">diesel engine exhaust emissions </w:t>
            </w:r>
            <w:r w:rsidR="00C13771">
              <w:t>(</w:t>
            </w:r>
            <w:r w:rsidR="002825A4">
              <w:t>DEE</w:t>
            </w:r>
            <w:r w:rsidR="00C13771">
              <w:t xml:space="preserve">E) </w:t>
            </w:r>
            <w:r w:rsidR="00FD2FB0">
              <w:t>attributable to soot particles and their PAH content.</w:t>
            </w:r>
            <w:r w:rsidR="00C13771">
              <w:t xml:space="preserve"> </w:t>
            </w:r>
          </w:p>
          <w:p w14:paraId="4B817384" w14:textId="77777777" w:rsidR="00727B55" w:rsidRDefault="00C13771" w:rsidP="003365A5">
            <w:pPr>
              <w:pStyle w:val="Tabletextprimarysource"/>
            </w:pPr>
            <w:r>
              <w:t xml:space="preserve">Diesel engine technology </w:t>
            </w:r>
            <w:r w:rsidR="001A7194">
              <w:t xml:space="preserve">has </w:t>
            </w:r>
            <w:r>
              <w:t xml:space="preserve">changed significantly; but available epidemiology data, which were evaluated in 2007, are based on exposures to emissions from older diesel engines. </w:t>
            </w:r>
          </w:p>
          <w:p w14:paraId="403964E5" w14:textId="77777777" w:rsidR="00727B55" w:rsidRDefault="00C13771" w:rsidP="003365A5">
            <w:pPr>
              <w:pStyle w:val="Tabletextprimarysource"/>
            </w:pPr>
            <w:r>
              <w:t xml:space="preserve">Increased lung cancer risk reported in epidemiology studies but poor dose-response relationship (i.e., no data on level of exposure) and </w:t>
            </w:r>
            <w:r w:rsidR="002825A4">
              <w:t>DEEE</w:t>
            </w:r>
            <w:r>
              <w:t xml:space="preserve"> composition unknown and dependent on diesel engine technology</w:t>
            </w:r>
            <w:r w:rsidR="00E10AB2">
              <w:t xml:space="preserve">. </w:t>
            </w:r>
          </w:p>
          <w:p w14:paraId="74E08C24" w14:textId="77777777" w:rsidR="00E75B90" w:rsidRDefault="00E10AB2" w:rsidP="003365A5">
            <w:pPr>
              <w:pStyle w:val="Tabletextprimarysource"/>
            </w:pPr>
            <w:r>
              <w:t>Carcinogenicity category 2 based on insufficient data for category 1 assignment.</w:t>
            </w:r>
          </w:p>
          <w:p w14:paraId="656D30F2" w14:textId="77777777" w:rsidR="006858D0" w:rsidRDefault="006858D0" w:rsidP="003365A5">
            <w:pPr>
              <w:pStyle w:val="Tabletextprimarysource"/>
            </w:pPr>
            <w:r>
              <w:t>Summary of data:</w:t>
            </w:r>
          </w:p>
          <w:p w14:paraId="28FB9519" w14:textId="77777777" w:rsidR="002E16A2" w:rsidRDefault="002E16A2" w:rsidP="002E16A2">
            <w:pPr>
              <w:pStyle w:val="Tabletextprimarysource"/>
            </w:pPr>
            <w:r>
              <w:t>Human data:</w:t>
            </w:r>
          </w:p>
          <w:p w14:paraId="5693AA1C" w14:textId="77777777" w:rsidR="004E54DB" w:rsidRDefault="005D22A4" w:rsidP="00C806B5">
            <w:pPr>
              <w:pStyle w:val="ListBullet"/>
              <w:numPr>
                <w:ilvl w:val="0"/>
                <w:numId w:val="2"/>
              </w:numPr>
              <w:spacing w:before="60" w:after="60"/>
              <w:ind w:left="714" w:hanging="357"/>
              <w:contextualSpacing w:val="0"/>
            </w:pPr>
            <w:r>
              <w:t>Non-neoplastic disorder</w:t>
            </w:r>
            <w:r w:rsidR="00C4670E">
              <w:t>:</w:t>
            </w:r>
            <w:r>
              <w:t xml:space="preserve"> </w:t>
            </w:r>
          </w:p>
          <w:p w14:paraId="79F1DFB1" w14:textId="77777777" w:rsidR="00727B55" w:rsidRDefault="00BC7023" w:rsidP="00533751">
            <w:pPr>
              <w:pStyle w:val="ListBullet"/>
              <w:numPr>
                <w:ilvl w:val="0"/>
                <w:numId w:val="10"/>
              </w:numPr>
              <w:spacing w:before="60" w:after="60"/>
              <w:ind w:left="1151" w:hanging="357"/>
              <w:contextualSpacing w:val="0"/>
            </w:pPr>
            <w:r>
              <w:t>no changes in lung function during 4</w:t>
            </w:r>
            <w:r w:rsidR="00727B55">
              <w:t xml:space="preserve"> </w:t>
            </w:r>
            <w:r>
              <w:t>mo exposure of highway toll collectors (exposure level unknown)</w:t>
            </w:r>
          </w:p>
          <w:p w14:paraId="4F1F7C3D" w14:textId="77777777" w:rsidR="00BC7023" w:rsidRDefault="00BC7023" w:rsidP="00C806B5">
            <w:pPr>
              <w:pStyle w:val="ListBullet"/>
              <w:numPr>
                <w:ilvl w:val="0"/>
                <w:numId w:val="10"/>
              </w:numPr>
              <w:spacing w:before="60" w:after="60"/>
              <w:ind w:left="1151" w:hanging="357"/>
              <w:contextualSpacing w:val="0"/>
            </w:pPr>
            <w:r>
              <w:t>statistically significant increased relative risk of death with increasing period of exposures due to obstructive pulmonary disease in railroad workers (adjust</w:t>
            </w:r>
            <w:r w:rsidR="00401621">
              <w:t xml:space="preserve">ed </w:t>
            </w:r>
            <w:r>
              <w:t>for age, race, healthy worker effect and smoking habits)</w:t>
            </w:r>
          </w:p>
          <w:p w14:paraId="05EE2294" w14:textId="77777777" w:rsidR="004E54DB" w:rsidRDefault="000B62C1" w:rsidP="00C806B5">
            <w:pPr>
              <w:pStyle w:val="ListBullet"/>
              <w:numPr>
                <w:ilvl w:val="0"/>
                <w:numId w:val="2"/>
              </w:numPr>
              <w:spacing w:before="60" w:after="60"/>
              <w:ind w:left="714" w:hanging="357"/>
              <w:contextualSpacing w:val="0"/>
            </w:pPr>
            <w:r>
              <w:t xml:space="preserve">Lung cancer: </w:t>
            </w:r>
          </w:p>
          <w:p w14:paraId="1BB14941" w14:textId="1B6E11A7" w:rsidR="004E54DB" w:rsidRDefault="000B62C1" w:rsidP="00533751">
            <w:pPr>
              <w:pStyle w:val="ListBullet"/>
              <w:numPr>
                <w:ilvl w:val="0"/>
                <w:numId w:val="10"/>
              </w:numPr>
              <w:spacing w:before="60" w:after="60"/>
              <w:ind w:left="1151" w:hanging="357"/>
              <w:contextualSpacing w:val="0"/>
            </w:pPr>
            <w:r>
              <w:t>s</w:t>
            </w:r>
            <w:r w:rsidR="009915D8">
              <w:t xml:space="preserve">everal </w:t>
            </w:r>
            <w:proofErr w:type="gramStart"/>
            <w:r w:rsidR="009915D8">
              <w:t>cohort</w:t>
            </w:r>
            <w:proofErr w:type="gramEnd"/>
            <w:r w:rsidR="009915D8">
              <w:t xml:space="preserve"> </w:t>
            </w:r>
            <w:r w:rsidR="00282A4C">
              <w:t>(198</w:t>
            </w:r>
            <w:r w:rsidR="001924E1">
              <w:t>1</w:t>
            </w:r>
            <w:r w:rsidR="004D5ADD">
              <w:t>–</w:t>
            </w:r>
            <w:r w:rsidR="00282A4C">
              <w:t xml:space="preserve">2004) </w:t>
            </w:r>
            <w:r w:rsidR="009915D8">
              <w:t xml:space="preserve">and case-control </w:t>
            </w:r>
            <w:r w:rsidR="00282A4C">
              <w:t>(</w:t>
            </w:r>
            <w:r w:rsidR="009F24F5">
              <w:t>1976</w:t>
            </w:r>
            <w:r w:rsidR="004D5ADD">
              <w:t>–</w:t>
            </w:r>
            <w:r w:rsidR="009F24F5">
              <w:t xml:space="preserve">2006) </w:t>
            </w:r>
            <w:r w:rsidR="009915D8">
              <w:t>studies</w:t>
            </w:r>
            <w:r w:rsidR="00573A2F">
              <w:t xml:space="preserve"> available to assess lung cancer incidence and </w:t>
            </w:r>
            <w:r w:rsidR="002825A4">
              <w:t>DEEE</w:t>
            </w:r>
            <w:r w:rsidR="00573A2F">
              <w:t xml:space="preserve"> exposure response relationship (that is, relative risk based on period of exposure and not exposure level)</w:t>
            </w:r>
            <w:r w:rsidR="00727B55">
              <w:t xml:space="preserve"> </w:t>
            </w:r>
          </w:p>
          <w:p w14:paraId="7B541302" w14:textId="77777777" w:rsidR="00573A2F" w:rsidRDefault="00727B55" w:rsidP="00533751">
            <w:pPr>
              <w:pStyle w:val="ListBullet"/>
              <w:numPr>
                <w:ilvl w:val="0"/>
                <w:numId w:val="10"/>
              </w:numPr>
              <w:spacing w:before="60" w:after="60"/>
              <w:ind w:left="1151" w:hanging="357"/>
              <w:contextualSpacing w:val="0"/>
            </w:pPr>
            <w:r>
              <w:t>e</w:t>
            </w:r>
            <w:r w:rsidR="001924E1">
              <w:t xml:space="preserve">xposure duration of </w:t>
            </w:r>
            <w:r w:rsidR="001924E1">
              <w:rPr>
                <w:rFonts w:cs="Arial"/>
              </w:rPr>
              <w:t>≥</w:t>
            </w:r>
            <w:r w:rsidR="001924E1">
              <w:t>20 yr had the highest relative risk of lung cance</w:t>
            </w:r>
            <w:r w:rsidR="004D5ADD">
              <w:t>r</w:t>
            </w:r>
          </w:p>
          <w:p w14:paraId="636A301B" w14:textId="0890C646" w:rsidR="00632E70" w:rsidRDefault="00DD718E" w:rsidP="00C806B5">
            <w:pPr>
              <w:pStyle w:val="ListBullet"/>
              <w:numPr>
                <w:ilvl w:val="0"/>
                <w:numId w:val="10"/>
              </w:numPr>
              <w:spacing w:before="60" w:after="60"/>
              <w:ind w:left="1151" w:hanging="357"/>
              <w:contextualSpacing w:val="0"/>
            </w:pPr>
            <w:r>
              <w:t>o</w:t>
            </w:r>
            <w:r w:rsidR="00E723DD" w:rsidRPr="00357AD4">
              <w:t>ccupational</w:t>
            </w:r>
            <w:r w:rsidR="00E723DD">
              <w:t>-</w:t>
            </w:r>
            <w:r w:rsidR="00E723DD" w:rsidRPr="00357AD4">
              <w:t xml:space="preserve">based cohort studies </w:t>
            </w:r>
            <w:r w:rsidR="00E723DD">
              <w:t xml:space="preserve">reported </w:t>
            </w:r>
            <w:r w:rsidR="00727B55">
              <w:t>RR</w:t>
            </w:r>
            <w:r w:rsidR="00E723DD" w:rsidRPr="00357AD4">
              <w:t xml:space="preserve"> of lung cancer</w:t>
            </w:r>
            <w:r w:rsidR="005703D3">
              <w:t xml:space="preserve"> from appropriate studies</w:t>
            </w:r>
            <w:r w:rsidR="00E723DD" w:rsidRPr="00357AD4">
              <w:t xml:space="preserve"> ranging from 1</w:t>
            </w:r>
            <w:r>
              <w:t>–</w:t>
            </w:r>
            <w:r w:rsidR="005703D3">
              <w:t>2.7</w:t>
            </w:r>
          </w:p>
          <w:p w14:paraId="7BC469BA" w14:textId="77777777" w:rsidR="00E723DD" w:rsidRPr="00357AD4" w:rsidRDefault="00632E70" w:rsidP="00C806B5">
            <w:pPr>
              <w:pStyle w:val="ListBullet"/>
              <w:numPr>
                <w:ilvl w:val="0"/>
                <w:numId w:val="10"/>
              </w:numPr>
              <w:spacing w:before="60" w:after="60"/>
              <w:ind w:left="1151" w:hanging="357"/>
              <w:contextualSpacing w:val="0"/>
            </w:pPr>
            <w:r>
              <w:t>in railroad workers</w:t>
            </w:r>
            <w:r w:rsidR="00AE683F">
              <w:t>,</w:t>
            </w:r>
            <w:r>
              <w:t xml:space="preserve"> </w:t>
            </w:r>
            <w:r w:rsidR="00E723DD">
              <w:t xml:space="preserve">when smoking </w:t>
            </w:r>
            <w:r w:rsidR="004D5ADD">
              <w:t>was</w:t>
            </w:r>
            <w:r w:rsidR="00E723DD">
              <w:t xml:space="preserve"> </w:t>
            </w:r>
            <w:r w:rsidR="004D3E7A">
              <w:t>considered</w:t>
            </w:r>
            <w:r w:rsidR="00E723DD">
              <w:t>, relative lung cancer risk for those with the longest exposure duration decreased by 4</w:t>
            </w:r>
            <w:r w:rsidR="00DD718E">
              <w:t>–</w:t>
            </w:r>
            <w:r w:rsidR="00E723DD">
              <w:t>12</w:t>
            </w:r>
            <w:proofErr w:type="gramStart"/>
            <w:r w:rsidR="004D5ADD">
              <w:t>%</w:t>
            </w:r>
            <w:r w:rsidR="00E723DD">
              <w:t xml:space="preserve"> </w:t>
            </w:r>
            <w:r w:rsidR="00AE683F">
              <w:t>;</w:t>
            </w:r>
            <w:proofErr w:type="gramEnd"/>
            <w:r w:rsidR="00AE683F">
              <w:t xml:space="preserve"> further analysis identified no evidence of an exposure-response relationship</w:t>
            </w:r>
          </w:p>
          <w:p w14:paraId="3918F051" w14:textId="77777777" w:rsidR="00E723DD" w:rsidRPr="00357AD4" w:rsidRDefault="00DD718E" w:rsidP="00C806B5">
            <w:pPr>
              <w:pStyle w:val="ListBullet"/>
              <w:numPr>
                <w:ilvl w:val="0"/>
                <w:numId w:val="10"/>
              </w:numPr>
              <w:spacing w:before="60" w:after="60"/>
              <w:ind w:left="1151" w:hanging="357"/>
              <w:contextualSpacing w:val="0"/>
            </w:pPr>
            <w:r>
              <w:t>c</w:t>
            </w:r>
            <w:r w:rsidR="00E723DD" w:rsidRPr="00357AD4">
              <w:t>ase</w:t>
            </w:r>
            <w:r w:rsidR="00E723DD">
              <w:t>-</w:t>
            </w:r>
            <w:r w:rsidR="00E723DD" w:rsidRPr="00357AD4">
              <w:t xml:space="preserve">control studies </w:t>
            </w:r>
            <w:r w:rsidR="00E723DD">
              <w:t xml:space="preserve">reported </w:t>
            </w:r>
            <w:r w:rsidR="00727B55">
              <w:t>RR</w:t>
            </w:r>
            <w:r w:rsidR="00E723DD">
              <w:t xml:space="preserve"> of lung cancer </w:t>
            </w:r>
            <w:r w:rsidR="00E723DD" w:rsidRPr="00357AD4">
              <w:t>rang</w:t>
            </w:r>
            <w:r w:rsidR="00E723DD">
              <w:t>ing</w:t>
            </w:r>
            <w:r w:rsidR="00E723DD" w:rsidRPr="00357AD4">
              <w:t xml:space="preserve"> from &lt;1</w:t>
            </w:r>
            <w:r>
              <w:t>–</w:t>
            </w:r>
            <w:r w:rsidR="00E723DD" w:rsidRPr="00357AD4">
              <w:t>2.5</w:t>
            </w:r>
          </w:p>
          <w:p w14:paraId="0CC83510" w14:textId="77777777" w:rsidR="002E16A2" w:rsidRDefault="00DD718E" w:rsidP="00C806B5">
            <w:pPr>
              <w:pStyle w:val="ListBullet"/>
              <w:numPr>
                <w:ilvl w:val="0"/>
                <w:numId w:val="10"/>
              </w:numPr>
              <w:spacing w:before="60" w:after="60"/>
              <w:ind w:left="1151" w:hanging="357"/>
              <w:contextualSpacing w:val="0"/>
            </w:pPr>
            <w:r>
              <w:t>i</w:t>
            </w:r>
            <w:r w:rsidR="002E16A2">
              <w:t>nhalation study in non-smoking volunteers concluded early stage of inflammatory response following exposure to 0.2 mg/m</w:t>
            </w:r>
            <w:r w:rsidR="002E16A2" w:rsidRPr="00DD718E">
              <w:rPr>
                <w:vertAlign w:val="superscript"/>
              </w:rPr>
              <w:t>3</w:t>
            </w:r>
            <w:r w:rsidR="002E16A2">
              <w:t xml:space="preserve"> (&lt;10 </w:t>
            </w:r>
            <w:r w:rsidR="002E16A2" w:rsidRPr="00C13771">
              <w:t>µ</w:t>
            </w:r>
            <w:r w:rsidR="002E16A2">
              <w:t>m) for 2 h</w:t>
            </w:r>
          </w:p>
          <w:p w14:paraId="77A84DEC" w14:textId="77777777" w:rsidR="002E16A2" w:rsidRPr="00357AD4" w:rsidRDefault="00DD718E" w:rsidP="00C806B5">
            <w:pPr>
              <w:pStyle w:val="ListBullet"/>
              <w:numPr>
                <w:ilvl w:val="0"/>
                <w:numId w:val="10"/>
              </w:numPr>
              <w:spacing w:before="60" w:after="60"/>
              <w:ind w:left="1151" w:hanging="357"/>
              <w:contextualSpacing w:val="0"/>
            </w:pPr>
            <w:r>
              <w:t>i</w:t>
            </w:r>
            <w:r w:rsidR="002E16A2">
              <w:t xml:space="preserve">nhalation study in </w:t>
            </w:r>
            <w:r w:rsidR="002E16A2" w:rsidRPr="00357AD4">
              <w:t xml:space="preserve">non-smokers </w:t>
            </w:r>
            <w:r w:rsidR="00CF0359">
              <w:t xml:space="preserve">(with mild asthma and normal lung function) </w:t>
            </w:r>
            <w:r w:rsidR="002E16A2" w:rsidRPr="00357AD4">
              <w:t xml:space="preserve">reported initial airway inflammation response </w:t>
            </w:r>
            <w:r w:rsidR="00357AD4" w:rsidRPr="00357AD4">
              <w:t>to 0.1 mg/m</w:t>
            </w:r>
            <w:r w:rsidR="00357AD4" w:rsidRPr="00DD718E">
              <w:rPr>
                <w:vertAlign w:val="superscript"/>
              </w:rPr>
              <w:t xml:space="preserve">3 </w:t>
            </w:r>
            <w:r w:rsidR="00CF0359">
              <w:t xml:space="preserve">(&lt;10 </w:t>
            </w:r>
            <w:r w:rsidR="00CF0359" w:rsidRPr="00C13771">
              <w:t>µ</w:t>
            </w:r>
            <w:r w:rsidR="00CF0359">
              <w:t xml:space="preserve">m) for </w:t>
            </w:r>
            <w:r w:rsidR="002E16A2" w:rsidRPr="00357AD4">
              <w:t xml:space="preserve">2-h exposure; </w:t>
            </w:r>
            <w:r w:rsidR="00357AD4" w:rsidRPr="00357AD4">
              <w:t xml:space="preserve">with </w:t>
            </w:r>
            <w:r w:rsidR="002E16A2" w:rsidRPr="00357AD4">
              <w:t>a significant increase in pro-inflammatory cytokines</w:t>
            </w:r>
          </w:p>
          <w:p w14:paraId="0EC24FE6" w14:textId="77777777" w:rsidR="007156D8" w:rsidRDefault="00DD718E" w:rsidP="00C806B5">
            <w:pPr>
              <w:pStyle w:val="ListBullet"/>
              <w:numPr>
                <w:ilvl w:val="0"/>
                <w:numId w:val="10"/>
              </w:numPr>
              <w:spacing w:before="60" w:after="60"/>
              <w:ind w:left="1151" w:hanging="357"/>
              <w:contextualSpacing w:val="0"/>
            </w:pPr>
            <w:r>
              <w:t>a</w:t>
            </w:r>
            <w:r w:rsidR="007156D8" w:rsidRPr="00357AD4">
              <w:t xml:space="preserve"> </w:t>
            </w:r>
            <w:r w:rsidR="00861CE7" w:rsidRPr="00357AD4">
              <w:t>meta-analysis</w:t>
            </w:r>
            <w:r w:rsidR="007156D8" w:rsidRPr="00357AD4">
              <w:t xml:space="preserve"> of 29 studies reported </w:t>
            </w:r>
            <w:r w:rsidR="00354F64">
              <w:t xml:space="preserve">a </w:t>
            </w:r>
            <w:r w:rsidR="00A27624">
              <w:t xml:space="preserve">significantly increased </w:t>
            </w:r>
            <w:r w:rsidR="00354F64">
              <w:t>relative</w:t>
            </w:r>
            <w:r w:rsidR="00A27624">
              <w:t xml:space="preserve"> lung cancer</w:t>
            </w:r>
            <w:r w:rsidR="00354F64">
              <w:t xml:space="preserve"> risk of 1.33 (1.2</w:t>
            </w:r>
            <w:r w:rsidR="00E06C85">
              <w:t>7</w:t>
            </w:r>
            <w:r w:rsidR="00354F64">
              <w:t>–</w:t>
            </w:r>
            <w:r w:rsidR="007156D8" w:rsidRPr="00357AD4">
              <w:t>1.</w:t>
            </w:r>
            <w:r w:rsidR="00E06C85" w:rsidRPr="00357AD4">
              <w:t>4</w:t>
            </w:r>
            <w:r w:rsidR="00E06C85">
              <w:t>0</w:t>
            </w:r>
            <w:r w:rsidR="00A27624">
              <w:t>,</w:t>
            </w:r>
            <w:r w:rsidR="00E06C85" w:rsidRPr="00357AD4">
              <w:t xml:space="preserve"> </w:t>
            </w:r>
            <w:r w:rsidR="007156D8" w:rsidRPr="00357AD4">
              <w:t>95% CL)</w:t>
            </w:r>
            <w:r w:rsidR="00A27624">
              <w:t xml:space="preserve"> for highest exposure group</w:t>
            </w:r>
          </w:p>
          <w:p w14:paraId="4F7FD317" w14:textId="77777777" w:rsidR="00632E70" w:rsidRDefault="000B62C1" w:rsidP="00C806B5">
            <w:pPr>
              <w:pStyle w:val="ListBullet"/>
              <w:numPr>
                <w:ilvl w:val="0"/>
                <w:numId w:val="2"/>
              </w:numPr>
              <w:spacing w:before="60" w:after="60"/>
              <w:ind w:left="714" w:hanging="357"/>
              <w:contextualSpacing w:val="0"/>
            </w:pPr>
            <w:r>
              <w:t xml:space="preserve">Bladder cancer: </w:t>
            </w:r>
          </w:p>
          <w:p w14:paraId="75D1FD75" w14:textId="77777777" w:rsidR="000B62C1" w:rsidRDefault="000B62C1" w:rsidP="00533751">
            <w:pPr>
              <w:pStyle w:val="ListBullet"/>
              <w:numPr>
                <w:ilvl w:val="0"/>
                <w:numId w:val="10"/>
              </w:numPr>
              <w:spacing w:before="60" w:after="60"/>
              <w:ind w:left="1151" w:hanging="357"/>
              <w:contextualSpacing w:val="0"/>
            </w:pPr>
            <w:r>
              <w:t>c</w:t>
            </w:r>
            <w:r w:rsidR="00A27624">
              <w:t xml:space="preserve">ohort and case-control studies assessed for </w:t>
            </w:r>
            <w:r>
              <w:t>correlation</w:t>
            </w:r>
            <w:r w:rsidR="00A27624">
              <w:t xml:space="preserve"> between bladder cancer incidence and </w:t>
            </w:r>
            <w:r w:rsidR="002825A4">
              <w:t>DEEE</w:t>
            </w:r>
            <w:r w:rsidR="00A27624">
              <w:t xml:space="preserve"> exposure; no association reported in cohort studies but case-</w:t>
            </w:r>
            <w:r w:rsidR="00A27624">
              <w:lastRenderedPageBreak/>
              <w:t xml:space="preserve">control studies reported increased bladder cancer </w:t>
            </w:r>
            <w:r>
              <w:t xml:space="preserve">incidences </w:t>
            </w:r>
            <w:r w:rsidR="00A27624">
              <w:t>in truck driver occupational group</w:t>
            </w:r>
            <w:r>
              <w:t xml:space="preserve"> </w:t>
            </w:r>
          </w:p>
          <w:p w14:paraId="13F5651F" w14:textId="77777777" w:rsidR="00D50D47" w:rsidRDefault="009C3942" w:rsidP="00533751">
            <w:pPr>
              <w:pStyle w:val="ListBullet"/>
              <w:numPr>
                <w:ilvl w:val="0"/>
                <w:numId w:val="10"/>
              </w:numPr>
              <w:spacing w:before="60" w:after="60"/>
              <w:ind w:left="1151" w:hanging="357"/>
              <w:contextualSpacing w:val="0"/>
            </w:pPr>
            <w:r>
              <w:t>m</w:t>
            </w:r>
            <w:r w:rsidR="000B62C1">
              <w:t xml:space="preserve">eta-analysis of 35 studies </w:t>
            </w:r>
            <w:r w:rsidR="00267991">
              <w:t xml:space="preserve">(with </w:t>
            </w:r>
            <w:r w:rsidR="00267991" w:rsidRPr="00267991">
              <w:t>≥</w:t>
            </w:r>
            <w:r w:rsidR="00267991">
              <w:t xml:space="preserve">5 yr exposure to </w:t>
            </w:r>
            <w:r w:rsidR="002825A4">
              <w:t>DEEE</w:t>
            </w:r>
            <w:r w:rsidR="00267991">
              <w:t>) reported</w:t>
            </w:r>
            <w:r w:rsidR="000B62C1">
              <w:t xml:space="preserve"> increased bladder cancer</w:t>
            </w:r>
            <w:r w:rsidR="00F808FA">
              <w:t xml:space="preserve"> risk</w:t>
            </w:r>
            <w:r w:rsidR="000B62C1">
              <w:t xml:space="preserve"> </w:t>
            </w:r>
            <w:r w:rsidR="005C1E00">
              <w:t>of 1.17 (1.06</w:t>
            </w:r>
            <w:r w:rsidR="004D5ADD">
              <w:t>–</w:t>
            </w:r>
            <w:r w:rsidR="005C1E00">
              <w:t>1.45) for bus drivers and 1.44 (1.18</w:t>
            </w:r>
            <w:r w:rsidR="00F808FA">
              <w:softHyphen/>
              <w:t>–</w:t>
            </w:r>
            <w:r w:rsidR="005C1E00">
              <w:t>1.76</w:t>
            </w:r>
            <w:r w:rsidR="00727B55">
              <w:t>)</w:t>
            </w:r>
            <w:r w:rsidR="005C1E00">
              <w:t xml:space="preserve"> for the longest exposed groups</w:t>
            </w:r>
            <w:r w:rsidR="00267991">
              <w:t xml:space="preserve"> </w:t>
            </w:r>
          </w:p>
          <w:p w14:paraId="4835143A" w14:textId="77777777" w:rsidR="00EA5624" w:rsidRDefault="005B5A25" w:rsidP="00C806B5">
            <w:pPr>
              <w:pStyle w:val="ListBullet"/>
              <w:numPr>
                <w:ilvl w:val="0"/>
                <w:numId w:val="2"/>
              </w:numPr>
              <w:spacing w:before="60" w:after="60"/>
              <w:ind w:left="714" w:hanging="357"/>
              <w:contextualSpacing w:val="0"/>
            </w:pPr>
            <w:r>
              <w:t>Asthma: r</w:t>
            </w:r>
            <w:r w:rsidR="00EA5624" w:rsidRPr="00357AD4">
              <w:t>elationship with exposure and asthma</w:t>
            </w:r>
            <w:r w:rsidR="00306896" w:rsidRPr="00357AD4">
              <w:t xml:space="preserve"> </w:t>
            </w:r>
            <w:r w:rsidR="00306896">
              <w:t>identified</w:t>
            </w:r>
            <w:r w:rsidR="00E46EC3">
              <w:t xml:space="preserve"> in 3 case reports where increased bronchial hyper</w:t>
            </w:r>
            <w:r w:rsidR="001770B5">
              <w:t>-</w:t>
            </w:r>
            <w:r w:rsidR="00D50D47">
              <w:t>activity</w:t>
            </w:r>
            <w:r w:rsidR="00E46EC3">
              <w:t xml:space="preserve"> noted</w:t>
            </w:r>
            <w:r w:rsidR="00306896">
              <w:t>; no further information</w:t>
            </w:r>
          </w:p>
          <w:p w14:paraId="3755D73A" w14:textId="77777777" w:rsidR="00306896" w:rsidRDefault="00371E52" w:rsidP="00C806B5">
            <w:pPr>
              <w:pStyle w:val="ListBullet"/>
              <w:numPr>
                <w:ilvl w:val="0"/>
                <w:numId w:val="2"/>
              </w:numPr>
              <w:spacing w:before="60" w:after="60"/>
              <w:ind w:left="714" w:hanging="357"/>
              <w:contextualSpacing w:val="0"/>
            </w:pPr>
            <w:r>
              <w:t>Biomonitoring studies identified increases in exposure to genotoxic compounds in workers</w:t>
            </w:r>
            <w:r w:rsidR="00C644C1">
              <w:t xml:space="preserve"> (origin is unclear, considered PAH from </w:t>
            </w:r>
            <w:r w:rsidR="002825A4">
              <w:t>DEEE</w:t>
            </w:r>
            <w:r w:rsidR="00C644C1">
              <w:t xml:space="preserve"> and lubricating oils responsible)</w:t>
            </w:r>
            <w:r>
              <w:t>; increase in DNA adducts only at higher concentrations</w:t>
            </w:r>
          </w:p>
          <w:p w14:paraId="732EA3F5" w14:textId="77777777" w:rsidR="0095077B" w:rsidRDefault="0095077B" w:rsidP="00C806B5">
            <w:pPr>
              <w:pStyle w:val="ListBullet"/>
              <w:numPr>
                <w:ilvl w:val="0"/>
                <w:numId w:val="2"/>
              </w:numPr>
              <w:spacing w:before="60" w:after="60"/>
              <w:ind w:left="714" w:hanging="357"/>
              <w:contextualSpacing w:val="0"/>
            </w:pPr>
            <w:r>
              <w:t>Genotoxicity: no significant increase in urinary mutagenicity or urinary levels of thioether concentrations were reported in exposed individuals versus non-exposed</w:t>
            </w:r>
            <w:r w:rsidR="002A3689">
              <w:t>.</w:t>
            </w:r>
          </w:p>
          <w:p w14:paraId="5F54F0AD" w14:textId="77777777" w:rsidR="002E16A2" w:rsidRDefault="00306896" w:rsidP="003365A5">
            <w:pPr>
              <w:pStyle w:val="Tabletextprimarysource"/>
            </w:pPr>
            <w:r>
              <w:t>Animal data:</w:t>
            </w:r>
          </w:p>
          <w:p w14:paraId="58A214A8" w14:textId="77777777" w:rsidR="00306896" w:rsidRDefault="00445AB7" w:rsidP="00C806B5">
            <w:pPr>
              <w:pStyle w:val="ListBullet"/>
              <w:numPr>
                <w:ilvl w:val="0"/>
                <w:numId w:val="2"/>
              </w:numPr>
              <w:spacing w:before="60" w:after="60"/>
              <w:ind w:left="714" w:hanging="357"/>
              <w:contextualSpacing w:val="0"/>
            </w:pPr>
            <w:r>
              <w:t>NOAEL: 0.35 mg/m</w:t>
            </w:r>
            <w:r w:rsidRPr="00DD718E">
              <w:rPr>
                <w:vertAlign w:val="superscript"/>
              </w:rPr>
              <w:t>3</w:t>
            </w:r>
            <w:r>
              <w:t xml:space="preserve"> (rats</w:t>
            </w:r>
            <w:r w:rsidR="00357AD4">
              <w:t>; 2 y</w:t>
            </w:r>
            <w:r w:rsidR="009E23A8">
              <w:t>r</w:t>
            </w:r>
            <w:r w:rsidR="00357AD4">
              <w:t>,</w:t>
            </w:r>
            <w:r>
              <w:t xml:space="preserve"> inhalation); biochemical or cytoplasmic changes</w:t>
            </w:r>
          </w:p>
          <w:p w14:paraId="5CFF5BE1" w14:textId="77777777" w:rsidR="00445AB7" w:rsidRPr="007E024F" w:rsidRDefault="00357AD4" w:rsidP="00C806B5">
            <w:pPr>
              <w:pStyle w:val="ListBullet"/>
              <w:numPr>
                <w:ilvl w:val="0"/>
                <w:numId w:val="2"/>
              </w:numPr>
              <w:spacing w:before="60" w:after="60"/>
              <w:ind w:left="714" w:hanging="357"/>
              <w:contextualSpacing w:val="0"/>
            </w:pPr>
            <w:r w:rsidRPr="000418D1">
              <w:t>Main e</w:t>
            </w:r>
            <w:r w:rsidR="00445AB7" w:rsidRPr="000418D1">
              <w:t xml:space="preserve">ffects found in rats were hyper- and metaplastic changes and fibroses; </w:t>
            </w:r>
            <w:r w:rsidR="00727B55">
              <w:t>BW</w:t>
            </w:r>
            <w:r w:rsidR="00445AB7" w:rsidRPr="000418D1">
              <w:t xml:space="preserve"> loss a</w:t>
            </w:r>
            <w:r w:rsidR="00445AB7" w:rsidRPr="002825A4">
              <w:t>t high concentrations</w:t>
            </w:r>
            <w:r w:rsidR="000418D1" w:rsidRPr="002825A4">
              <w:t xml:space="preserve"> an</w:t>
            </w:r>
            <w:r w:rsidR="000418D1" w:rsidRPr="007E024F">
              <w:t>d increases in lung weights</w:t>
            </w:r>
          </w:p>
          <w:p w14:paraId="4B74A154" w14:textId="77777777" w:rsidR="009C3942" w:rsidRDefault="00445AB7" w:rsidP="00C806B5">
            <w:pPr>
              <w:pStyle w:val="ListBullet"/>
              <w:numPr>
                <w:ilvl w:val="0"/>
                <w:numId w:val="2"/>
              </w:numPr>
              <w:spacing w:before="60" w:after="60"/>
              <w:ind w:left="714" w:hanging="357"/>
              <w:contextualSpacing w:val="0"/>
            </w:pPr>
            <w:r w:rsidRPr="006D4A13">
              <w:t>Carcinogenic potential demonstrated in rats</w:t>
            </w:r>
            <w:r w:rsidR="003974C1" w:rsidRPr="006D4A13">
              <w:t xml:space="preserve"> only (not in other test species)</w:t>
            </w:r>
          </w:p>
          <w:p w14:paraId="545DDE25" w14:textId="77777777" w:rsidR="00445AB7" w:rsidRPr="00EF0A27" w:rsidRDefault="00445AB7" w:rsidP="009C3942">
            <w:pPr>
              <w:pStyle w:val="ListBullet"/>
              <w:numPr>
                <w:ilvl w:val="0"/>
                <w:numId w:val="10"/>
              </w:numPr>
              <w:spacing w:before="60" w:after="60"/>
              <w:ind w:left="1151" w:hanging="357"/>
              <w:contextualSpacing w:val="0"/>
            </w:pPr>
            <w:r w:rsidRPr="006D4A13">
              <w:t>significant lung tumour incidence at 2 mg/m</w:t>
            </w:r>
            <w:r w:rsidRPr="00DD718E">
              <w:rPr>
                <w:vertAlign w:val="superscript"/>
              </w:rPr>
              <w:t>3</w:t>
            </w:r>
            <w:r w:rsidRPr="00EF0A27">
              <w:t xml:space="preserve"> (particles) for 24 mo</w:t>
            </w:r>
          </w:p>
          <w:p w14:paraId="302007FC" w14:textId="77777777" w:rsidR="00445AB7" w:rsidRPr="000418D1" w:rsidRDefault="00445AB7" w:rsidP="00C806B5">
            <w:pPr>
              <w:pStyle w:val="ListBullet"/>
              <w:numPr>
                <w:ilvl w:val="0"/>
                <w:numId w:val="2"/>
              </w:numPr>
              <w:spacing w:before="60" w:after="60"/>
              <w:ind w:left="714" w:hanging="357"/>
              <w:contextualSpacing w:val="0"/>
            </w:pPr>
            <w:r w:rsidRPr="00391B7E">
              <w:t>Significant increase in lung tumour incidence in mice</w:t>
            </w:r>
            <w:r w:rsidR="002F27F5" w:rsidRPr="00391B7E">
              <w:t xml:space="preserve"> at </w:t>
            </w:r>
            <w:r w:rsidR="000418D1" w:rsidRPr="00D50D47">
              <w:t xml:space="preserve">soot concentration of </w:t>
            </w:r>
            <w:r w:rsidR="002F27F5" w:rsidRPr="000418D1">
              <w:t>4 mg/m</w:t>
            </w:r>
            <w:r w:rsidR="002F27F5" w:rsidRPr="00DD718E">
              <w:rPr>
                <w:vertAlign w:val="superscript"/>
              </w:rPr>
              <w:t>3</w:t>
            </w:r>
          </w:p>
          <w:p w14:paraId="57DF2084" w14:textId="77777777" w:rsidR="00445AB7" w:rsidRPr="007E024F" w:rsidRDefault="002F27F5" w:rsidP="00C806B5">
            <w:pPr>
              <w:pStyle w:val="ListBullet"/>
              <w:numPr>
                <w:ilvl w:val="0"/>
                <w:numId w:val="2"/>
              </w:numPr>
              <w:spacing w:before="60" w:after="60"/>
              <w:ind w:left="714" w:hanging="357"/>
              <w:contextualSpacing w:val="0"/>
            </w:pPr>
            <w:r w:rsidRPr="002825A4">
              <w:t>N</w:t>
            </w:r>
            <w:r w:rsidR="00FB0BE9" w:rsidRPr="002825A4">
              <w:t xml:space="preserve">o </w:t>
            </w:r>
            <w:r w:rsidRPr="002825A4">
              <w:t>increase in</w:t>
            </w:r>
            <w:r w:rsidR="00FB0BE9" w:rsidRPr="002825A4">
              <w:t xml:space="preserve"> tumour incidences in n</w:t>
            </w:r>
            <w:r w:rsidRPr="007E024F">
              <w:t xml:space="preserve">ewborn mice exposed to </w:t>
            </w:r>
            <w:r w:rsidR="00357AD4" w:rsidRPr="007E024F">
              <w:t>2</w:t>
            </w:r>
            <w:r w:rsidR="00354F64" w:rsidRPr="007E024F">
              <w:t>–</w:t>
            </w:r>
            <w:r w:rsidRPr="007E024F">
              <w:t>4 mg/m</w:t>
            </w:r>
            <w:r w:rsidRPr="00DD718E">
              <w:rPr>
                <w:vertAlign w:val="superscript"/>
              </w:rPr>
              <w:t>3</w:t>
            </w:r>
            <w:r w:rsidRPr="007E024F">
              <w:t xml:space="preserve"> </w:t>
            </w:r>
          </w:p>
          <w:p w14:paraId="25EF5D38" w14:textId="77777777" w:rsidR="006858D0" w:rsidRDefault="00FB0BE9" w:rsidP="00C806B5">
            <w:pPr>
              <w:pStyle w:val="ListBullet"/>
              <w:numPr>
                <w:ilvl w:val="0"/>
                <w:numId w:val="2"/>
              </w:numPr>
              <w:spacing w:before="60" w:after="60"/>
              <w:ind w:left="714" w:hanging="357"/>
              <w:contextualSpacing w:val="0"/>
            </w:pPr>
            <w:r>
              <w:t>Various DNA adducts detected in human lymphocytes incubated in diesel particle extraction</w:t>
            </w:r>
          </w:p>
          <w:p w14:paraId="6AD7EB15" w14:textId="77777777" w:rsidR="00FB0BE9" w:rsidRDefault="00FB0BE9" w:rsidP="00C806B5">
            <w:pPr>
              <w:pStyle w:val="ListBullet"/>
              <w:numPr>
                <w:ilvl w:val="0"/>
                <w:numId w:val="2"/>
              </w:numPr>
              <w:spacing w:before="60" w:after="60"/>
              <w:ind w:left="714" w:hanging="357"/>
              <w:contextualSpacing w:val="0"/>
            </w:pPr>
            <w:r>
              <w:t>An adjuvant effect has been demonstrated in sensitisation studies in various animal models and humans.</w:t>
            </w:r>
          </w:p>
          <w:p w14:paraId="7862783D" w14:textId="77777777" w:rsidR="002A3689" w:rsidRPr="00DA352E" w:rsidRDefault="002A3689" w:rsidP="00C806B5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63A3E388" w14:textId="77777777" w:rsidTr="00C806B5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CF87B6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FB0BE9" w:rsidDel="00EF258C">
                  <w:t>2016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FB0BE9">
                  <w:t>Not assigned</w:t>
                </w:r>
              </w:sdtContent>
            </w:sdt>
          </w:p>
        </w:tc>
      </w:tr>
      <w:tr w:rsidR="00C978F0" w:rsidRPr="00DA352E" w14:paraId="4F8181B7" w14:textId="77777777" w:rsidTr="00C806B5">
        <w:trPr>
          <w:gridAfter w:val="1"/>
          <w:wAfter w:w="8" w:type="pct"/>
        </w:trPr>
        <w:tc>
          <w:tcPr>
            <w:tcW w:w="4992" w:type="pct"/>
          </w:tcPr>
          <w:p w14:paraId="215CB7A4" w14:textId="77777777" w:rsidR="00C978F0" w:rsidRDefault="00FB0BE9" w:rsidP="003365A5">
            <w:pPr>
              <w:pStyle w:val="Tabletextprimarysource"/>
            </w:pPr>
            <w:r>
              <w:t>Summary of</w:t>
            </w:r>
            <w:r w:rsidR="00F808FA">
              <w:t xml:space="preserve"> additional</w:t>
            </w:r>
            <w:r>
              <w:t xml:space="preserve"> data:</w:t>
            </w:r>
          </w:p>
          <w:p w14:paraId="7CFDE33E" w14:textId="77777777" w:rsidR="007E024F" w:rsidRDefault="00E30F36" w:rsidP="00C806B5">
            <w:pPr>
              <w:pStyle w:val="ListBullet"/>
              <w:numPr>
                <w:ilvl w:val="0"/>
                <w:numId w:val="2"/>
              </w:numPr>
              <w:spacing w:before="60" w:after="60"/>
              <w:ind w:left="714" w:hanging="357"/>
              <w:contextualSpacing w:val="0"/>
            </w:pPr>
            <w:r>
              <w:t xml:space="preserve">Refers to </w:t>
            </w:r>
            <w:r w:rsidR="007E024F" w:rsidRPr="00C806B5">
              <w:t>‘</w:t>
            </w:r>
            <w:r>
              <w:t>t</w:t>
            </w:r>
            <w:r w:rsidR="008818F8">
              <w:t xml:space="preserve">raditional </w:t>
            </w:r>
            <w:r w:rsidR="002825A4">
              <w:t>DEE</w:t>
            </w:r>
            <w:r w:rsidR="008818F8">
              <w:t>E</w:t>
            </w:r>
            <w:r w:rsidR="007E024F">
              <w:t>’</w:t>
            </w:r>
            <w:r w:rsidR="008818F8">
              <w:t xml:space="preserve"> (Euro 2 emission standards)</w:t>
            </w:r>
            <w:r>
              <w:t xml:space="preserve"> </w:t>
            </w:r>
            <w:r w:rsidR="007E024F">
              <w:t>vs ‘</w:t>
            </w:r>
            <w:r>
              <w:t xml:space="preserve">new technology </w:t>
            </w:r>
            <w:r w:rsidR="002825A4">
              <w:t>DEEE</w:t>
            </w:r>
            <w:r w:rsidR="007E024F">
              <w:t>’</w:t>
            </w:r>
            <w:r>
              <w:t xml:space="preserve"> (Euro 3 and Euro III)</w:t>
            </w:r>
            <w:r w:rsidR="006D4A13">
              <w:t xml:space="preserve"> engines</w:t>
            </w:r>
          </w:p>
          <w:p w14:paraId="3303CB78" w14:textId="77777777" w:rsidR="00727B55" w:rsidRDefault="008818F8" w:rsidP="00C806B5">
            <w:pPr>
              <w:pStyle w:val="ListBullet"/>
              <w:numPr>
                <w:ilvl w:val="0"/>
                <w:numId w:val="2"/>
              </w:numPr>
              <w:spacing w:before="60" w:after="60"/>
              <w:ind w:left="714" w:hanging="357"/>
              <w:contextualSpacing w:val="0"/>
            </w:pPr>
            <w:r>
              <w:t>Mixture of hundreds of chemical compounds, emitted partly in the gaseous phase, partly in the particulate phase</w:t>
            </w:r>
          </w:p>
          <w:p w14:paraId="33A17D81" w14:textId="77777777" w:rsidR="008818F8" w:rsidRDefault="008818F8" w:rsidP="00C806B5">
            <w:pPr>
              <w:pStyle w:val="ListBullet"/>
              <w:numPr>
                <w:ilvl w:val="0"/>
                <w:numId w:val="10"/>
              </w:numPr>
              <w:spacing w:before="60" w:after="60"/>
              <w:ind w:left="1151" w:hanging="357"/>
              <w:contextualSpacing w:val="0"/>
            </w:pPr>
            <w:r>
              <w:t xml:space="preserve">composition varies depending on engine, fuel </w:t>
            </w:r>
            <w:r w:rsidR="008264F0">
              <w:t>formulations, lubricating oil, additives</w:t>
            </w:r>
            <w:r w:rsidR="006D4A13">
              <w:t xml:space="preserve"> </w:t>
            </w:r>
            <w:r>
              <w:t>and other factors</w:t>
            </w:r>
            <w:r w:rsidR="006D4A13">
              <w:t xml:space="preserve"> (mobile vs non-mobile sources)</w:t>
            </w:r>
          </w:p>
          <w:p w14:paraId="55589F92" w14:textId="48E6ACE9" w:rsidR="008F016E" w:rsidRDefault="006D4A13" w:rsidP="00C806B5">
            <w:pPr>
              <w:pStyle w:val="ListBullet"/>
              <w:numPr>
                <w:ilvl w:val="0"/>
                <w:numId w:val="2"/>
              </w:numPr>
              <w:spacing w:before="60" w:after="60"/>
              <w:ind w:left="714" w:hanging="357"/>
              <w:contextualSpacing w:val="0"/>
            </w:pPr>
            <w:r>
              <w:t>Traditional DEEE contains</w:t>
            </w:r>
            <w:r w:rsidR="0004616D">
              <w:t xml:space="preserve"> p</w:t>
            </w:r>
            <w:r w:rsidR="008818F8">
              <w:t>roducts of incomplete combustion of toxicological relevance includ</w:t>
            </w:r>
            <w:r w:rsidR="00632E70">
              <w:t>ing</w:t>
            </w:r>
            <w:r w:rsidR="008818F8">
              <w:t xml:space="preserve"> formaldehyde, acetaldehyde, acrolein, benzene, 1,3-butadiene, toluene, </w:t>
            </w:r>
            <w:r w:rsidR="007E14EA">
              <w:t>PAH</w:t>
            </w:r>
            <w:r w:rsidR="008818F8">
              <w:t xml:space="preserve"> and nitro-PAH and particles of different sizes</w:t>
            </w:r>
            <w:r w:rsidR="0004616D">
              <w:t xml:space="preserve"> </w:t>
            </w:r>
          </w:p>
          <w:p w14:paraId="43EE787C" w14:textId="77777777" w:rsidR="00727B55" w:rsidRDefault="0004616D" w:rsidP="00C806B5">
            <w:pPr>
              <w:pStyle w:val="ListBullet"/>
              <w:numPr>
                <w:ilvl w:val="0"/>
                <w:numId w:val="2"/>
              </w:numPr>
              <w:spacing w:before="60" w:after="60"/>
              <w:ind w:left="714" w:hanging="357"/>
              <w:contextualSpacing w:val="0"/>
            </w:pPr>
            <w:r>
              <w:t>Mode of action: i) direct genotoxicity and/or ii) inflammatory response causing oxidative stress and reactive oxygen species resulting in tumours</w:t>
            </w:r>
          </w:p>
          <w:p w14:paraId="2E90FBB9" w14:textId="77777777" w:rsidR="008818F8" w:rsidRDefault="00727B55" w:rsidP="00C806B5">
            <w:pPr>
              <w:pStyle w:val="ListBullet"/>
              <w:numPr>
                <w:ilvl w:val="0"/>
                <w:numId w:val="10"/>
              </w:numPr>
              <w:spacing w:before="60" w:after="60"/>
              <w:ind w:left="1151" w:hanging="357"/>
              <w:contextualSpacing w:val="0"/>
            </w:pPr>
            <w:r>
              <w:t>c</w:t>
            </w:r>
            <w:r w:rsidR="0004616D">
              <w:t>lassified as Carcinogen Category B or C based on non-linear dose-response and threshold mechanism</w:t>
            </w:r>
          </w:p>
          <w:p w14:paraId="0B15B769" w14:textId="77777777" w:rsidR="00727B55" w:rsidRDefault="0004616D" w:rsidP="00C806B5">
            <w:pPr>
              <w:pStyle w:val="ListBullet"/>
              <w:numPr>
                <w:ilvl w:val="0"/>
                <w:numId w:val="2"/>
              </w:numPr>
              <w:spacing w:before="60" w:after="60"/>
              <w:ind w:left="714" w:hanging="357"/>
              <w:contextualSpacing w:val="0"/>
            </w:pPr>
            <w:r>
              <w:t>New technology DEEE</w:t>
            </w:r>
            <w:r w:rsidR="00C85C7D">
              <w:t xml:space="preserve"> contains 90% </w:t>
            </w:r>
            <w:r w:rsidR="00EF0A27">
              <w:t>lower</w:t>
            </w:r>
            <w:r w:rsidR="00C85C7D">
              <w:t xml:space="preserve"> mass of particulates and adsorbed mutagenic compounds when compared to Euro I and II engines</w:t>
            </w:r>
          </w:p>
          <w:p w14:paraId="5B29EA65" w14:textId="77777777" w:rsidR="00C85C7D" w:rsidRDefault="00C85C7D" w:rsidP="00C806B5">
            <w:pPr>
              <w:pStyle w:val="ListBullet"/>
              <w:numPr>
                <w:ilvl w:val="0"/>
                <w:numId w:val="10"/>
              </w:numPr>
              <w:spacing w:before="60" w:after="60"/>
              <w:ind w:left="1151" w:hanging="357"/>
              <w:contextualSpacing w:val="0"/>
            </w:pPr>
            <w:r>
              <w:t>toxic effects in lung attributable to NO</w:t>
            </w:r>
            <w:r w:rsidRPr="00DD718E">
              <w:rPr>
                <w:vertAlign w:val="subscript"/>
              </w:rPr>
              <w:t>2</w:t>
            </w:r>
            <w:r>
              <w:t xml:space="preserve"> exposures and </w:t>
            </w:r>
            <w:r w:rsidR="00EF0A27">
              <w:t xml:space="preserve">as such, </w:t>
            </w:r>
            <w:r>
              <w:t xml:space="preserve">no tumours or genotoxicity </w:t>
            </w:r>
            <w:r w:rsidRPr="00DD718E">
              <w:rPr>
                <w:i/>
              </w:rPr>
              <w:t>in vivo</w:t>
            </w:r>
            <w:r>
              <w:t xml:space="preserve"> in 1</w:t>
            </w:r>
            <w:r w:rsidR="00727B55">
              <w:t xml:space="preserve"> </w:t>
            </w:r>
            <w:r>
              <w:t>yr mouse and 2</w:t>
            </w:r>
            <w:r w:rsidR="00727B55">
              <w:t xml:space="preserve"> </w:t>
            </w:r>
            <w:r>
              <w:t>yr rat study</w:t>
            </w:r>
          </w:p>
          <w:p w14:paraId="721207D2" w14:textId="77777777" w:rsidR="00E30F36" w:rsidRDefault="006A35B7" w:rsidP="00C806B5">
            <w:pPr>
              <w:pStyle w:val="ListBullet"/>
              <w:numPr>
                <w:ilvl w:val="0"/>
                <w:numId w:val="2"/>
              </w:numPr>
              <w:spacing w:before="60" w:after="60"/>
              <w:ind w:left="714" w:hanging="357"/>
              <w:contextualSpacing w:val="0"/>
            </w:pPr>
            <w:r>
              <w:t>Genotoxicity and Carcinogenicity: w</w:t>
            </w:r>
            <w:r w:rsidR="00EF0A27">
              <w:t>hile toxicological data support a threshold (</w:t>
            </w:r>
            <w:r w:rsidR="00EF0A27" w:rsidRPr="00EF0A27">
              <w:t>≤</w:t>
            </w:r>
            <w:r w:rsidR="00EF0A27">
              <w:t>0.02</w:t>
            </w:r>
            <w:r w:rsidR="00F808FA">
              <w:t> </w:t>
            </w:r>
            <w:r w:rsidR="00EF0A27">
              <w:t>mg/m</w:t>
            </w:r>
            <w:r w:rsidR="00EF0A27" w:rsidRPr="00DD718E">
              <w:rPr>
                <w:vertAlign w:val="superscript"/>
              </w:rPr>
              <w:t>3</w:t>
            </w:r>
            <w:r w:rsidR="00EF0A27">
              <w:t xml:space="preserve"> corresponding to </w:t>
            </w:r>
            <w:r w:rsidR="00E30F36">
              <w:t>0.015 mg/m</w:t>
            </w:r>
            <w:r w:rsidR="00E30F36" w:rsidRPr="00DD718E">
              <w:rPr>
                <w:vertAlign w:val="superscript"/>
              </w:rPr>
              <w:t>3</w:t>
            </w:r>
            <w:r w:rsidR="00E30F36" w:rsidRPr="00D50D47">
              <w:t xml:space="preserve"> </w:t>
            </w:r>
            <w:r w:rsidR="003C2D98">
              <w:t xml:space="preserve">respirable </w:t>
            </w:r>
            <w:r w:rsidR="00EF0A27">
              <w:t xml:space="preserve">EC), epidemiological data suggest </w:t>
            </w:r>
            <w:r w:rsidR="00EF0A27">
              <w:lastRenderedPageBreak/>
              <w:t xml:space="preserve">significant cancer risks </w:t>
            </w:r>
            <w:r w:rsidR="00EF0A27" w:rsidRPr="00EF0A27">
              <w:t>at</w:t>
            </w:r>
            <w:r w:rsidR="00EF0A27" w:rsidRPr="00391B7E">
              <w:t xml:space="preserve"> and below these exposure levels</w:t>
            </w:r>
            <w:r w:rsidR="00821A90">
              <w:t xml:space="preserve">; therefore, </w:t>
            </w:r>
            <w:r>
              <w:t>protective occupational exposure limit could not be derived</w:t>
            </w:r>
          </w:p>
          <w:p w14:paraId="38C2E90B" w14:textId="77777777" w:rsidR="008E2685" w:rsidRDefault="008E2685" w:rsidP="00C806B5">
            <w:pPr>
              <w:pStyle w:val="ListBullet"/>
              <w:numPr>
                <w:ilvl w:val="0"/>
                <w:numId w:val="2"/>
              </w:numPr>
              <w:spacing w:before="60" w:after="60"/>
              <w:ind w:left="714" w:hanging="357"/>
              <w:contextualSpacing w:val="0"/>
            </w:pPr>
            <w:r>
              <w:t>STEL not applicable</w:t>
            </w:r>
            <w:r w:rsidR="006A35B7">
              <w:t xml:space="preserve"> due to length of time for lung toxicity to develop</w:t>
            </w:r>
          </w:p>
          <w:p w14:paraId="28731840" w14:textId="77777777" w:rsidR="006A35B7" w:rsidRDefault="006A35B7" w:rsidP="00C806B5">
            <w:pPr>
              <w:pStyle w:val="ListBullet"/>
              <w:numPr>
                <w:ilvl w:val="0"/>
                <w:numId w:val="2"/>
              </w:numPr>
              <w:spacing w:before="60" w:after="60"/>
              <w:ind w:left="714" w:hanging="357"/>
              <w:contextualSpacing w:val="0"/>
            </w:pPr>
            <w:r>
              <w:t>No reproductive/developmental effects</w:t>
            </w:r>
          </w:p>
          <w:p w14:paraId="62760D24" w14:textId="77777777" w:rsidR="008E2685" w:rsidRDefault="008E2685" w:rsidP="00C806B5">
            <w:pPr>
              <w:pStyle w:val="ListBullet"/>
              <w:numPr>
                <w:ilvl w:val="0"/>
                <w:numId w:val="2"/>
              </w:numPr>
              <w:spacing w:before="60" w:after="60"/>
              <w:ind w:left="714" w:hanging="357"/>
              <w:contextualSpacing w:val="0"/>
            </w:pPr>
            <w:r>
              <w:t>Not consider an allergen; may exacerbate allergenic and asthma-like responses.</w:t>
            </w:r>
          </w:p>
          <w:p w14:paraId="65E2F944" w14:textId="77777777" w:rsidR="008F016E" w:rsidRPr="00DA352E" w:rsidRDefault="008F016E" w:rsidP="00C806B5">
            <w:pPr>
              <w:pStyle w:val="ListBullet"/>
              <w:numPr>
                <w:ilvl w:val="0"/>
                <w:numId w:val="0"/>
              </w:numPr>
              <w:spacing w:before="60" w:after="60"/>
              <w:ind w:left="714"/>
              <w:contextualSpacing w:val="0"/>
            </w:pPr>
          </w:p>
        </w:tc>
      </w:tr>
      <w:tr w:rsidR="00DA352E" w:rsidRPr="00DA352E" w14:paraId="3B5A4ED7" w14:textId="77777777" w:rsidTr="00C806B5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65A256B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023B6" w:rsidDel="00EF258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9023B6">
                  <w:t>NA</w:t>
                </w:r>
              </w:sdtContent>
            </w:sdt>
          </w:p>
        </w:tc>
      </w:tr>
      <w:tr w:rsidR="00DA352E" w:rsidRPr="00DA352E" w14:paraId="2276C1E2" w14:textId="77777777" w:rsidTr="00C806B5">
        <w:trPr>
          <w:gridAfter w:val="1"/>
          <w:wAfter w:w="8" w:type="pct"/>
        </w:trPr>
        <w:tc>
          <w:tcPr>
            <w:tcW w:w="4992" w:type="pct"/>
          </w:tcPr>
          <w:p w14:paraId="128F6733" w14:textId="77777777" w:rsidR="00DA352E" w:rsidRPr="00DA352E" w:rsidRDefault="009023B6" w:rsidP="003365A5">
            <w:pPr>
              <w:pStyle w:val="Tabletextprimarysource"/>
            </w:pPr>
            <w:r>
              <w:t>No report</w:t>
            </w:r>
            <w:r w:rsidR="00A220DA">
              <w:t>.</w:t>
            </w:r>
          </w:p>
        </w:tc>
      </w:tr>
      <w:tr w:rsidR="00DA352E" w:rsidRPr="00DA352E" w14:paraId="1FAA314D" w14:textId="77777777" w:rsidTr="00C806B5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0F8B0FA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20C45" w:rsidDel="00EF258C">
                  <w:t>2019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A20C45">
                  <w:t>Not assigned</w:t>
                </w:r>
              </w:sdtContent>
            </w:sdt>
          </w:p>
        </w:tc>
      </w:tr>
      <w:tr w:rsidR="00DA352E" w:rsidRPr="00DA352E" w14:paraId="211D272F" w14:textId="77777777" w:rsidTr="00C806B5">
        <w:trPr>
          <w:gridAfter w:val="1"/>
          <w:wAfter w:w="8" w:type="pct"/>
        </w:trPr>
        <w:tc>
          <w:tcPr>
            <w:tcW w:w="4992" w:type="pct"/>
          </w:tcPr>
          <w:p w14:paraId="5F321F94" w14:textId="77777777" w:rsidR="00DA352E" w:rsidRDefault="00FB0BE9" w:rsidP="003365A5">
            <w:pPr>
              <w:pStyle w:val="Tabletextprimarysource"/>
            </w:pPr>
            <w:r>
              <w:t xml:space="preserve">Summary of </w:t>
            </w:r>
            <w:r w:rsidR="008F016E">
              <w:t xml:space="preserve">additional </w:t>
            </w:r>
            <w:r>
              <w:t>data:</w:t>
            </w:r>
          </w:p>
          <w:p w14:paraId="20F24AFB" w14:textId="77777777" w:rsidR="00FB0BE9" w:rsidRDefault="008E2685" w:rsidP="00C806B5">
            <w:pPr>
              <w:pStyle w:val="ListBullet"/>
              <w:numPr>
                <w:ilvl w:val="0"/>
                <w:numId w:val="2"/>
              </w:numPr>
              <w:spacing w:before="60" w:after="60"/>
              <w:ind w:left="714" w:hanging="357"/>
              <w:contextualSpacing w:val="0"/>
            </w:pPr>
            <w:r>
              <w:t>Occupational exposure associated with respiratory inflammation and adverse cardiovascular effects</w:t>
            </w:r>
          </w:p>
          <w:p w14:paraId="0A334D56" w14:textId="77777777" w:rsidR="008E2685" w:rsidRDefault="008E2685" w:rsidP="00C806B5">
            <w:pPr>
              <w:pStyle w:val="ListBullet"/>
              <w:numPr>
                <w:ilvl w:val="0"/>
                <w:numId w:val="2"/>
              </w:numPr>
              <w:spacing w:before="60" w:after="60"/>
              <w:ind w:left="714" w:hanging="357"/>
              <w:contextualSpacing w:val="0"/>
            </w:pPr>
            <w:r>
              <w:t xml:space="preserve">Exposure can induce lung cancer; components present in the particulate matter induce lung cancer by a stochastic genotoxic mode of action; other components may induce cancer </w:t>
            </w:r>
            <w:r w:rsidRPr="00C806B5">
              <w:rPr>
                <w:i/>
              </w:rPr>
              <w:t>via</w:t>
            </w:r>
            <w:r>
              <w:t xml:space="preserve"> non-genotoxic mechanisms</w:t>
            </w:r>
          </w:p>
          <w:p w14:paraId="6D2AA106" w14:textId="77777777" w:rsidR="008E2685" w:rsidRDefault="008E2685" w:rsidP="00C806B5">
            <w:pPr>
              <w:pStyle w:val="ListBullet"/>
              <w:numPr>
                <w:ilvl w:val="0"/>
                <w:numId w:val="2"/>
              </w:numPr>
              <w:spacing w:before="60" w:after="60"/>
              <w:ind w:left="714" w:hanging="357"/>
              <w:contextualSpacing w:val="0"/>
            </w:pPr>
            <w:r>
              <w:t>3 epidemiological studies (</w:t>
            </w:r>
            <w:r w:rsidR="00354F64">
              <w:t>1998–</w:t>
            </w:r>
            <w:r w:rsidR="007A678D">
              <w:t>2013) in trucking and mining industry workers show statistically significant positive associations and trends between cumulative respirable EC and lung cancer mortality</w:t>
            </w:r>
          </w:p>
          <w:p w14:paraId="177059A5" w14:textId="77777777" w:rsidR="00FD410F" w:rsidRDefault="008F016E" w:rsidP="00C806B5">
            <w:pPr>
              <w:pStyle w:val="ListBullet"/>
              <w:numPr>
                <w:ilvl w:val="0"/>
                <w:numId w:val="10"/>
              </w:numPr>
              <w:spacing w:before="60" w:after="60"/>
              <w:ind w:left="1151" w:hanging="357"/>
              <w:contextualSpacing w:val="0"/>
            </w:pPr>
            <w:r>
              <w:t>c</w:t>
            </w:r>
            <w:r w:rsidR="00FD410F">
              <w:t>onsidered uncertainties on actual historical exposure levels, smoking or co-exposure to known carcinogenic substances adequately addressed</w:t>
            </w:r>
          </w:p>
          <w:p w14:paraId="4C2BC929" w14:textId="77777777" w:rsidR="00FD410F" w:rsidRDefault="007A678D" w:rsidP="00C806B5">
            <w:pPr>
              <w:pStyle w:val="ListBullet"/>
              <w:numPr>
                <w:ilvl w:val="0"/>
                <w:numId w:val="2"/>
              </w:numPr>
              <w:spacing w:before="60" w:after="60"/>
              <w:ind w:left="714" w:hanging="357"/>
              <w:contextualSpacing w:val="0"/>
            </w:pPr>
            <w:r>
              <w:t>Derived risk-based exposure levels with lung cancer as critical effect</w:t>
            </w:r>
            <w:r w:rsidR="00FD410F">
              <w:t xml:space="preserve"> based on meta-analysis of the 3 epidemiological studies</w:t>
            </w:r>
          </w:p>
          <w:p w14:paraId="46D108E7" w14:textId="77777777" w:rsidR="00354F64" w:rsidRDefault="00727B55" w:rsidP="00C806B5">
            <w:pPr>
              <w:pStyle w:val="ListBullet"/>
              <w:numPr>
                <w:ilvl w:val="0"/>
                <w:numId w:val="10"/>
              </w:numPr>
              <w:spacing w:before="60" w:after="60"/>
              <w:ind w:left="1151" w:hanging="357"/>
              <w:contextualSpacing w:val="0"/>
            </w:pPr>
            <w:r>
              <w:t xml:space="preserve">respirable EC </w:t>
            </w:r>
            <w:r w:rsidR="0008263C">
              <w:t>is</w:t>
            </w:r>
            <w:r w:rsidR="00FD410F">
              <w:t xml:space="preserve"> </w:t>
            </w:r>
            <w:r w:rsidR="00354F64">
              <w:t xml:space="preserve">the </w:t>
            </w:r>
            <w:r w:rsidR="00FD410F">
              <w:t xml:space="preserve">exposure marker/parameter as a specific and sensitive indicator of </w:t>
            </w:r>
            <w:r w:rsidR="002825A4">
              <w:t>DEEE</w:t>
            </w:r>
            <w:r w:rsidR="00FD410F">
              <w:t xml:space="preserve"> exposure</w:t>
            </w:r>
          </w:p>
          <w:p w14:paraId="5C4F6C0B" w14:textId="77777777" w:rsidR="007A678D" w:rsidRDefault="008F016E" w:rsidP="00C806B5">
            <w:pPr>
              <w:pStyle w:val="ListBullet"/>
              <w:numPr>
                <w:ilvl w:val="0"/>
                <w:numId w:val="10"/>
              </w:numPr>
              <w:spacing w:before="60" w:after="60"/>
              <w:ind w:left="1151" w:hanging="357"/>
              <w:contextualSpacing w:val="0"/>
            </w:pPr>
            <w:r>
              <w:t>c</w:t>
            </w:r>
            <w:r w:rsidR="00F66EDB">
              <w:t>arcinogenic components primarily found in the particulate matter</w:t>
            </w:r>
          </w:p>
          <w:p w14:paraId="6DF0D1F0" w14:textId="77777777" w:rsidR="00F66EDB" w:rsidRDefault="008F016E" w:rsidP="00C806B5">
            <w:pPr>
              <w:pStyle w:val="ListBullet"/>
              <w:numPr>
                <w:ilvl w:val="0"/>
                <w:numId w:val="10"/>
              </w:numPr>
              <w:spacing w:before="60" w:after="60"/>
              <w:ind w:left="1151" w:hanging="357"/>
              <w:contextualSpacing w:val="0"/>
            </w:pPr>
            <w:r>
              <w:t>b</w:t>
            </w:r>
            <w:r w:rsidR="00F66EDB">
              <w:t xml:space="preserve">ased on predicted exposure-response curve calculated in the meta-analysis </w:t>
            </w:r>
          </w:p>
          <w:p w14:paraId="4AB2CC43" w14:textId="77777777" w:rsidR="00F66EDB" w:rsidRDefault="008F016E" w:rsidP="00C806B5">
            <w:pPr>
              <w:pStyle w:val="ListBullet"/>
              <w:numPr>
                <w:ilvl w:val="0"/>
                <w:numId w:val="10"/>
              </w:numPr>
              <w:spacing w:before="60" w:after="60"/>
              <w:ind w:left="1151" w:hanging="357"/>
              <w:contextualSpacing w:val="0"/>
            </w:pPr>
            <w:r>
              <w:t>c</w:t>
            </w:r>
            <w:r w:rsidR="00F66EDB">
              <w:t xml:space="preserve">oncentrations of </w:t>
            </w:r>
            <w:r w:rsidR="00727B55">
              <w:t xml:space="preserve">respirable </w:t>
            </w:r>
            <w:r w:rsidR="00F66EDB">
              <w:t xml:space="preserve">EC correspond to </w:t>
            </w:r>
            <w:r w:rsidR="00727B55">
              <w:t>RR</w:t>
            </w:r>
            <w:r w:rsidR="00F66EDB">
              <w:t xml:space="preserve"> calculated using a log-linear model equation</w:t>
            </w:r>
          </w:p>
          <w:p w14:paraId="48530BB8" w14:textId="77777777" w:rsidR="00FD410F" w:rsidRDefault="00FD410F" w:rsidP="00C806B5">
            <w:pPr>
              <w:pStyle w:val="ListBullet"/>
              <w:numPr>
                <w:ilvl w:val="0"/>
                <w:numId w:val="10"/>
              </w:numPr>
              <w:spacing w:before="60" w:after="60"/>
              <w:ind w:left="1151" w:hanging="357"/>
              <w:contextualSpacing w:val="0"/>
            </w:pPr>
            <w:r>
              <w:t xml:space="preserve">TWA of 0.011 </w:t>
            </w:r>
            <w:r w:rsidRPr="00DD718E">
              <w:t>µ</w:t>
            </w:r>
            <w:r>
              <w:t>g/m</w:t>
            </w:r>
            <w:r w:rsidRPr="00DD718E">
              <w:rPr>
                <w:vertAlign w:val="superscript"/>
              </w:rPr>
              <w:t>3</w:t>
            </w:r>
            <w:r>
              <w:t xml:space="preserve"> corresponds to 4 extra </w:t>
            </w:r>
            <w:r w:rsidR="009A3355">
              <w:t xml:space="preserve">lung cancer </w:t>
            </w:r>
            <w:r>
              <w:t xml:space="preserve">death cases </w:t>
            </w:r>
            <w:r w:rsidR="00354F64">
              <w:t xml:space="preserve">per </w:t>
            </w:r>
            <w:proofErr w:type="gramStart"/>
            <w:r w:rsidR="00354F64">
              <w:t>100,000;</w:t>
            </w:r>
            <w:proofErr w:type="gramEnd"/>
            <w:r w:rsidR="00354F64">
              <w:t xml:space="preserve"> 40</w:t>
            </w:r>
            <w:r w:rsidR="00DD718E">
              <w:t> </w:t>
            </w:r>
            <w:r w:rsidR="00354F64">
              <w:t>y</w:t>
            </w:r>
            <w:r w:rsidR="003C2D98">
              <w:t>r</w:t>
            </w:r>
            <w:r>
              <w:t xml:space="preserve"> occupational exposure</w:t>
            </w:r>
          </w:p>
          <w:p w14:paraId="34F56278" w14:textId="77777777" w:rsidR="00FD410F" w:rsidRDefault="00FD410F" w:rsidP="00C806B5">
            <w:pPr>
              <w:pStyle w:val="ListBullet"/>
              <w:numPr>
                <w:ilvl w:val="0"/>
                <w:numId w:val="10"/>
              </w:numPr>
              <w:spacing w:before="60" w:after="60"/>
              <w:ind w:left="1151" w:hanging="357"/>
              <w:contextualSpacing w:val="0"/>
            </w:pPr>
            <w:r>
              <w:t xml:space="preserve">TWA of 1.03 </w:t>
            </w:r>
            <w:r w:rsidRPr="00DD718E">
              <w:t>µ</w:t>
            </w:r>
            <w:r>
              <w:t>g/m</w:t>
            </w:r>
            <w:r w:rsidRPr="00DD718E">
              <w:rPr>
                <w:vertAlign w:val="superscript"/>
              </w:rPr>
              <w:t>3</w:t>
            </w:r>
            <w:r>
              <w:t xml:space="preserve"> corresponds to 4 extra </w:t>
            </w:r>
            <w:r w:rsidR="009A3355">
              <w:t xml:space="preserve">lung cancer </w:t>
            </w:r>
            <w:r>
              <w:t xml:space="preserve">death cases </w:t>
            </w:r>
            <w:r w:rsidR="00354F64">
              <w:t xml:space="preserve">per </w:t>
            </w:r>
            <w:proofErr w:type="gramStart"/>
            <w:r w:rsidR="00354F64">
              <w:t>1,000;</w:t>
            </w:r>
            <w:proofErr w:type="gramEnd"/>
            <w:r w:rsidR="00354F64">
              <w:t xml:space="preserve"> 40</w:t>
            </w:r>
            <w:r w:rsidR="00DD718E">
              <w:t xml:space="preserve"> </w:t>
            </w:r>
            <w:r w:rsidR="00354F64">
              <w:t>y</w:t>
            </w:r>
            <w:r w:rsidR="003C2D98">
              <w:t>r</w:t>
            </w:r>
            <w:r>
              <w:t xml:space="preserve"> occupational exposure</w:t>
            </w:r>
          </w:p>
          <w:p w14:paraId="44CF5A27" w14:textId="77777777" w:rsidR="00FD410F" w:rsidRDefault="00F66EDB" w:rsidP="00C806B5">
            <w:pPr>
              <w:pStyle w:val="ListBullet"/>
              <w:numPr>
                <w:ilvl w:val="0"/>
                <w:numId w:val="2"/>
              </w:numPr>
              <w:spacing w:before="60" w:after="60"/>
              <w:ind w:left="714" w:hanging="357"/>
              <w:contextualSpacing w:val="0"/>
            </w:pPr>
            <w:r>
              <w:t>Not necessary to derive STEL due to long lung clearance duration</w:t>
            </w:r>
          </w:p>
          <w:p w14:paraId="61C26BB9" w14:textId="77777777" w:rsidR="00F66EDB" w:rsidRDefault="00F66EDB" w:rsidP="00C806B5">
            <w:pPr>
              <w:pStyle w:val="ListBullet"/>
              <w:numPr>
                <w:ilvl w:val="0"/>
                <w:numId w:val="2"/>
              </w:numPr>
              <w:spacing w:before="60" w:after="60"/>
              <w:ind w:left="714" w:hanging="357"/>
              <w:contextualSpacing w:val="0"/>
            </w:pPr>
            <w:r>
              <w:t>No substantial dermal absorption expected</w:t>
            </w:r>
            <w:r w:rsidR="00354F64">
              <w:t>.</w:t>
            </w:r>
          </w:p>
          <w:p w14:paraId="7AAB8513" w14:textId="77777777" w:rsidR="007B15AA" w:rsidRPr="00DA352E" w:rsidRDefault="007B15AA" w:rsidP="00C806B5">
            <w:pPr>
              <w:pStyle w:val="ListBullet"/>
              <w:numPr>
                <w:ilvl w:val="0"/>
                <w:numId w:val="0"/>
              </w:numPr>
              <w:spacing w:before="60" w:after="60"/>
              <w:ind w:left="714"/>
              <w:contextualSpacing w:val="0"/>
            </w:pPr>
          </w:p>
        </w:tc>
      </w:tr>
    </w:tbl>
    <w:p w14:paraId="76750485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42"/>
        <w:gridCol w:w="684"/>
        <w:gridCol w:w="806"/>
        <w:gridCol w:w="6094"/>
      </w:tblGrid>
      <w:tr w:rsidR="004966BF" w:rsidRPr="00263255" w14:paraId="47CAE790" w14:textId="77777777" w:rsidTr="00EF258C">
        <w:trPr>
          <w:cantSplit/>
          <w:trHeight w:val="393"/>
          <w:tblHeader/>
        </w:trPr>
        <w:tc>
          <w:tcPr>
            <w:tcW w:w="1443" w:type="dxa"/>
            <w:shd w:val="clear" w:color="auto" w:fill="BFBFBF" w:themeFill="background1" w:themeFillShade="BF"/>
            <w:vAlign w:val="center"/>
          </w:tcPr>
          <w:p w14:paraId="023B6957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685" w:type="dxa"/>
            <w:shd w:val="clear" w:color="auto" w:fill="BFBFBF" w:themeFill="background1" w:themeFillShade="BF"/>
            <w:vAlign w:val="center"/>
          </w:tcPr>
          <w:p w14:paraId="3C44EE5F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795" w:type="dxa"/>
            <w:shd w:val="clear" w:color="auto" w:fill="BFBFBF" w:themeFill="background1" w:themeFillShade="BF"/>
            <w:vAlign w:val="center"/>
          </w:tcPr>
          <w:p w14:paraId="3B797C18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103" w:type="dxa"/>
            <w:shd w:val="clear" w:color="auto" w:fill="BFBFBF" w:themeFill="background1" w:themeFillShade="BF"/>
            <w:vAlign w:val="center"/>
          </w:tcPr>
          <w:p w14:paraId="3E9A7D6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4552270E" w14:textId="77777777" w:rsidTr="00EF258C">
        <w:trPr>
          <w:cantSplit/>
        </w:trPr>
        <w:tc>
          <w:tcPr>
            <w:tcW w:w="1443" w:type="dxa"/>
          </w:tcPr>
          <w:p w14:paraId="4E2249CA" w14:textId="77777777" w:rsidR="004966BF" w:rsidRPr="004C23F4" w:rsidRDefault="004966BF" w:rsidP="00224EE2">
            <w:pPr>
              <w:pStyle w:val="Tablefont"/>
            </w:pPr>
            <w:r>
              <w:t>AIOH</w:t>
            </w:r>
          </w:p>
        </w:tc>
        <w:tc>
          <w:tcPr>
            <w:tcW w:w="685" w:type="dxa"/>
          </w:tcPr>
          <w:p w14:paraId="1475B95B" w14:textId="77777777" w:rsidR="004966BF" w:rsidRPr="00CE617F" w:rsidRDefault="00E72A8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8368101"/>
                <w:placeholder>
                  <w:docPart w:val="29D96B65566944F4988BAEB665EF7897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66EDB" w:rsidDel="00EF258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795" w:type="dxa"/>
          </w:tcPr>
          <w:p w14:paraId="03548BEA" w14:textId="77777777" w:rsidR="004966BF" w:rsidRPr="004C23F4" w:rsidRDefault="00F66ED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2017</w:t>
            </w:r>
          </w:p>
        </w:tc>
        <w:tc>
          <w:tcPr>
            <w:tcW w:w="6103" w:type="dxa"/>
          </w:tcPr>
          <w:p w14:paraId="5D8837CB" w14:textId="77777777" w:rsidR="004966BF" w:rsidRDefault="002C5CF0" w:rsidP="00C806B5">
            <w:pPr>
              <w:pStyle w:val="ListBullet"/>
              <w:spacing w:before="60" w:after="60"/>
              <w:ind w:left="357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Acknowledges increase in lung cancer associated with exposure</w:t>
            </w:r>
          </w:p>
          <w:p w14:paraId="4DD151E5" w14:textId="77777777" w:rsidR="00727B55" w:rsidRPr="00727B55" w:rsidRDefault="002C5CF0" w:rsidP="00C806B5">
            <w:pPr>
              <w:pStyle w:val="ListBullet"/>
              <w:spacing w:before="60" w:after="60"/>
              <w:ind w:left="357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Recommends a TWA of 0.05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 xml:space="preserve">3 </w:t>
            </w:r>
            <w:r>
              <w:t xml:space="preserve">diesel particulate matter (DPM) </w:t>
            </w:r>
            <w:r w:rsidRPr="002C5CF0">
              <w:rPr>
                <w:rStyle w:val="checkbox"/>
                <w:rFonts w:ascii="Arial" w:hAnsi="Arial" w:cs="Arial"/>
              </w:rPr>
              <w:t xml:space="preserve">as action </w:t>
            </w:r>
            <w:r w:rsidR="00DC5BB2">
              <w:rPr>
                <w:rStyle w:val="checkbox"/>
                <w:rFonts w:ascii="Arial" w:hAnsi="Arial" w:cs="Arial"/>
              </w:rPr>
              <w:t xml:space="preserve">level that </w:t>
            </w:r>
            <w:r w:rsidRPr="002C5CF0">
              <w:rPr>
                <w:rStyle w:val="checkbox"/>
                <w:rFonts w:ascii="Arial" w:hAnsi="Arial" w:cs="Arial"/>
              </w:rPr>
              <w:t>trigger</w:t>
            </w:r>
            <w:r w:rsidR="00DC5BB2">
              <w:rPr>
                <w:rStyle w:val="checkbox"/>
                <w:rFonts w:ascii="Arial" w:hAnsi="Arial" w:cs="Arial"/>
              </w:rPr>
              <w:t>s investigation</w:t>
            </w:r>
          </w:p>
          <w:p w14:paraId="723FA54A" w14:textId="77777777" w:rsidR="002C5CF0" w:rsidRDefault="002C5CF0" w:rsidP="00C806B5">
            <w:pPr>
              <w:pStyle w:val="ListBullet"/>
              <w:spacing w:before="60" w:after="60"/>
              <w:ind w:left="357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C806B5">
              <w:t>Recommends</w:t>
            </w:r>
            <w:r w:rsidR="00391B7E">
              <w:rPr>
                <w:rStyle w:val="checkbox"/>
                <w:rFonts w:ascii="Arial" w:hAnsi="Arial" w:cs="Arial"/>
              </w:rPr>
              <w:t xml:space="preserve"> ALARP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="00391B7E">
              <w:rPr>
                <w:rStyle w:val="checkbox"/>
                <w:rFonts w:ascii="Arial" w:hAnsi="Arial" w:cs="Arial"/>
              </w:rPr>
              <w:t xml:space="preserve">below </w:t>
            </w:r>
            <w:r>
              <w:rPr>
                <w:rStyle w:val="checkbox"/>
                <w:rFonts w:ascii="Arial" w:hAnsi="Arial" w:cs="Arial"/>
              </w:rPr>
              <w:t xml:space="preserve">a TWA </w:t>
            </w:r>
            <w:r w:rsidR="00354F64">
              <w:rPr>
                <w:rStyle w:val="checkbox"/>
                <w:rFonts w:ascii="Arial" w:hAnsi="Arial" w:cs="Arial"/>
              </w:rPr>
              <w:t>≤</w:t>
            </w:r>
            <w:r>
              <w:rPr>
                <w:rStyle w:val="checkbox"/>
                <w:rFonts w:ascii="Arial" w:hAnsi="Arial" w:cs="Arial"/>
              </w:rPr>
              <w:t>0.1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DPM</w:t>
            </w:r>
          </w:p>
          <w:p w14:paraId="0EB505B1" w14:textId="77777777" w:rsidR="002C5CF0" w:rsidRDefault="002C5CF0" w:rsidP="00C806B5">
            <w:pPr>
              <w:pStyle w:val="ListBullet"/>
              <w:spacing w:before="60" w:after="60"/>
              <w:ind w:left="357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EC is a suitable surrogate for DPM </w:t>
            </w:r>
            <w:r w:rsidR="00727B55">
              <w:rPr>
                <w:rStyle w:val="checkbox"/>
                <w:rFonts w:ascii="Arial" w:hAnsi="Arial" w:cs="Arial"/>
              </w:rPr>
              <w:t xml:space="preserve">for </w:t>
            </w:r>
            <w:r>
              <w:rPr>
                <w:rStyle w:val="checkbox"/>
                <w:rFonts w:ascii="Arial" w:hAnsi="Arial" w:cs="Arial"/>
              </w:rPr>
              <w:t>monitoring</w:t>
            </w:r>
          </w:p>
          <w:p w14:paraId="51A809E0" w14:textId="77777777" w:rsidR="002C5CF0" w:rsidRDefault="002C5CF0" w:rsidP="00C806B5">
            <w:pPr>
              <w:pStyle w:val="ListBullet"/>
              <w:spacing w:before="60" w:after="60"/>
              <w:ind w:left="357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Critical of the degree of potency assigned to diesel particulates by some authorities</w:t>
            </w:r>
          </w:p>
          <w:p w14:paraId="368FC785" w14:textId="77777777" w:rsidR="00727B55" w:rsidRDefault="002C5CF0" w:rsidP="00C806B5">
            <w:pPr>
              <w:pStyle w:val="ListBullet"/>
              <w:spacing w:before="60" w:after="60"/>
              <w:ind w:left="357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C806B5">
              <w:t>Reported</w:t>
            </w:r>
            <w:r>
              <w:rPr>
                <w:rStyle w:val="checkbox"/>
                <w:rFonts w:ascii="Arial" w:hAnsi="Arial" w:cs="Arial"/>
              </w:rPr>
              <w:t xml:space="preserve"> a cumulative exposure of 2.5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="001D44E5">
              <w:rPr>
                <w:rStyle w:val="checkbox"/>
                <w:rFonts w:ascii="Arial" w:hAnsi="Arial" w:cs="Arial"/>
              </w:rPr>
              <w:t xml:space="preserve">respirable </w:t>
            </w:r>
            <w:r w:rsidR="003C2D98">
              <w:rPr>
                <w:rStyle w:val="checkbox"/>
                <w:rFonts w:ascii="Arial" w:hAnsi="Arial" w:cs="Arial"/>
              </w:rPr>
              <w:t>EC</w:t>
            </w:r>
            <w:r w:rsidR="001D44E5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to be protective of increased lung cancer risk</w:t>
            </w:r>
          </w:p>
          <w:p w14:paraId="44E5F76F" w14:textId="77777777" w:rsidR="002C5CF0" w:rsidRPr="002C5CF0" w:rsidRDefault="002C5CF0" w:rsidP="00C806B5">
            <w:pPr>
              <w:pStyle w:val="ListBullet"/>
              <w:numPr>
                <w:ilvl w:val="0"/>
                <w:numId w:val="10"/>
              </w:numPr>
              <w:spacing w:before="60" w:after="60"/>
              <w:ind w:left="1151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C806B5">
              <w:t>corresponds</w:t>
            </w:r>
            <w:r>
              <w:rPr>
                <w:rStyle w:val="checkbox"/>
                <w:rFonts w:ascii="Arial" w:hAnsi="Arial" w:cs="Arial"/>
              </w:rPr>
              <w:t xml:space="preserve"> to 0.05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 xml:space="preserve">3 </w:t>
            </w:r>
            <w:r w:rsidR="00727B55">
              <w:rPr>
                <w:rStyle w:val="checkbox"/>
                <w:rFonts w:ascii="Arial" w:hAnsi="Arial" w:cs="Arial"/>
              </w:rPr>
              <w:t xml:space="preserve">respirable </w:t>
            </w:r>
            <w:r w:rsidR="00354F64">
              <w:rPr>
                <w:rStyle w:val="checkbox"/>
                <w:rFonts w:ascii="Arial" w:hAnsi="Arial" w:cs="Arial"/>
              </w:rPr>
              <w:t>EC for 45</w:t>
            </w:r>
            <w:r w:rsidR="00727B55">
              <w:rPr>
                <w:rStyle w:val="checkbox"/>
                <w:rFonts w:ascii="Arial" w:hAnsi="Arial" w:cs="Arial"/>
              </w:rPr>
              <w:t xml:space="preserve"> </w:t>
            </w:r>
            <w:r w:rsidR="00354F64">
              <w:rPr>
                <w:rStyle w:val="checkbox"/>
                <w:rFonts w:ascii="Arial" w:hAnsi="Arial" w:cs="Arial"/>
              </w:rPr>
              <w:t>y</w:t>
            </w:r>
            <w:r w:rsidR="00727B55">
              <w:rPr>
                <w:rStyle w:val="checkbox"/>
                <w:rFonts w:ascii="Arial" w:hAnsi="Arial" w:cs="Arial"/>
              </w:rPr>
              <w:t>r</w:t>
            </w:r>
            <w:r w:rsidR="00354F64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working life</w:t>
            </w:r>
            <w:r w:rsidR="00354F64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C223F4" w14:paraId="46A86297" w14:textId="77777777" w:rsidTr="00EF258C">
        <w:tc>
          <w:tcPr>
            <w:tcW w:w="1443" w:type="dxa"/>
          </w:tcPr>
          <w:p w14:paraId="7BB113BB" w14:textId="77777777" w:rsidR="004966BF" w:rsidRPr="0098582A" w:rsidRDefault="004966BF" w:rsidP="00224EE2">
            <w:pPr>
              <w:pStyle w:val="Tablefont"/>
            </w:pPr>
            <w:r w:rsidRPr="0098582A">
              <w:t>IARC</w:t>
            </w:r>
          </w:p>
        </w:tc>
        <w:tc>
          <w:tcPr>
            <w:tcW w:w="685" w:type="dxa"/>
          </w:tcPr>
          <w:p w14:paraId="534EF05B" w14:textId="77777777" w:rsidR="004966BF" w:rsidRPr="0098582A" w:rsidRDefault="00E72A8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E3E12" w:rsidRPr="0098582A" w:rsidDel="00EF258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795" w:type="dxa"/>
          </w:tcPr>
          <w:p w14:paraId="1667C3FA" w14:textId="77777777" w:rsidR="004966BF" w:rsidRPr="0098582A" w:rsidRDefault="00AE3E1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98582A"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103" w:type="dxa"/>
          </w:tcPr>
          <w:p w14:paraId="25D61D65" w14:textId="77777777" w:rsidR="00727B55" w:rsidRPr="0098582A" w:rsidRDefault="00354F64" w:rsidP="00C806B5">
            <w:pPr>
              <w:pStyle w:val="ListBullet"/>
              <w:spacing w:before="60" w:after="60"/>
              <w:ind w:left="357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98582A">
              <w:t>C</w:t>
            </w:r>
            <w:r w:rsidR="00114446" w:rsidRPr="0098582A">
              <w:t>auses</w:t>
            </w:r>
            <w:r w:rsidR="00114446" w:rsidRPr="0098582A">
              <w:rPr>
                <w:rStyle w:val="checkbox"/>
                <w:rFonts w:ascii="Arial" w:hAnsi="Arial" w:cs="Arial"/>
              </w:rPr>
              <w:t xml:space="preserve"> cancer of lung</w:t>
            </w:r>
            <w:r w:rsidR="003D13B1" w:rsidRPr="0098582A">
              <w:rPr>
                <w:rStyle w:val="checkbox"/>
                <w:rFonts w:ascii="Arial" w:hAnsi="Arial" w:cs="Arial"/>
              </w:rPr>
              <w:t>s</w:t>
            </w:r>
            <w:r w:rsidR="00114446" w:rsidRPr="0098582A">
              <w:rPr>
                <w:rStyle w:val="checkbox"/>
                <w:rFonts w:ascii="Arial" w:hAnsi="Arial" w:cs="Arial"/>
              </w:rPr>
              <w:t xml:space="preserve"> in humans</w:t>
            </w:r>
            <w:r w:rsidR="00F1083D" w:rsidRPr="0098582A">
              <w:rPr>
                <w:rStyle w:val="checkbox"/>
                <w:rFonts w:ascii="Arial" w:hAnsi="Arial" w:cs="Arial"/>
              </w:rPr>
              <w:t xml:space="preserve"> (Group 1)</w:t>
            </w:r>
          </w:p>
          <w:p w14:paraId="223281C9" w14:textId="77777777" w:rsidR="00727B55" w:rsidRPr="0098582A" w:rsidRDefault="003D13B1" w:rsidP="00C806B5">
            <w:pPr>
              <w:pStyle w:val="ListBullet"/>
              <w:numPr>
                <w:ilvl w:val="0"/>
                <w:numId w:val="10"/>
              </w:numPr>
              <w:spacing w:before="60" w:after="60"/>
              <w:ind w:left="1151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98582A">
              <w:t>positive</w:t>
            </w:r>
            <w:r w:rsidRPr="0098582A">
              <w:rPr>
                <w:rStyle w:val="checkbox"/>
                <w:rFonts w:ascii="Arial" w:hAnsi="Arial" w:cs="Arial"/>
              </w:rPr>
              <w:t xml:space="preserve"> link between DEEE exposure and cancer of bladder</w:t>
            </w:r>
          </w:p>
          <w:p w14:paraId="06A9CA8C" w14:textId="77777777" w:rsidR="00114446" w:rsidRPr="0098582A" w:rsidRDefault="003D13B1" w:rsidP="00C806B5">
            <w:pPr>
              <w:pStyle w:val="ListBullet"/>
              <w:numPr>
                <w:ilvl w:val="0"/>
                <w:numId w:val="10"/>
              </w:numPr>
              <w:spacing w:before="60" w:after="60"/>
              <w:ind w:left="1151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98582A">
              <w:rPr>
                <w:rStyle w:val="checkbox"/>
                <w:rFonts w:ascii="Arial" w:hAnsi="Arial" w:cs="Arial"/>
              </w:rPr>
              <w:t>inadequate evidence for link between DEEE exposure and pancreatic cancer</w:t>
            </w:r>
          </w:p>
          <w:p w14:paraId="3ACC1E1F" w14:textId="77777777" w:rsidR="00114446" w:rsidRPr="0098582A" w:rsidRDefault="00354F64" w:rsidP="00C806B5">
            <w:pPr>
              <w:pStyle w:val="ListBullet"/>
              <w:spacing w:before="60" w:after="60"/>
              <w:ind w:left="357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98582A">
              <w:rPr>
                <w:rStyle w:val="checkbox"/>
                <w:rFonts w:ascii="Arial" w:hAnsi="Arial" w:cs="Arial"/>
              </w:rPr>
              <w:t>E</w:t>
            </w:r>
            <w:r w:rsidR="008F2B3B" w:rsidRPr="0098582A">
              <w:rPr>
                <w:rStyle w:val="checkbox"/>
                <w:rFonts w:ascii="Arial" w:hAnsi="Arial" w:cs="Arial"/>
              </w:rPr>
              <w:t>xhaust, exhaust particulates and particulate extracts</w:t>
            </w:r>
            <w:r w:rsidR="00114446" w:rsidRPr="0098582A">
              <w:rPr>
                <w:rStyle w:val="checkbox"/>
                <w:rFonts w:ascii="Arial" w:hAnsi="Arial" w:cs="Arial"/>
              </w:rPr>
              <w:t xml:space="preserve"> </w:t>
            </w:r>
            <w:r w:rsidR="008F2B3B" w:rsidRPr="0098582A">
              <w:rPr>
                <w:rStyle w:val="checkbox"/>
                <w:rFonts w:ascii="Arial" w:hAnsi="Arial" w:cs="Arial"/>
              </w:rPr>
              <w:t xml:space="preserve">induced DNA </w:t>
            </w:r>
            <w:r w:rsidR="008F2B3B" w:rsidRPr="0098582A">
              <w:t>dam</w:t>
            </w:r>
            <w:r w:rsidR="00114446" w:rsidRPr="0098582A">
              <w:t>age</w:t>
            </w:r>
            <w:r w:rsidR="00114446" w:rsidRPr="0098582A">
              <w:rPr>
                <w:rStyle w:val="checkbox"/>
                <w:rFonts w:ascii="Arial" w:hAnsi="Arial" w:cs="Arial"/>
              </w:rPr>
              <w:t xml:space="preserve"> (e.g. oxidative lesions and </w:t>
            </w:r>
            <w:r w:rsidR="008F2B3B" w:rsidRPr="0098582A">
              <w:rPr>
                <w:rStyle w:val="checkbox"/>
                <w:rFonts w:ascii="Arial" w:hAnsi="Arial" w:cs="Arial"/>
              </w:rPr>
              <w:t>bulky adduc</w:t>
            </w:r>
            <w:r w:rsidR="00114446" w:rsidRPr="0098582A">
              <w:rPr>
                <w:rStyle w:val="checkbox"/>
                <w:rFonts w:ascii="Arial" w:hAnsi="Arial" w:cs="Arial"/>
              </w:rPr>
              <w:t xml:space="preserve">ts), gene mutations, DNA strand breaks </w:t>
            </w:r>
            <w:r w:rsidR="00114446" w:rsidRPr="0098582A">
              <w:rPr>
                <w:rStyle w:val="checkbox"/>
                <w:rFonts w:ascii="Arial" w:hAnsi="Arial" w:cs="Arial"/>
                <w:i/>
              </w:rPr>
              <w:t xml:space="preserve">in </w:t>
            </w:r>
            <w:r w:rsidR="008F2B3B" w:rsidRPr="0098582A">
              <w:rPr>
                <w:rStyle w:val="checkbox"/>
                <w:rFonts w:ascii="Arial" w:hAnsi="Arial" w:cs="Arial"/>
                <w:i/>
              </w:rPr>
              <w:t>vivo</w:t>
            </w:r>
            <w:r w:rsidR="008F2B3B" w:rsidRPr="0098582A">
              <w:rPr>
                <w:rStyle w:val="checkbox"/>
                <w:rFonts w:ascii="Arial" w:hAnsi="Arial" w:cs="Arial"/>
              </w:rPr>
              <w:t xml:space="preserve"> </w:t>
            </w:r>
            <w:r w:rsidR="00114446" w:rsidRPr="0098582A">
              <w:rPr>
                <w:rStyle w:val="checkbox"/>
                <w:rFonts w:ascii="Arial" w:hAnsi="Arial" w:cs="Arial"/>
              </w:rPr>
              <w:t xml:space="preserve">and </w:t>
            </w:r>
            <w:r w:rsidR="00114446" w:rsidRPr="0098582A">
              <w:rPr>
                <w:rStyle w:val="checkbox"/>
                <w:rFonts w:ascii="Arial" w:hAnsi="Arial" w:cs="Arial"/>
                <w:i/>
              </w:rPr>
              <w:t>in vitro</w:t>
            </w:r>
            <w:r w:rsidR="00114446" w:rsidRPr="0098582A">
              <w:rPr>
                <w:rStyle w:val="checkbox"/>
                <w:rFonts w:ascii="Arial" w:hAnsi="Arial" w:cs="Arial"/>
              </w:rPr>
              <w:t xml:space="preserve"> in a wide range of experimental systems</w:t>
            </w:r>
          </w:p>
          <w:p w14:paraId="43AC6D1E" w14:textId="77777777" w:rsidR="004966BF" w:rsidRPr="0098582A" w:rsidRDefault="00114446" w:rsidP="00C806B5">
            <w:pPr>
              <w:pStyle w:val="ListBullet"/>
              <w:spacing w:before="60" w:after="60"/>
              <w:ind w:left="357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98582A">
              <w:rPr>
                <w:rStyle w:val="checkbox"/>
                <w:rFonts w:ascii="Arial" w:hAnsi="Arial" w:cs="Arial"/>
              </w:rPr>
              <w:t xml:space="preserve">Strong mechanistic evidence </w:t>
            </w:r>
            <w:r w:rsidR="00727B55" w:rsidRPr="0098582A">
              <w:rPr>
                <w:rStyle w:val="checkbox"/>
                <w:rFonts w:ascii="Arial" w:hAnsi="Arial" w:cs="Arial"/>
              </w:rPr>
              <w:t>DEEE</w:t>
            </w:r>
            <w:r w:rsidRPr="0098582A">
              <w:rPr>
                <w:rStyle w:val="checkbox"/>
                <w:rFonts w:ascii="Arial" w:hAnsi="Arial" w:cs="Arial"/>
              </w:rPr>
              <w:t xml:space="preserve"> and many of its components, can induce lung cancer in humans through genotoxic mechanisms that include DNA damage</w:t>
            </w:r>
          </w:p>
          <w:p w14:paraId="48E2FA47" w14:textId="77777777" w:rsidR="00114446" w:rsidRPr="001C230B" w:rsidRDefault="0098582A" w:rsidP="00C806B5">
            <w:pPr>
              <w:pStyle w:val="ListBullet"/>
              <w:spacing w:before="60" w:after="60"/>
              <w:ind w:left="357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1C230B">
              <w:t>Inflammatory</w:t>
            </w:r>
            <w:r w:rsidRPr="001C230B">
              <w:rPr>
                <w:rStyle w:val="checkbox"/>
                <w:rFonts w:ascii="Arial" w:hAnsi="Arial" w:cs="Arial"/>
              </w:rPr>
              <w:t xml:space="preserve"> response possible in carcinogenicity</w:t>
            </w:r>
            <w:r w:rsidR="00114446" w:rsidRPr="001C230B">
              <w:rPr>
                <w:rStyle w:val="checkbox"/>
                <w:rFonts w:ascii="Arial" w:hAnsi="Arial" w:cs="Arial"/>
              </w:rPr>
              <w:t xml:space="preserve"> </w:t>
            </w:r>
          </w:p>
        </w:tc>
      </w:tr>
      <w:tr w:rsidR="00EF258C" w:rsidRPr="004C23F4" w14:paraId="6DA25624" w14:textId="77777777" w:rsidTr="00EF258C">
        <w:tc>
          <w:tcPr>
            <w:tcW w:w="1443" w:type="dxa"/>
          </w:tcPr>
          <w:p w14:paraId="44DB0ACE" w14:textId="77777777" w:rsidR="00EF258C" w:rsidRDefault="00EF258C" w:rsidP="00EF258C">
            <w:pPr>
              <w:pStyle w:val="Tablefont"/>
            </w:pPr>
            <w:r>
              <w:t>US EPA</w:t>
            </w:r>
          </w:p>
        </w:tc>
        <w:tc>
          <w:tcPr>
            <w:tcW w:w="685" w:type="dxa"/>
          </w:tcPr>
          <w:p w14:paraId="223A5369" w14:textId="77777777" w:rsidR="00EF258C" w:rsidRDefault="00E72A8F" w:rsidP="00EF258C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3509223423A74899AE03F825930D49C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F258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795" w:type="dxa"/>
          </w:tcPr>
          <w:p w14:paraId="329E9D11" w14:textId="77777777" w:rsidR="00EF258C" w:rsidRDefault="00EF258C" w:rsidP="00EF258C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2002A</w:t>
            </w:r>
          </w:p>
        </w:tc>
        <w:tc>
          <w:tcPr>
            <w:tcW w:w="6103" w:type="dxa"/>
          </w:tcPr>
          <w:p w14:paraId="09FC5851" w14:textId="77777777" w:rsidR="00EF258C" w:rsidRDefault="00EF258C" w:rsidP="00EF258C">
            <w:pPr>
              <w:pStyle w:val="ListBullet"/>
              <w:spacing w:before="60" w:after="60"/>
              <w:ind w:left="357" w:hanging="357"/>
              <w:contextualSpacing w:val="0"/>
            </w:pPr>
            <w:r>
              <w:t>Association of risk of lung cancer and diesel emission exposure observed in &gt;30 epidemiological studies</w:t>
            </w:r>
          </w:p>
          <w:p w14:paraId="30D4C550" w14:textId="77777777" w:rsidR="00EF258C" w:rsidRPr="00C806B5" w:rsidRDefault="00EF258C" w:rsidP="00EF258C">
            <w:pPr>
              <w:pStyle w:val="ListBullet"/>
              <w:spacing w:before="60" w:after="60"/>
              <w:ind w:left="357" w:hanging="357"/>
              <w:contextualSpacing w:val="0"/>
            </w:pPr>
            <w:r>
              <w:t>Demonstrated mutagenic effects of DE and its organic constituents</w:t>
            </w:r>
            <w:r w:rsidR="007705F3">
              <w:t>.</w:t>
            </w:r>
          </w:p>
        </w:tc>
      </w:tr>
      <w:tr w:rsidR="00EF258C" w:rsidRPr="004C23F4" w14:paraId="7888D090" w14:textId="77777777" w:rsidTr="00EF258C">
        <w:tc>
          <w:tcPr>
            <w:tcW w:w="1443" w:type="dxa"/>
          </w:tcPr>
          <w:p w14:paraId="07CF993E" w14:textId="77777777" w:rsidR="00EF258C" w:rsidRDefault="00EF258C" w:rsidP="00EF258C">
            <w:pPr>
              <w:pStyle w:val="Tablefont"/>
            </w:pPr>
            <w:r>
              <w:t>US EPA</w:t>
            </w:r>
          </w:p>
        </w:tc>
        <w:tc>
          <w:tcPr>
            <w:tcW w:w="685" w:type="dxa"/>
          </w:tcPr>
          <w:p w14:paraId="4236A43C" w14:textId="77777777" w:rsidR="00EF258C" w:rsidRDefault="00E72A8F" w:rsidP="00EF258C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778406499"/>
                <w:placeholder>
                  <w:docPart w:val="36C3698D4CCA4C379182D1DBC5755FB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F258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795" w:type="dxa"/>
          </w:tcPr>
          <w:p w14:paraId="45475AED" w14:textId="77777777" w:rsidR="00EF258C" w:rsidRDefault="00EF258C" w:rsidP="00EF258C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2002B</w:t>
            </w:r>
          </w:p>
        </w:tc>
        <w:tc>
          <w:tcPr>
            <w:tcW w:w="6103" w:type="dxa"/>
          </w:tcPr>
          <w:p w14:paraId="5D781ABA" w14:textId="77777777" w:rsidR="00EF258C" w:rsidRDefault="00EF258C" w:rsidP="00EF258C">
            <w:pPr>
              <w:pStyle w:val="ListBullet"/>
              <w:spacing w:before="60" w:after="60"/>
              <w:ind w:left="357" w:hanging="357"/>
              <w:contextualSpacing w:val="0"/>
            </w:pPr>
            <w:r>
              <w:t>Limit data available for short-term exposures; likely to cause acute irritation, neurophysiological symptoms (e.g., light-headedness, nausea), and respiratory symptoms (cough, phlegm)</w:t>
            </w:r>
          </w:p>
          <w:p w14:paraId="63A6293C" w14:textId="77777777" w:rsidR="00EF258C" w:rsidRPr="00C806B5" w:rsidRDefault="00EF258C" w:rsidP="00EF258C">
            <w:pPr>
              <w:pStyle w:val="ListBullet"/>
              <w:spacing w:before="60" w:after="60"/>
              <w:ind w:left="357" w:hanging="357"/>
              <w:contextualSpacing w:val="0"/>
            </w:pPr>
            <w:r>
              <w:t>No further additional information.</w:t>
            </w:r>
          </w:p>
        </w:tc>
      </w:tr>
      <w:tr w:rsidR="00EF258C" w:rsidRPr="004C23F4" w14:paraId="328B90C3" w14:textId="77777777" w:rsidTr="00EF258C">
        <w:tc>
          <w:tcPr>
            <w:tcW w:w="1443" w:type="dxa"/>
          </w:tcPr>
          <w:p w14:paraId="33B6287D" w14:textId="77777777" w:rsidR="00EF258C" w:rsidRDefault="00EF258C" w:rsidP="00EF258C">
            <w:pPr>
              <w:pStyle w:val="Tablefont"/>
            </w:pPr>
            <w:r>
              <w:t>US EPA</w:t>
            </w:r>
          </w:p>
        </w:tc>
        <w:tc>
          <w:tcPr>
            <w:tcW w:w="685" w:type="dxa"/>
          </w:tcPr>
          <w:p w14:paraId="6E3C06C5" w14:textId="77777777" w:rsidR="00EF258C" w:rsidRDefault="00E72A8F" w:rsidP="00EF258C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75363953"/>
                <w:placeholder>
                  <w:docPart w:val="B66F52B2F6EC40C0842E44BF4E3709D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F258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795" w:type="dxa"/>
          </w:tcPr>
          <w:p w14:paraId="0FDC98B9" w14:textId="77777777" w:rsidR="00EF258C" w:rsidRDefault="00EF258C" w:rsidP="00EF258C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2002C</w:t>
            </w:r>
          </w:p>
        </w:tc>
        <w:tc>
          <w:tcPr>
            <w:tcW w:w="6103" w:type="dxa"/>
          </w:tcPr>
          <w:p w14:paraId="1CDBAD14" w14:textId="77777777" w:rsidR="00EF258C" w:rsidRPr="00C806B5" w:rsidRDefault="00EF258C" w:rsidP="00EF258C">
            <w:pPr>
              <w:pStyle w:val="ListBullet"/>
              <w:spacing w:before="60" w:after="60"/>
              <w:ind w:left="357" w:hanging="357"/>
              <w:contextualSpacing w:val="0"/>
            </w:pPr>
            <w:r>
              <w:t>PAH Inhalation Unit Risk Factor 6 x 10</w:t>
            </w:r>
            <w:r>
              <w:rPr>
                <w:vertAlign w:val="superscript"/>
              </w:rPr>
              <w:t>4</w:t>
            </w:r>
          </w:p>
        </w:tc>
      </w:tr>
    </w:tbl>
    <w:bookmarkEnd w:id="0"/>
    <w:p w14:paraId="2F3D6108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11"/>
        <w:gridCol w:w="2415"/>
      </w:tblGrid>
      <w:tr w:rsidR="002E0D61" w14:paraId="6C533489" w14:textId="77777777" w:rsidTr="001058C3">
        <w:trPr>
          <w:trHeight w:val="454"/>
          <w:tblHeader/>
        </w:trPr>
        <w:tc>
          <w:tcPr>
            <w:tcW w:w="6611" w:type="dxa"/>
            <w:vAlign w:val="center"/>
          </w:tcPr>
          <w:p w14:paraId="60C041BA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5" w:type="dxa"/>
                <w:vAlign w:val="center"/>
              </w:tcPr>
              <w:p w14:paraId="4AA663E5" w14:textId="77777777" w:rsidR="002E0D61" w:rsidRDefault="00114446" w:rsidP="00C3091E">
                <w:pPr>
                  <w:pStyle w:val="Tablefont"/>
                  <w:keepNext/>
                  <w:keepLines/>
                  <w:spacing w:before="40" w:after="40"/>
                </w:pPr>
                <w:r w:rsidDel="00EF258C">
                  <w:t>Yes</w:t>
                </w:r>
              </w:p>
            </w:tc>
          </w:sdtContent>
        </w:sdt>
      </w:tr>
      <w:tr w:rsidR="008A36CF" w14:paraId="019F67B7" w14:textId="77777777" w:rsidTr="001058C3">
        <w:trPr>
          <w:trHeight w:val="454"/>
        </w:trPr>
        <w:tc>
          <w:tcPr>
            <w:tcW w:w="6611" w:type="dxa"/>
            <w:vAlign w:val="center"/>
          </w:tcPr>
          <w:p w14:paraId="4F135EA2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15" w:type="dxa"/>
                <w:vAlign w:val="center"/>
              </w:tcPr>
              <w:p w14:paraId="3522583A" w14:textId="77777777" w:rsidR="008A36CF" w:rsidRDefault="00114446" w:rsidP="008A36CF">
                <w:pPr>
                  <w:pStyle w:val="Tablefont"/>
                  <w:keepNext/>
                  <w:keepLines/>
                  <w:spacing w:before="40" w:after="40"/>
                </w:pPr>
                <w:r w:rsidDel="00EF258C">
                  <w:t>Yes</w:t>
                </w:r>
              </w:p>
            </w:tc>
          </w:sdtContent>
        </w:sdt>
      </w:tr>
      <w:tr w:rsidR="008A36CF" w14:paraId="21662403" w14:textId="77777777" w:rsidTr="001058C3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11" w:type="dxa"/>
                <w:vAlign w:val="center"/>
              </w:tcPr>
              <w:p w14:paraId="5B5A8543" w14:textId="77777777" w:rsidR="008A36CF" w:rsidRPr="006901A2" w:rsidRDefault="00114446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 w:rsidDel="00EF258C"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  <w:tc>
          <w:tcPr>
            <w:tcW w:w="2415" w:type="dxa"/>
            <w:vAlign w:val="center"/>
          </w:tcPr>
          <w:p w14:paraId="3AB73482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  <w:tr w:rsidR="008A36CF" w14:paraId="100097F5" w14:textId="77777777" w:rsidTr="001058C3">
        <w:trPr>
          <w:trHeight w:val="454"/>
        </w:trPr>
        <w:tc>
          <w:tcPr>
            <w:tcW w:w="6611" w:type="dxa"/>
            <w:vAlign w:val="center"/>
          </w:tcPr>
          <w:p w14:paraId="66805730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 w:rsidRPr="008A36CF">
              <w:t>Is a cancer slope factor or inhalation unit risk value available?</w:t>
            </w:r>
          </w:p>
        </w:tc>
        <w:sdt>
          <w:sdtPr>
            <w:id w:val="1304347970"/>
            <w:placeholder>
              <w:docPart w:val="047AD93791DC493F8562BB3488160D64"/>
            </w:placeholder>
            <w:comboBox>
              <w:listItem w:value="Choose an item."/>
              <w:listItem w:displayText="Yes" w:value="Yes"/>
              <w:listItem w:displayText="No" w:value="No"/>
              <w:listItem w:displayText="NA" w:value="NA"/>
            </w:comboBox>
          </w:sdtPr>
          <w:sdtEndPr/>
          <w:sdtContent>
            <w:tc>
              <w:tcPr>
                <w:tcW w:w="2415" w:type="dxa"/>
                <w:vAlign w:val="center"/>
              </w:tcPr>
              <w:p w14:paraId="649DACF1" w14:textId="77777777" w:rsidR="008A36CF" w:rsidRDefault="00315910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</w:tbl>
    <w:bookmarkEnd w:id="1"/>
    <w:p w14:paraId="01D255E5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03A627E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D35D508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53A7F82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147AFED" w14:textId="77777777" w:rsidTr="00812887">
        <w:trPr>
          <w:cantSplit/>
        </w:trPr>
        <w:tc>
          <w:tcPr>
            <w:tcW w:w="3227" w:type="dxa"/>
          </w:tcPr>
          <w:p w14:paraId="5AE11B18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8D93EB7" w14:textId="77777777" w:rsidR="00687890" w:rsidRPr="00DD2F9B" w:rsidRDefault="00FB5480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21CF8C5B" w14:textId="77777777" w:rsidTr="00812887">
        <w:trPr>
          <w:cantSplit/>
        </w:trPr>
        <w:tc>
          <w:tcPr>
            <w:tcW w:w="3227" w:type="dxa"/>
          </w:tcPr>
          <w:p w14:paraId="0634C87B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1FBBEB2" w14:textId="77777777" w:rsidR="007925F0" w:rsidRPr="00DD2F9B" w:rsidRDefault="00FB5480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78BA21B6" w14:textId="77777777" w:rsidTr="00812887">
        <w:trPr>
          <w:cantSplit/>
        </w:trPr>
        <w:tc>
          <w:tcPr>
            <w:tcW w:w="3227" w:type="dxa"/>
          </w:tcPr>
          <w:p w14:paraId="324842CC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9374761" w14:textId="77777777" w:rsidR="00AF483F" w:rsidRPr="00DD2F9B" w:rsidRDefault="00FB5480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01EF067" w14:textId="77777777" w:rsidTr="00812887">
        <w:trPr>
          <w:cantSplit/>
        </w:trPr>
        <w:tc>
          <w:tcPr>
            <w:tcW w:w="3227" w:type="dxa"/>
          </w:tcPr>
          <w:p w14:paraId="17AC3C4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5913EB1" w14:textId="77777777" w:rsidR="00687890" w:rsidRPr="00DD2F9B" w:rsidRDefault="00FB5480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E19A607" w14:textId="77777777" w:rsidTr="00812887">
        <w:trPr>
          <w:cantSplit/>
        </w:trPr>
        <w:tc>
          <w:tcPr>
            <w:tcW w:w="3227" w:type="dxa"/>
          </w:tcPr>
          <w:p w14:paraId="6DF99308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A8A7E3D" w14:textId="77777777" w:rsidR="00E41A26" w:rsidRPr="00DD2F9B" w:rsidRDefault="00FB548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290BE7E" w14:textId="77777777" w:rsidTr="00812887">
        <w:trPr>
          <w:cantSplit/>
        </w:trPr>
        <w:tc>
          <w:tcPr>
            <w:tcW w:w="3227" w:type="dxa"/>
          </w:tcPr>
          <w:p w14:paraId="49033967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BBDFC9C" w14:textId="77777777" w:rsidR="002E0D61" w:rsidRPr="00DD2F9B" w:rsidRDefault="00FB548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F2AEE77" w14:textId="77777777" w:rsidTr="00812887">
        <w:trPr>
          <w:cantSplit/>
        </w:trPr>
        <w:tc>
          <w:tcPr>
            <w:tcW w:w="3227" w:type="dxa"/>
          </w:tcPr>
          <w:p w14:paraId="65E8CF19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F5DDE6E" w14:textId="77777777" w:rsidR="002E0D61" w:rsidRPr="00DD2F9B" w:rsidRDefault="00693BC4" w:rsidP="00DD2F9B">
            <w:pPr>
              <w:pStyle w:val="Tablefont"/>
            </w:pPr>
            <w:r w:rsidRPr="00693BC4">
              <w:t>Carcinogenicity – 2</w:t>
            </w:r>
          </w:p>
        </w:tc>
      </w:tr>
      <w:tr w:rsidR="002E0D61" w:rsidRPr="004C23F4" w14:paraId="01A38A97" w14:textId="77777777" w:rsidTr="00812887">
        <w:trPr>
          <w:cantSplit/>
        </w:trPr>
        <w:tc>
          <w:tcPr>
            <w:tcW w:w="3227" w:type="dxa"/>
          </w:tcPr>
          <w:p w14:paraId="6D0B1029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C77F94B" w14:textId="77777777" w:rsidR="002E0D61" w:rsidRPr="00DD2F9B" w:rsidRDefault="004E3A92" w:rsidP="00DD2F9B">
            <w:pPr>
              <w:pStyle w:val="Tablefont"/>
            </w:pPr>
            <w:r>
              <w:t>Cat. B</w:t>
            </w:r>
            <w:r>
              <w:rPr>
                <w:lang w:val="en-CA"/>
              </w:rPr>
              <w:t>/C</w:t>
            </w:r>
          </w:p>
        </w:tc>
      </w:tr>
      <w:tr w:rsidR="002E0D61" w:rsidRPr="004C23F4" w14:paraId="5FFBEF96" w14:textId="77777777" w:rsidTr="00812887">
        <w:trPr>
          <w:cantSplit/>
        </w:trPr>
        <w:tc>
          <w:tcPr>
            <w:tcW w:w="3227" w:type="dxa"/>
          </w:tcPr>
          <w:p w14:paraId="7A087C3F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2938256" w14:textId="77777777" w:rsidR="002E0D61" w:rsidRPr="00DD2F9B" w:rsidRDefault="00FB5480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67A122BB" w14:textId="77777777" w:rsidTr="00812887">
        <w:trPr>
          <w:cantSplit/>
        </w:trPr>
        <w:tc>
          <w:tcPr>
            <w:tcW w:w="3227" w:type="dxa"/>
          </w:tcPr>
          <w:p w14:paraId="5F233F3B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63DB04B" w14:textId="77777777" w:rsidR="00386093" w:rsidRPr="00DD2F9B" w:rsidRDefault="00F1083D" w:rsidP="00DD2F9B">
            <w:pPr>
              <w:pStyle w:val="Tablefont"/>
            </w:pPr>
            <w:r>
              <w:t>Group 1</w:t>
            </w:r>
          </w:p>
        </w:tc>
      </w:tr>
      <w:tr w:rsidR="00386093" w:rsidRPr="004C23F4" w14:paraId="49FD29DA" w14:textId="77777777" w:rsidTr="00812887">
        <w:trPr>
          <w:cantSplit/>
        </w:trPr>
        <w:tc>
          <w:tcPr>
            <w:tcW w:w="3227" w:type="dxa"/>
          </w:tcPr>
          <w:p w14:paraId="2BBE58F2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066FCCD" w14:textId="77777777" w:rsidR="00386093" w:rsidRPr="00DD2F9B" w:rsidRDefault="00FE7276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03B60D2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0FE1CD9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DEDCCD6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FA5926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83795D9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6D804A9" w14:textId="77777777" w:rsidR="00932DCE" w:rsidRPr="004C23F4" w:rsidRDefault="00D4033A" w:rsidP="00F9496B">
            <w:pPr>
              <w:pStyle w:val="Tablefont"/>
            </w:pPr>
            <w:r>
              <w:t>Insufficient evidence to assign a skin notation</w:t>
            </w:r>
            <w:r w:rsidR="00727B55">
              <w:t>.</w:t>
            </w:r>
          </w:p>
        </w:tc>
      </w:tr>
    </w:tbl>
    <w:bookmarkEnd w:id="3"/>
    <w:p w14:paraId="277C6021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0"/>
        <w:gridCol w:w="4766"/>
      </w:tblGrid>
      <w:tr w:rsidR="00EB3D1B" w14:paraId="3D9E349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980919A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45EA2F5" w14:textId="77777777" w:rsidR="00EB3D1B" w:rsidRDefault="00114446" w:rsidP="00EB3D1B">
                <w:pPr>
                  <w:pStyle w:val="Tablefont"/>
                </w:pPr>
                <w:r w:rsidDel="00EF258C">
                  <w:t>No, the chemical is a genotoxic carcinogen</w:t>
                </w:r>
              </w:p>
            </w:tc>
          </w:sdtContent>
        </w:sdt>
      </w:tr>
    </w:tbl>
    <w:p w14:paraId="79548FC5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3C839C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C1C6FA1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9F33F18" w14:textId="77777777" w:rsidR="001B79E5" w:rsidRDefault="00B91784" w:rsidP="001B79E5">
                <w:pPr>
                  <w:pStyle w:val="Tablefont"/>
                </w:pPr>
                <w:r>
                  <w:t>—</w:t>
                </w:r>
              </w:p>
            </w:tc>
          </w:sdtContent>
        </w:sdt>
      </w:tr>
      <w:tr w:rsidR="00A31D99" w:rsidRPr="004C23F4" w14:paraId="0D36440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5CB099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5EFD7C9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B4DC53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5DCFD9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9F9480C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40D8244" w14:textId="77777777" w:rsidTr="00EA6243">
        <w:trPr>
          <w:cantSplit/>
        </w:trPr>
        <w:tc>
          <w:tcPr>
            <w:tcW w:w="4077" w:type="dxa"/>
            <w:vAlign w:val="center"/>
          </w:tcPr>
          <w:p w14:paraId="61935BB7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D327709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0BA88B1" w14:textId="77777777" w:rsidTr="00EA6243">
        <w:trPr>
          <w:cantSplit/>
        </w:trPr>
        <w:tc>
          <w:tcPr>
            <w:tcW w:w="4077" w:type="dxa"/>
            <w:vAlign w:val="center"/>
          </w:tcPr>
          <w:p w14:paraId="554B370E" w14:textId="77777777" w:rsidR="00687890" w:rsidRPr="00263255" w:rsidRDefault="00687890" w:rsidP="00263255">
            <w:pPr>
              <w:pStyle w:val="Tablefont"/>
            </w:pPr>
            <w:r w:rsidRPr="00263255">
              <w:lastRenderedPageBreak/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18BF172" w14:textId="77777777" w:rsidR="00687890" w:rsidRPr="004C23F4" w:rsidRDefault="00C93632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13F3729B" w14:textId="77777777" w:rsidTr="00EA6243">
        <w:trPr>
          <w:cantSplit/>
        </w:trPr>
        <w:tc>
          <w:tcPr>
            <w:tcW w:w="4077" w:type="dxa"/>
            <w:vAlign w:val="center"/>
          </w:tcPr>
          <w:p w14:paraId="7F1AC5D0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23C2C2" w14:textId="77777777" w:rsidR="00E06F40" w:rsidRPr="00A006A0" w:rsidRDefault="00E72A8F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D806DE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1E24637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304858A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F83E483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7A62FCF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0AC708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2663FB0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D84FABB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193AC4E" w14:textId="77777777" w:rsidR="0005587B" w:rsidRDefault="0005587B" w:rsidP="00084859">
      <w:r>
        <w:t xml:space="preserve">Australian Institute of Occupational </w:t>
      </w:r>
      <w:r w:rsidR="004569B3">
        <w:t>Hygienists (</w:t>
      </w:r>
      <w:r>
        <w:t>AIOH) (2017) Position paper</w:t>
      </w:r>
      <w:r w:rsidR="004569B3">
        <w:t xml:space="preserve"> (revised) - Diesel particulate m</w:t>
      </w:r>
      <w:r>
        <w:t xml:space="preserve">atter and </w:t>
      </w:r>
      <w:r w:rsidR="004569B3">
        <w:t>o</w:t>
      </w:r>
      <w:r>
        <w:t xml:space="preserve">ccupational </w:t>
      </w:r>
      <w:r w:rsidR="004569B3">
        <w:t>h</w:t>
      </w:r>
      <w:r>
        <w:t>ealth</w:t>
      </w:r>
      <w:r w:rsidR="004569B3">
        <w:t xml:space="preserve"> issues</w:t>
      </w:r>
    </w:p>
    <w:p w14:paraId="6945F40A" w14:textId="77777777" w:rsidR="007F1005" w:rsidRDefault="00B91784" w:rsidP="00084859">
      <w:r w:rsidRPr="002022B6">
        <w:t>Deutsche Forschungsgemeinschaft (DFG)</w:t>
      </w:r>
      <w:r>
        <w:t xml:space="preserve"> (2014) Diesel engine emissions – MAK value documentation.</w:t>
      </w:r>
    </w:p>
    <w:p w14:paraId="3BB01D51" w14:textId="77777777" w:rsidR="0005587B" w:rsidRDefault="0005587B" w:rsidP="0005587B">
      <w:r w:rsidRPr="00E461B8">
        <w:t xml:space="preserve">EU Scientific Committee on Occupational </w:t>
      </w:r>
      <w:r w:rsidRPr="0005587B">
        <w:t xml:space="preserve">Exposure Limits (SCOEL) (2016) </w:t>
      </w:r>
      <w:r>
        <w:t>Opinion</w:t>
      </w:r>
      <w:r w:rsidRPr="0005587B">
        <w:t xml:space="preserve"> from the Scientific Committee on Occupational Exposure Limits for Diesel Engine Exhaust. SCOEL/OPIN/403.</w:t>
      </w:r>
    </w:p>
    <w:p w14:paraId="6E6185AA" w14:textId="77777777" w:rsidR="0005587B" w:rsidRDefault="0005587B" w:rsidP="0005587B">
      <w:r w:rsidRPr="002022B6">
        <w:t>Health Council of the Netherlands</w:t>
      </w:r>
      <w:r>
        <w:t xml:space="preserve"> (HCOTN) (2019) Diesel engine exhaust</w:t>
      </w:r>
      <w:r w:rsidRPr="005F7416">
        <w:t xml:space="preserve">. </w:t>
      </w:r>
      <w:r>
        <w:t xml:space="preserve">Health-based </w:t>
      </w:r>
      <w:r w:rsidRPr="00B91784">
        <w:t>recommended occupational exposure limit</w:t>
      </w:r>
      <w:r w:rsidRPr="005F7416">
        <w:t xml:space="preserve">. The Hague: Health Council of the Netherlands; publication no. </w:t>
      </w:r>
      <w:r>
        <w:t>2019/02.</w:t>
      </w:r>
    </w:p>
    <w:p w14:paraId="2E51B169" w14:textId="77777777" w:rsidR="00B91784" w:rsidRDefault="0005587B" w:rsidP="00084859">
      <w:r w:rsidRPr="00DB0A36">
        <w:t xml:space="preserve">International Agency for Research on Cancer (IARC) </w:t>
      </w:r>
      <w:r>
        <w:t>Diesel and gasoline engine exhaust and some nitroarenes</w:t>
      </w:r>
      <w:r w:rsidRPr="00DB0A36">
        <w:t xml:space="preserve">. IARC Monographs </w:t>
      </w:r>
      <w:r w:rsidRPr="0005587B">
        <w:t>– 105</w:t>
      </w:r>
      <w:r w:rsidR="00A220DA">
        <w:t xml:space="preserve"> (2014)</w:t>
      </w:r>
      <w:r w:rsidRPr="0005587B">
        <w:t>.</w:t>
      </w:r>
    </w:p>
    <w:p w14:paraId="0F0FDD4B" w14:textId="77777777" w:rsidR="00EF258C" w:rsidRDefault="00EF258C" w:rsidP="00084859">
      <w:r w:rsidRPr="00D86E03">
        <w:t>US Environmental Protection Agency (US EPA)</w:t>
      </w:r>
      <w:r>
        <w:t xml:space="preserve"> </w:t>
      </w:r>
      <w:r w:rsidRPr="002F365B">
        <w:t>(</w:t>
      </w:r>
      <w:r>
        <w:t>2002 A</w:t>
      </w:r>
      <w:r w:rsidRPr="002F365B">
        <w:t xml:space="preserve">) </w:t>
      </w:r>
      <w:r>
        <w:t>Diesel engine exhaust, IRIS Chemical Assessment Summary</w:t>
      </w:r>
    </w:p>
    <w:p w14:paraId="6EA9390C" w14:textId="77777777" w:rsidR="00EF258C" w:rsidRDefault="00EF258C" w:rsidP="00EF258C">
      <w:r w:rsidRPr="00D86E03">
        <w:t>US Environmental Protection Agency (US EPA)</w:t>
      </w:r>
      <w:r>
        <w:t xml:space="preserve"> </w:t>
      </w:r>
      <w:r w:rsidRPr="002F365B">
        <w:t>(</w:t>
      </w:r>
      <w:r>
        <w:t>2002 B</w:t>
      </w:r>
      <w:r w:rsidRPr="002F365B">
        <w:t xml:space="preserve">) </w:t>
      </w:r>
      <w:r>
        <w:t>Health Assessment Document for Diesel engine exhaust</w:t>
      </w:r>
    </w:p>
    <w:p w14:paraId="6CFE610A" w14:textId="77777777" w:rsidR="00EF258C" w:rsidRDefault="00EF258C" w:rsidP="00EF258C">
      <w:r w:rsidRPr="00D86E03">
        <w:t>US Environmental Protection Agency (US EPA)</w:t>
      </w:r>
      <w:r>
        <w:t xml:space="preserve"> </w:t>
      </w:r>
      <w:r w:rsidRPr="002F365B">
        <w:t>(</w:t>
      </w:r>
      <w:r>
        <w:t>2002 C</w:t>
      </w:r>
      <w:r w:rsidRPr="002F365B">
        <w:t xml:space="preserve">) </w:t>
      </w:r>
      <w:r>
        <w:t>Polycyclic Aromatic Hydrocarbons, IRIS Chemical Assessment Summary</w:t>
      </w:r>
    </w:p>
    <w:p w14:paraId="75DDBB2F" w14:textId="77777777" w:rsidR="00EF258C" w:rsidRPr="00351FE0" w:rsidRDefault="00EF258C" w:rsidP="00EF258C"/>
    <w:p w14:paraId="5662F255" w14:textId="77777777" w:rsidR="00EF258C" w:rsidRPr="00351FE0" w:rsidRDefault="00EF258C" w:rsidP="00084859"/>
    <w:sectPr w:rsidR="00EF258C" w:rsidRPr="00351FE0" w:rsidSect="00B87D4C">
      <w:headerReference w:type="default" r:id="rId13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DE3F2" w14:textId="77777777" w:rsidR="001A3E6C" w:rsidRDefault="001A3E6C" w:rsidP="00F43AD5">
      <w:pPr>
        <w:spacing w:after="0" w:line="240" w:lineRule="auto"/>
      </w:pPr>
      <w:r>
        <w:separator/>
      </w:r>
    </w:p>
  </w:endnote>
  <w:endnote w:type="continuationSeparator" w:id="0">
    <w:p w14:paraId="2F639266" w14:textId="77777777" w:rsidR="001A3E6C" w:rsidRDefault="001A3E6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AD75231" w14:textId="77777777" w:rsidR="0040121E" w:rsidRDefault="0040121E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Diesel engine emissions (</w:t>
        </w:r>
        <w:r w:rsidRPr="00BF6A11">
          <w:rPr>
            <w:b/>
          </w:rPr>
          <w:t>—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2178F63F" w14:textId="4FE5A98C" w:rsidR="0040121E" w:rsidRPr="00F43AD5" w:rsidRDefault="0040121E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61E12">
          <w:rPr>
            <w:noProof/>
            <w:sz w:val="18"/>
            <w:szCs w:val="18"/>
          </w:rPr>
          <w:t>8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75762" w14:textId="77777777" w:rsidR="001A3E6C" w:rsidRDefault="001A3E6C" w:rsidP="00F43AD5">
      <w:pPr>
        <w:spacing w:after="0" w:line="240" w:lineRule="auto"/>
      </w:pPr>
      <w:r>
        <w:separator/>
      </w:r>
    </w:p>
  </w:footnote>
  <w:footnote w:type="continuationSeparator" w:id="0">
    <w:p w14:paraId="79D6371F" w14:textId="77777777" w:rsidR="001A3E6C" w:rsidRDefault="001A3E6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6CC9F" w14:textId="1F2D7C87" w:rsidR="0040121E" w:rsidRDefault="0040121E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03DE8A93" wp14:editId="0B76D025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4F60A0" w14:textId="579840E3" w:rsidR="00647072" w:rsidRDefault="00E72A8F" w:rsidP="00647072">
    <w:pPr>
      <w:pStyle w:val="Header"/>
      <w:jc w:val="right"/>
    </w:pPr>
    <w:sdt>
      <w:sdtPr>
        <w:id w:val="506560709"/>
        <w:docPartObj>
          <w:docPartGallery w:val="Watermarks"/>
          <w:docPartUnique/>
        </w:docPartObj>
      </w:sdtPr>
      <w:sdtEndPr/>
      <w:sdtContent/>
    </w:sdt>
    <w:r w:rsidR="00647072">
      <w:rPr>
        <w:noProof/>
        <w:lang w:eastAsia="en-AU"/>
      </w:rPr>
      <w:drawing>
        <wp:inline distT="0" distB="0" distL="0" distR="0" wp14:anchorId="7B3AA20E" wp14:editId="1367DB50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286C83" w14:textId="602D8D5D" w:rsidR="0040121E" w:rsidRDefault="0040121E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A4E6DC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3513D2"/>
    <w:multiLevelType w:val="hybridMultilevel"/>
    <w:tmpl w:val="423EAD78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E56EDF"/>
    <w:multiLevelType w:val="hybridMultilevel"/>
    <w:tmpl w:val="57966A88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DB3078"/>
    <w:multiLevelType w:val="hybridMultilevel"/>
    <w:tmpl w:val="74CAD34A"/>
    <w:lvl w:ilvl="0" w:tplc="1009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4" w15:restartNumberingAfterBreak="0">
    <w:nsid w:val="4A9A290C"/>
    <w:multiLevelType w:val="hybridMultilevel"/>
    <w:tmpl w:val="C5664C2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2D43A2"/>
    <w:multiLevelType w:val="hybridMultilevel"/>
    <w:tmpl w:val="A4A869E6"/>
    <w:lvl w:ilvl="0" w:tplc="10090003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2171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91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11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31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51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71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91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11" w:hanging="360"/>
      </w:pPr>
      <w:rPr>
        <w:rFonts w:ascii="Wingdings" w:hAnsi="Wingdings" w:hint="default"/>
      </w:rPr>
    </w:lvl>
  </w:abstractNum>
  <w:abstractNum w:abstractNumId="6" w15:restartNumberingAfterBreak="0">
    <w:nsid w:val="55BF561C"/>
    <w:multiLevelType w:val="hybridMultilevel"/>
    <w:tmpl w:val="0608A6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B11E7"/>
    <w:multiLevelType w:val="hybridMultilevel"/>
    <w:tmpl w:val="F5F0A67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D13CA7"/>
    <w:multiLevelType w:val="hybridMultilevel"/>
    <w:tmpl w:val="2848D756"/>
    <w:lvl w:ilvl="0" w:tplc="10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843C8E"/>
    <w:multiLevelType w:val="hybridMultilevel"/>
    <w:tmpl w:val="904059E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8195430">
    <w:abstractNumId w:val="0"/>
  </w:num>
  <w:num w:numId="2" w16cid:durableId="1052853632">
    <w:abstractNumId w:val="6"/>
  </w:num>
  <w:num w:numId="3" w16cid:durableId="728384942">
    <w:abstractNumId w:val="0"/>
  </w:num>
  <w:num w:numId="4" w16cid:durableId="1672414859">
    <w:abstractNumId w:val="0"/>
  </w:num>
  <w:num w:numId="5" w16cid:durableId="1996296722">
    <w:abstractNumId w:val="0"/>
  </w:num>
  <w:num w:numId="6" w16cid:durableId="1074663031">
    <w:abstractNumId w:val="7"/>
  </w:num>
  <w:num w:numId="7" w16cid:durableId="767773777">
    <w:abstractNumId w:val="9"/>
  </w:num>
  <w:num w:numId="8" w16cid:durableId="2052218906">
    <w:abstractNumId w:val="4"/>
  </w:num>
  <w:num w:numId="9" w16cid:durableId="1441953831">
    <w:abstractNumId w:val="0"/>
  </w:num>
  <w:num w:numId="10" w16cid:durableId="227039199">
    <w:abstractNumId w:val="2"/>
  </w:num>
  <w:num w:numId="11" w16cid:durableId="165023170">
    <w:abstractNumId w:val="0"/>
  </w:num>
  <w:num w:numId="12" w16cid:durableId="749349117">
    <w:abstractNumId w:val="0"/>
  </w:num>
  <w:num w:numId="13" w16cid:durableId="261766803">
    <w:abstractNumId w:val="1"/>
  </w:num>
  <w:num w:numId="14" w16cid:durableId="417411437">
    <w:abstractNumId w:val="3"/>
  </w:num>
  <w:num w:numId="15" w16cid:durableId="880048239">
    <w:abstractNumId w:val="5"/>
  </w:num>
  <w:num w:numId="16" w16cid:durableId="2042170740">
    <w:abstractNumId w:val="0"/>
  </w:num>
  <w:num w:numId="17" w16cid:durableId="1093011916">
    <w:abstractNumId w:val="0"/>
  </w:num>
  <w:num w:numId="18" w16cid:durableId="1601183681">
    <w:abstractNumId w:val="0"/>
  </w:num>
  <w:num w:numId="19" w16cid:durableId="1808008632">
    <w:abstractNumId w:val="0"/>
  </w:num>
  <w:num w:numId="20" w16cid:durableId="1118571097">
    <w:abstractNumId w:val="8"/>
  </w:num>
  <w:num w:numId="21" w16cid:durableId="1536310234">
    <w:abstractNumId w:val="0"/>
  </w:num>
  <w:num w:numId="22" w16cid:durableId="846286657">
    <w:abstractNumId w:val="0"/>
  </w:num>
  <w:num w:numId="23" w16cid:durableId="1186483112">
    <w:abstractNumId w:val="0"/>
  </w:num>
  <w:num w:numId="24" w16cid:durableId="2095082265">
    <w:abstractNumId w:val="0"/>
  </w:num>
  <w:num w:numId="25" w16cid:durableId="1325474885">
    <w:abstractNumId w:val="0"/>
  </w:num>
  <w:num w:numId="26" w16cid:durableId="712387806">
    <w:abstractNumId w:val="0"/>
  </w:num>
  <w:num w:numId="27" w16cid:durableId="452526642">
    <w:abstractNumId w:val="0"/>
  </w:num>
  <w:num w:numId="28" w16cid:durableId="1904562158">
    <w:abstractNumId w:val="0"/>
  </w:num>
  <w:num w:numId="29" w16cid:durableId="949629326">
    <w:abstractNumId w:val="0"/>
  </w:num>
  <w:num w:numId="30" w16cid:durableId="463306662">
    <w:abstractNumId w:val="0"/>
  </w:num>
  <w:num w:numId="31" w16cid:durableId="1587226779">
    <w:abstractNumId w:val="0"/>
  </w:num>
  <w:num w:numId="32" w16cid:durableId="324363711">
    <w:abstractNumId w:val="0"/>
  </w:num>
  <w:num w:numId="33" w16cid:durableId="1217205368">
    <w:abstractNumId w:val="0"/>
  </w:num>
  <w:num w:numId="34" w16cid:durableId="433020342">
    <w:abstractNumId w:val="0"/>
  </w:num>
  <w:num w:numId="35" w16cid:durableId="756948775">
    <w:abstractNumId w:val="0"/>
  </w:num>
  <w:num w:numId="36" w16cid:durableId="269434477">
    <w:abstractNumId w:val="0"/>
  </w:num>
  <w:num w:numId="37" w16cid:durableId="1929651987">
    <w:abstractNumId w:val="0"/>
  </w:num>
  <w:num w:numId="38" w16cid:durableId="659701793">
    <w:abstractNumId w:val="0"/>
  </w:num>
  <w:num w:numId="39" w16cid:durableId="427624556">
    <w:abstractNumId w:val="0"/>
  </w:num>
  <w:num w:numId="40" w16cid:durableId="1436630873">
    <w:abstractNumId w:val="0"/>
  </w:num>
  <w:num w:numId="41" w16cid:durableId="672418475">
    <w:abstractNumId w:val="0"/>
  </w:num>
  <w:num w:numId="42" w16cid:durableId="23485280">
    <w:abstractNumId w:val="0"/>
  </w:num>
  <w:num w:numId="43" w16cid:durableId="1100641327">
    <w:abstractNumId w:val="0"/>
  </w:num>
  <w:num w:numId="44" w16cid:durableId="744718150">
    <w:abstractNumId w:val="0"/>
  </w:num>
  <w:num w:numId="45" w16cid:durableId="849369514">
    <w:abstractNumId w:val="0"/>
  </w:num>
  <w:num w:numId="46" w16cid:durableId="1997685361">
    <w:abstractNumId w:val="0"/>
  </w:num>
  <w:num w:numId="47" w16cid:durableId="454255154">
    <w:abstractNumId w:val="0"/>
  </w:num>
  <w:num w:numId="48" w16cid:durableId="1409688207">
    <w:abstractNumId w:val="0"/>
  </w:num>
  <w:num w:numId="49" w16cid:durableId="125709874">
    <w:abstractNumId w:val="0"/>
  </w:num>
  <w:num w:numId="50" w16cid:durableId="5267947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5BA1"/>
    <w:rsid w:val="000418D1"/>
    <w:rsid w:val="0004616D"/>
    <w:rsid w:val="00046DF5"/>
    <w:rsid w:val="00052060"/>
    <w:rsid w:val="0005574A"/>
    <w:rsid w:val="0005587B"/>
    <w:rsid w:val="00055FE1"/>
    <w:rsid w:val="00056EC2"/>
    <w:rsid w:val="00060B48"/>
    <w:rsid w:val="0006353B"/>
    <w:rsid w:val="00067F32"/>
    <w:rsid w:val="00071807"/>
    <w:rsid w:val="000803E1"/>
    <w:rsid w:val="0008263C"/>
    <w:rsid w:val="00084513"/>
    <w:rsid w:val="00084859"/>
    <w:rsid w:val="00092D94"/>
    <w:rsid w:val="000A52D7"/>
    <w:rsid w:val="000B0868"/>
    <w:rsid w:val="000B3E12"/>
    <w:rsid w:val="000B3E78"/>
    <w:rsid w:val="000B62C1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7881"/>
    <w:rsid w:val="0010461E"/>
    <w:rsid w:val="001058C3"/>
    <w:rsid w:val="00106FAA"/>
    <w:rsid w:val="00113443"/>
    <w:rsid w:val="00114446"/>
    <w:rsid w:val="00125BD9"/>
    <w:rsid w:val="001269A7"/>
    <w:rsid w:val="00131092"/>
    <w:rsid w:val="00132B37"/>
    <w:rsid w:val="00140E6A"/>
    <w:rsid w:val="00146545"/>
    <w:rsid w:val="00146B75"/>
    <w:rsid w:val="0015266D"/>
    <w:rsid w:val="0015288A"/>
    <w:rsid w:val="00157F0F"/>
    <w:rsid w:val="00160F47"/>
    <w:rsid w:val="001770B5"/>
    <w:rsid w:val="00177CA1"/>
    <w:rsid w:val="00183823"/>
    <w:rsid w:val="00183942"/>
    <w:rsid w:val="001924E1"/>
    <w:rsid w:val="001A009E"/>
    <w:rsid w:val="001A1287"/>
    <w:rsid w:val="001A3859"/>
    <w:rsid w:val="001A3C9D"/>
    <w:rsid w:val="001A3E6C"/>
    <w:rsid w:val="001A43F8"/>
    <w:rsid w:val="001A7194"/>
    <w:rsid w:val="001B79E5"/>
    <w:rsid w:val="001C230B"/>
    <w:rsid w:val="001D44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186"/>
    <w:rsid w:val="002248B0"/>
    <w:rsid w:val="00224EE2"/>
    <w:rsid w:val="00227EC7"/>
    <w:rsid w:val="00244AD1"/>
    <w:rsid w:val="002463BC"/>
    <w:rsid w:val="002465CE"/>
    <w:rsid w:val="0025734A"/>
    <w:rsid w:val="00263255"/>
    <w:rsid w:val="00267991"/>
    <w:rsid w:val="00276494"/>
    <w:rsid w:val="00277B0C"/>
    <w:rsid w:val="002825A4"/>
    <w:rsid w:val="00282A4C"/>
    <w:rsid w:val="00292294"/>
    <w:rsid w:val="002A3689"/>
    <w:rsid w:val="002B1A2C"/>
    <w:rsid w:val="002C34F2"/>
    <w:rsid w:val="002C58FF"/>
    <w:rsid w:val="002C5CF0"/>
    <w:rsid w:val="002C7AFE"/>
    <w:rsid w:val="002D05D2"/>
    <w:rsid w:val="002E0269"/>
    <w:rsid w:val="002E0D61"/>
    <w:rsid w:val="002E16A2"/>
    <w:rsid w:val="002E4C7B"/>
    <w:rsid w:val="002F27F5"/>
    <w:rsid w:val="00306896"/>
    <w:rsid w:val="0030740C"/>
    <w:rsid w:val="00315833"/>
    <w:rsid w:val="00315910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4F64"/>
    <w:rsid w:val="003567A8"/>
    <w:rsid w:val="00357AD4"/>
    <w:rsid w:val="00360CA3"/>
    <w:rsid w:val="00361E12"/>
    <w:rsid w:val="00362895"/>
    <w:rsid w:val="00370DBF"/>
    <w:rsid w:val="00371E52"/>
    <w:rsid w:val="00381A05"/>
    <w:rsid w:val="00386093"/>
    <w:rsid w:val="003864F6"/>
    <w:rsid w:val="003904A4"/>
    <w:rsid w:val="00391841"/>
    <w:rsid w:val="00391B6D"/>
    <w:rsid w:val="00391B7E"/>
    <w:rsid w:val="00394922"/>
    <w:rsid w:val="003956EB"/>
    <w:rsid w:val="003974C1"/>
    <w:rsid w:val="003A0E32"/>
    <w:rsid w:val="003A2B94"/>
    <w:rsid w:val="003B387D"/>
    <w:rsid w:val="003B7403"/>
    <w:rsid w:val="003C0D58"/>
    <w:rsid w:val="003C2D98"/>
    <w:rsid w:val="003D13B1"/>
    <w:rsid w:val="003D4FA3"/>
    <w:rsid w:val="003E0807"/>
    <w:rsid w:val="003E51FB"/>
    <w:rsid w:val="003E6B39"/>
    <w:rsid w:val="003F07E1"/>
    <w:rsid w:val="0040121E"/>
    <w:rsid w:val="00401621"/>
    <w:rsid w:val="004030BC"/>
    <w:rsid w:val="00403F7D"/>
    <w:rsid w:val="00406785"/>
    <w:rsid w:val="004079B4"/>
    <w:rsid w:val="00407D9B"/>
    <w:rsid w:val="00417A56"/>
    <w:rsid w:val="00420957"/>
    <w:rsid w:val="004227F1"/>
    <w:rsid w:val="00422A10"/>
    <w:rsid w:val="004253F1"/>
    <w:rsid w:val="00430179"/>
    <w:rsid w:val="00434101"/>
    <w:rsid w:val="004371E4"/>
    <w:rsid w:val="004414B5"/>
    <w:rsid w:val="00443593"/>
    <w:rsid w:val="00444482"/>
    <w:rsid w:val="00444B42"/>
    <w:rsid w:val="00445AB7"/>
    <w:rsid w:val="00445E44"/>
    <w:rsid w:val="004509E2"/>
    <w:rsid w:val="004515EE"/>
    <w:rsid w:val="004529F0"/>
    <w:rsid w:val="004569B3"/>
    <w:rsid w:val="00460A03"/>
    <w:rsid w:val="004622AF"/>
    <w:rsid w:val="00465DE1"/>
    <w:rsid w:val="00467AD2"/>
    <w:rsid w:val="00472A11"/>
    <w:rsid w:val="00472AAD"/>
    <w:rsid w:val="00473781"/>
    <w:rsid w:val="00474E33"/>
    <w:rsid w:val="00476803"/>
    <w:rsid w:val="004770EC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3E7A"/>
    <w:rsid w:val="004D4AA1"/>
    <w:rsid w:val="004D5ADD"/>
    <w:rsid w:val="004D6D68"/>
    <w:rsid w:val="004E3A92"/>
    <w:rsid w:val="004E50A9"/>
    <w:rsid w:val="004E54DB"/>
    <w:rsid w:val="004E5EDD"/>
    <w:rsid w:val="004F448A"/>
    <w:rsid w:val="004F493D"/>
    <w:rsid w:val="004F65E8"/>
    <w:rsid w:val="004F758D"/>
    <w:rsid w:val="0050005E"/>
    <w:rsid w:val="00502B88"/>
    <w:rsid w:val="00505A6D"/>
    <w:rsid w:val="005142C4"/>
    <w:rsid w:val="0051509C"/>
    <w:rsid w:val="005272E2"/>
    <w:rsid w:val="0053108F"/>
    <w:rsid w:val="00532B56"/>
    <w:rsid w:val="00533751"/>
    <w:rsid w:val="00534B10"/>
    <w:rsid w:val="005446A2"/>
    <w:rsid w:val="00544D2F"/>
    <w:rsid w:val="00551BD8"/>
    <w:rsid w:val="005703D3"/>
    <w:rsid w:val="00573A2F"/>
    <w:rsid w:val="00581055"/>
    <w:rsid w:val="00590F67"/>
    <w:rsid w:val="00591E38"/>
    <w:rsid w:val="005A19C5"/>
    <w:rsid w:val="005A3034"/>
    <w:rsid w:val="005A462D"/>
    <w:rsid w:val="005B253B"/>
    <w:rsid w:val="005B5A25"/>
    <w:rsid w:val="005B771D"/>
    <w:rsid w:val="005C1E00"/>
    <w:rsid w:val="005C5D16"/>
    <w:rsid w:val="005D22A4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2E70"/>
    <w:rsid w:val="006363A8"/>
    <w:rsid w:val="00636A6E"/>
    <w:rsid w:val="00636DB7"/>
    <w:rsid w:val="00637286"/>
    <w:rsid w:val="00647072"/>
    <w:rsid w:val="00650905"/>
    <w:rsid w:val="006532ED"/>
    <w:rsid w:val="006549F2"/>
    <w:rsid w:val="006567B7"/>
    <w:rsid w:val="00657BFB"/>
    <w:rsid w:val="00661E63"/>
    <w:rsid w:val="0066333C"/>
    <w:rsid w:val="006639B4"/>
    <w:rsid w:val="006650FE"/>
    <w:rsid w:val="0067305D"/>
    <w:rsid w:val="00676B8C"/>
    <w:rsid w:val="00677D9B"/>
    <w:rsid w:val="006858D0"/>
    <w:rsid w:val="006867F3"/>
    <w:rsid w:val="00687890"/>
    <w:rsid w:val="006901A2"/>
    <w:rsid w:val="00690368"/>
    <w:rsid w:val="0069079C"/>
    <w:rsid w:val="00690B53"/>
    <w:rsid w:val="00693BC4"/>
    <w:rsid w:val="00695B72"/>
    <w:rsid w:val="006A35B7"/>
    <w:rsid w:val="006B160A"/>
    <w:rsid w:val="006B3CDC"/>
    <w:rsid w:val="006B4D4A"/>
    <w:rsid w:val="006B4E6C"/>
    <w:rsid w:val="006B50B6"/>
    <w:rsid w:val="006C3C6C"/>
    <w:rsid w:val="006D4A13"/>
    <w:rsid w:val="006D79EA"/>
    <w:rsid w:val="006E5D05"/>
    <w:rsid w:val="00701053"/>
    <w:rsid w:val="00701507"/>
    <w:rsid w:val="007044D0"/>
    <w:rsid w:val="00714021"/>
    <w:rsid w:val="007156D8"/>
    <w:rsid w:val="00716A0F"/>
    <w:rsid w:val="00717D45"/>
    <w:rsid w:val="007208F7"/>
    <w:rsid w:val="007218AF"/>
    <w:rsid w:val="00727B55"/>
    <w:rsid w:val="007365D1"/>
    <w:rsid w:val="00740E0E"/>
    <w:rsid w:val="00750212"/>
    <w:rsid w:val="00754779"/>
    <w:rsid w:val="0075716D"/>
    <w:rsid w:val="00765F14"/>
    <w:rsid w:val="007705F3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2036"/>
    <w:rsid w:val="007A678D"/>
    <w:rsid w:val="007B15AA"/>
    <w:rsid w:val="007B1B42"/>
    <w:rsid w:val="007C30EB"/>
    <w:rsid w:val="007E024F"/>
    <w:rsid w:val="007E063C"/>
    <w:rsid w:val="007E14EA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1A90"/>
    <w:rsid w:val="00826129"/>
    <w:rsid w:val="008264F0"/>
    <w:rsid w:val="00826F21"/>
    <w:rsid w:val="00834CC8"/>
    <w:rsid w:val="00835E00"/>
    <w:rsid w:val="00837113"/>
    <w:rsid w:val="008414E4"/>
    <w:rsid w:val="00843E21"/>
    <w:rsid w:val="0084508E"/>
    <w:rsid w:val="00857A8A"/>
    <w:rsid w:val="00861CE7"/>
    <w:rsid w:val="008630EE"/>
    <w:rsid w:val="00864D13"/>
    <w:rsid w:val="00871CD5"/>
    <w:rsid w:val="008745A2"/>
    <w:rsid w:val="008768A8"/>
    <w:rsid w:val="008818F8"/>
    <w:rsid w:val="00884A3D"/>
    <w:rsid w:val="0088798F"/>
    <w:rsid w:val="00887E4B"/>
    <w:rsid w:val="008915C8"/>
    <w:rsid w:val="008A36CF"/>
    <w:rsid w:val="008A3BC4"/>
    <w:rsid w:val="008A66B0"/>
    <w:rsid w:val="008B403C"/>
    <w:rsid w:val="008B7983"/>
    <w:rsid w:val="008C2511"/>
    <w:rsid w:val="008D026D"/>
    <w:rsid w:val="008D23AB"/>
    <w:rsid w:val="008D4B8B"/>
    <w:rsid w:val="008D5A78"/>
    <w:rsid w:val="008E2685"/>
    <w:rsid w:val="008E7B64"/>
    <w:rsid w:val="008F016E"/>
    <w:rsid w:val="008F2B3B"/>
    <w:rsid w:val="008F38E0"/>
    <w:rsid w:val="008F5DCD"/>
    <w:rsid w:val="00900951"/>
    <w:rsid w:val="009023B6"/>
    <w:rsid w:val="009118A6"/>
    <w:rsid w:val="0091564E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077B"/>
    <w:rsid w:val="0095260E"/>
    <w:rsid w:val="009578DD"/>
    <w:rsid w:val="00961124"/>
    <w:rsid w:val="00961981"/>
    <w:rsid w:val="009621B6"/>
    <w:rsid w:val="00974F2D"/>
    <w:rsid w:val="00977524"/>
    <w:rsid w:val="00977D3B"/>
    <w:rsid w:val="00977E88"/>
    <w:rsid w:val="00984920"/>
    <w:rsid w:val="0098582A"/>
    <w:rsid w:val="009915D8"/>
    <w:rsid w:val="00991A1D"/>
    <w:rsid w:val="00992BAB"/>
    <w:rsid w:val="0099303A"/>
    <w:rsid w:val="009971C2"/>
    <w:rsid w:val="009A1254"/>
    <w:rsid w:val="009A3355"/>
    <w:rsid w:val="009A4201"/>
    <w:rsid w:val="009B2FF2"/>
    <w:rsid w:val="009B380C"/>
    <w:rsid w:val="009B4843"/>
    <w:rsid w:val="009B6543"/>
    <w:rsid w:val="009C199D"/>
    <w:rsid w:val="009C278F"/>
    <w:rsid w:val="009C2B94"/>
    <w:rsid w:val="009C3942"/>
    <w:rsid w:val="009C5874"/>
    <w:rsid w:val="009D1C58"/>
    <w:rsid w:val="009D3B5A"/>
    <w:rsid w:val="009E0C05"/>
    <w:rsid w:val="009E0D1C"/>
    <w:rsid w:val="009E2214"/>
    <w:rsid w:val="009E23A8"/>
    <w:rsid w:val="009E2F34"/>
    <w:rsid w:val="009E355A"/>
    <w:rsid w:val="009E63E2"/>
    <w:rsid w:val="009F04D2"/>
    <w:rsid w:val="009F05CF"/>
    <w:rsid w:val="009F0F3A"/>
    <w:rsid w:val="009F24F5"/>
    <w:rsid w:val="009F620E"/>
    <w:rsid w:val="00A01D0C"/>
    <w:rsid w:val="00A0643F"/>
    <w:rsid w:val="00A067EE"/>
    <w:rsid w:val="00A10FCE"/>
    <w:rsid w:val="00A16D91"/>
    <w:rsid w:val="00A174CC"/>
    <w:rsid w:val="00A2073D"/>
    <w:rsid w:val="00A20751"/>
    <w:rsid w:val="00A20C45"/>
    <w:rsid w:val="00A220DA"/>
    <w:rsid w:val="00A27624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2106"/>
    <w:rsid w:val="00A93057"/>
    <w:rsid w:val="00A968B0"/>
    <w:rsid w:val="00AB2672"/>
    <w:rsid w:val="00AB2817"/>
    <w:rsid w:val="00AB43C4"/>
    <w:rsid w:val="00AB571E"/>
    <w:rsid w:val="00AC32E7"/>
    <w:rsid w:val="00AC3A9F"/>
    <w:rsid w:val="00AC6D2F"/>
    <w:rsid w:val="00AD022C"/>
    <w:rsid w:val="00AE2745"/>
    <w:rsid w:val="00AE2F64"/>
    <w:rsid w:val="00AE3E12"/>
    <w:rsid w:val="00AE683F"/>
    <w:rsid w:val="00AF42CB"/>
    <w:rsid w:val="00AF483F"/>
    <w:rsid w:val="00AF5E07"/>
    <w:rsid w:val="00AF5F06"/>
    <w:rsid w:val="00B00A25"/>
    <w:rsid w:val="00B03160"/>
    <w:rsid w:val="00B1422A"/>
    <w:rsid w:val="00B1488D"/>
    <w:rsid w:val="00B1765C"/>
    <w:rsid w:val="00B213C4"/>
    <w:rsid w:val="00B40C60"/>
    <w:rsid w:val="00B479A9"/>
    <w:rsid w:val="00B51130"/>
    <w:rsid w:val="00B52EDF"/>
    <w:rsid w:val="00B71188"/>
    <w:rsid w:val="00B76A41"/>
    <w:rsid w:val="00B87D4C"/>
    <w:rsid w:val="00B91784"/>
    <w:rsid w:val="00B93646"/>
    <w:rsid w:val="00BA0B38"/>
    <w:rsid w:val="00BA1DBB"/>
    <w:rsid w:val="00BA4510"/>
    <w:rsid w:val="00BA529A"/>
    <w:rsid w:val="00BB26A3"/>
    <w:rsid w:val="00BB612A"/>
    <w:rsid w:val="00BC7023"/>
    <w:rsid w:val="00BD499F"/>
    <w:rsid w:val="00BD56DE"/>
    <w:rsid w:val="00BD7CA8"/>
    <w:rsid w:val="00BF2406"/>
    <w:rsid w:val="00BF6A11"/>
    <w:rsid w:val="00C00920"/>
    <w:rsid w:val="00C0638A"/>
    <w:rsid w:val="00C06E43"/>
    <w:rsid w:val="00C12BB7"/>
    <w:rsid w:val="00C13771"/>
    <w:rsid w:val="00C16315"/>
    <w:rsid w:val="00C223F4"/>
    <w:rsid w:val="00C3091E"/>
    <w:rsid w:val="00C40FF1"/>
    <w:rsid w:val="00C419E2"/>
    <w:rsid w:val="00C420B9"/>
    <w:rsid w:val="00C4670E"/>
    <w:rsid w:val="00C5020E"/>
    <w:rsid w:val="00C57452"/>
    <w:rsid w:val="00C61EDF"/>
    <w:rsid w:val="00C6239D"/>
    <w:rsid w:val="00C644C1"/>
    <w:rsid w:val="00C64EAA"/>
    <w:rsid w:val="00C6594B"/>
    <w:rsid w:val="00C67FFB"/>
    <w:rsid w:val="00C7155E"/>
    <w:rsid w:val="00C71D1E"/>
    <w:rsid w:val="00C71D7D"/>
    <w:rsid w:val="00C74833"/>
    <w:rsid w:val="00C806B5"/>
    <w:rsid w:val="00C850A0"/>
    <w:rsid w:val="00C85A86"/>
    <w:rsid w:val="00C85C7D"/>
    <w:rsid w:val="00C93632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0359"/>
    <w:rsid w:val="00D048F7"/>
    <w:rsid w:val="00D0517E"/>
    <w:rsid w:val="00D140FC"/>
    <w:rsid w:val="00D21D8C"/>
    <w:rsid w:val="00D31357"/>
    <w:rsid w:val="00D33220"/>
    <w:rsid w:val="00D334D1"/>
    <w:rsid w:val="00D4033A"/>
    <w:rsid w:val="00D418BD"/>
    <w:rsid w:val="00D44C89"/>
    <w:rsid w:val="00D50D47"/>
    <w:rsid w:val="00D516A3"/>
    <w:rsid w:val="00D516CD"/>
    <w:rsid w:val="00D668E6"/>
    <w:rsid w:val="00D70670"/>
    <w:rsid w:val="00D74558"/>
    <w:rsid w:val="00D74D80"/>
    <w:rsid w:val="00D76624"/>
    <w:rsid w:val="00D87570"/>
    <w:rsid w:val="00D91CB9"/>
    <w:rsid w:val="00D97989"/>
    <w:rsid w:val="00D97D8D"/>
    <w:rsid w:val="00DA352E"/>
    <w:rsid w:val="00DB7601"/>
    <w:rsid w:val="00DC5BB2"/>
    <w:rsid w:val="00DC7694"/>
    <w:rsid w:val="00DD1BF6"/>
    <w:rsid w:val="00DD2F9B"/>
    <w:rsid w:val="00DD718E"/>
    <w:rsid w:val="00DE2513"/>
    <w:rsid w:val="00DE26E8"/>
    <w:rsid w:val="00DF6F36"/>
    <w:rsid w:val="00E0084C"/>
    <w:rsid w:val="00E025AB"/>
    <w:rsid w:val="00E02B23"/>
    <w:rsid w:val="00E0659F"/>
    <w:rsid w:val="00E06C85"/>
    <w:rsid w:val="00E06F40"/>
    <w:rsid w:val="00E07CE8"/>
    <w:rsid w:val="00E10AB2"/>
    <w:rsid w:val="00E26A07"/>
    <w:rsid w:val="00E30F36"/>
    <w:rsid w:val="00E32595"/>
    <w:rsid w:val="00E358E2"/>
    <w:rsid w:val="00E35C30"/>
    <w:rsid w:val="00E37CFD"/>
    <w:rsid w:val="00E41A26"/>
    <w:rsid w:val="00E46BCB"/>
    <w:rsid w:val="00E46EC3"/>
    <w:rsid w:val="00E51CAF"/>
    <w:rsid w:val="00E60F04"/>
    <w:rsid w:val="00E62AAC"/>
    <w:rsid w:val="00E67C2F"/>
    <w:rsid w:val="00E67EF5"/>
    <w:rsid w:val="00E723DD"/>
    <w:rsid w:val="00E72A8F"/>
    <w:rsid w:val="00E75B90"/>
    <w:rsid w:val="00E804EA"/>
    <w:rsid w:val="00E80A71"/>
    <w:rsid w:val="00E82337"/>
    <w:rsid w:val="00E92499"/>
    <w:rsid w:val="00E949AF"/>
    <w:rsid w:val="00E96077"/>
    <w:rsid w:val="00EA0A06"/>
    <w:rsid w:val="00EA5624"/>
    <w:rsid w:val="00EA6243"/>
    <w:rsid w:val="00EA74AB"/>
    <w:rsid w:val="00EB3D1B"/>
    <w:rsid w:val="00EC35A1"/>
    <w:rsid w:val="00ED1D89"/>
    <w:rsid w:val="00ED66BC"/>
    <w:rsid w:val="00EE7022"/>
    <w:rsid w:val="00EF0A27"/>
    <w:rsid w:val="00EF233A"/>
    <w:rsid w:val="00EF258C"/>
    <w:rsid w:val="00EF303E"/>
    <w:rsid w:val="00EF3A40"/>
    <w:rsid w:val="00EF7F78"/>
    <w:rsid w:val="00F01B08"/>
    <w:rsid w:val="00F01C4D"/>
    <w:rsid w:val="00F04F18"/>
    <w:rsid w:val="00F053FA"/>
    <w:rsid w:val="00F1083D"/>
    <w:rsid w:val="00F10C97"/>
    <w:rsid w:val="00F11C71"/>
    <w:rsid w:val="00F16019"/>
    <w:rsid w:val="00F20E68"/>
    <w:rsid w:val="00F22093"/>
    <w:rsid w:val="00F236DF"/>
    <w:rsid w:val="00F43157"/>
    <w:rsid w:val="00F43AD5"/>
    <w:rsid w:val="00F4402E"/>
    <w:rsid w:val="00F56DD0"/>
    <w:rsid w:val="00F6491C"/>
    <w:rsid w:val="00F66EDB"/>
    <w:rsid w:val="00F67BBB"/>
    <w:rsid w:val="00F808FA"/>
    <w:rsid w:val="00F87D92"/>
    <w:rsid w:val="00F907AC"/>
    <w:rsid w:val="00F90AA7"/>
    <w:rsid w:val="00F92498"/>
    <w:rsid w:val="00F9496B"/>
    <w:rsid w:val="00F970C9"/>
    <w:rsid w:val="00FA06A8"/>
    <w:rsid w:val="00FA3DF5"/>
    <w:rsid w:val="00FA741F"/>
    <w:rsid w:val="00FB0BE9"/>
    <w:rsid w:val="00FB4E07"/>
    <w:rsid w:val="00FB5480"/>
    <w:rsid w:val="00FB57D0"/>
    <w:rsid w:val="00FB755A"/>
    <w:rsid w:val="00FC60A2"/>
    <w:rsid w:val="00FD16AE"/>
    <w:rsid w:val="00FD1871"/>
    <w:rsid w:val="00FD2FB0"/>
    <w:rsid w:val="00FD3110"/>
    <w:rsid w:val="00FD410F"/>
    <w:rsid w:val="00FE7276"/>
    <w:rsid w:val="00FF5C3D"/>
    <w:rsid w:val="00FF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D56C5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B91784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2E16A2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B571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571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571E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57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571E"/>
    <w:rPr>
      <w:b/>
      <w:bCs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4770EC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1058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4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29D96B65566944F4988BAEB665EF78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844377-69B3-4023-8099-F52F57137B43}"/>
      </w:docPartPr>
      <w:docPartBody>
        <w:p w:rsidR="00D21A9F" w:rsidRDefault="00D21A9F">
          <w:pPr>
            <w:pStyle w:val="29D96B65566944F4988BAEB665EF7897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047AD93791DC493F8562BB3488160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F63B6-C115-4EF7-97B0-A1A4995B6C1D}"/>
      </w:docPartPr>
      <w:docPartBody>
        <w:p w:rsidR="00D21A9F" w:rsidRDefault="00D21A9F">
          <w:pPr>
            <w:pStyle w:val="047AD93791DC493F8562BB3488160D64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3509223423A74899AE03F825930D49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2B45F7-7860-42BA-ADC8-ABDE6121D3F6}"/>
      </w:docPartPr>
      <w:docPartBody>
        <w:p w:rsidR="00A64DEA" w:rsidRDefault="00A64DEA">
          <w:pPr>
            <w:pStyle w:val="3509223423A74899AE03F825930D49C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6C3698D4CCA4C379182D1DBC5755F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7A666C-8EE7-4B4E-938A-40B66583B4AC}"/>
      </w:docPartPr>
      <w:docPartBody>
        <w:p w:rsidR="00A64DEA" w:rsidRDefault="00A64DEA">
          <w:pPr>
            <w:pStyle w:val="36C3698D4CCA4C379182D1DBC5755FB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B66F52B2F6EC40C0842E44BF4E3709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346605-2615-4742-ABE2-322651F4220D}"/>
      </w:docPartPr>
      <w:docPartBody>
        <w:p w:rsidR="00A64DEA" w:rsidRDefault="00A64DEA">
          <w:pPr>
            <w:pStyle w:val="B66F52B2F6EC40C0842E44BF4E3709D5"/>
          </w:pPr>
          <w:r w:rsidRPr="00724F1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A2B0B"/>
    <w:rsid w:val="000B25D2"/>
    <w:rsid w:val="00350714"/>
    <w:rsid w:val="004227F1"/>
    <w:rsid w:val="00624FB0"/>
    <w:rsid w:val="007B0B5B"/>
    <w:rsid w:val="00814135"/>
    <w:rsid w:val="00971F26"/>
    <w:rsid w:val="00A5308E"/>
    <w:rsid w:val="00A64DEA"/>
    <w:rsid w:val="00B46302"/>
    <w:rsid w:val="00C25879"/>
    <w:rsid w:val="00C47CD8"/>
    <w:rsid w:val="00D21A9F"/>
    <w:rsid w:val="00DB0FDF"/>
    <w:rsid w:val="00DF2362"/>
    <w:rsid w:val="00EA4C5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47CD8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29D96B65566944F4988BAEB665EF7897">
    <w:name w:val="29D96B65566944F4988BAEB665EF7897"/>
  </w:style>
  <w:style w:type="paragraph" w:customStyle="1" w:styleId="20BC8D26515A4C11AC6304FB75A7CBAD">
    <w:name w:val="20BC8D26515A4C11AC6304FB75A7CBA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3509223423A74899AE03F825930D49CD">
    <w:name w:val="3509223423A74899AE03F825930D49CD"/>
  </w:style>
  <w:style w:type="paragraph" w:customStyle="1" w:styleId="36C3698D4CCA4C379182D1DBC5755FB1">
    <w:name w:val="36C3698D4CCA4C379182D1DBC5755FB1"/>
  </w:style>
  <w:style w:type="paragraph" w:customStyle="1" w:styleId="B66F52B2F6EC40C0842E44BF4E3709D5">
    <w:name w:val="B66F52B2F6EC40C0842E44BF4E3709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B329B5-7C7B-4CF0-92AB-8401BB600199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schemas.microsoft.com/office/infopath/2007/PartnerControls"/>
    <ds:schemaRef ds:uri="1c567317-0c4d-4a62-8516-c22afd1b5354"/>
    <ds:schemaRef ds:uri="a0509f21-ed56-4150-9955-96be669e5f2d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6F6827D-70A0-426A-B475-EE163D2005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BC44B4-52DC-4897-9994-FC83F2F5873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0D5605-F498-4767-85E7-008CEA2F9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2211</Words>
  <Characters>11920</Characters>
  <Application>Microsoft Office Word</Application>
  <DocSecurity>0</DocSecurity>
  <Lines>496</Lines>
  <Paragraphs>392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2019-11-05T02:35:00Z</dcterms:created>
  <dcterms:modified xsi:type="dcterms:W3CDTF">2026-01-08T23:06:00Z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2025-12-23T03:29:41Z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ca9c73d3-bbcd-4b4c-a172-5411bcba6ea7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