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3BBD927" w14:textId="26122F89" w:rsidR="00BD499F" w:rsidRPr="004C23F4" w:rsidRDefault="00167B31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p-dichlorobenzene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4"/>
        <w:gridCol w:w="5052"/>
      </w:tblGrid>
      <w:tr w:rsidR="00F43AD5" w:rsidRPr="004C23F4" w14:paraId="43E9F2CE" w14:textId="77777777" w:rsidTr="006E7952">
        <w:trPr>
          <w:cantSplit/>
          <w:tblHeader/>
        </w:trPr>
        <w:tc>
          <w:tcPr>
            <w:tcW w:w="3974" w:type="dxa"/>
          </w:tcPr>
          <w:p w14:paraId="0886B338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2" w:type="dxa"/>
          </w:tcPr>
          <w:p w14:paraId="32961D2C" w14:textId="77777777" w:rsidR="00F43AD5" w:rsidRPr="00717D45" w:rsidRDefault="00964DF4" w:rsidP="00B76A41">
            <w:pPr>
              <w:pStyle w:val="Tablefont"/>
            </w:pPr>
            <w:r>
              <w:t>106-46-7</w:t>
            </w:r>
          </w:p>
        </w:tc>
      </w:tr>
      <w:tr w:rsidR="00F43AD5" w:rsidRPr="003B3089" w14:paraId="34B77407" w14:textId="77777777" w:rsidTr="006E7952">
        <w:trPr>
          <w:cantSplit/>
        </w:trPr>
        <w:tc>
          <w:tcPr>
            <w:tcW w:w="3974" w:type="dxa"/>
          </w:tcPr>
          <w:p w14:paraId="0114B02B" w14:textId="77777777" w:rsidR="00F43AD5" w:rsidRPr="003B3089" w:rsidRDefault="00CB1CB1" w:rsidP="00B76A41">
            <w:pPr>
              <w:pStyle w:val="Tablerowright"/>
            </w:pPr>
            <w:r w:rsidRPr="003B3089">
              <w:t>Synonyms:</w:t>
            </w:r>
          </w:p>
        </w:tc>
        <w:tc>
          <w:tcPr>
            <w:tcW w:w="5052" w:type="dxa"/>
          </w:tcPr>
          <w:p w14:paraId="11B7013E" w14:textId="77777777" w:rsidR="00F43AD5" w:rsidRPr="003B3089" w:rsidRDefault="000F1512" w:rsidP="00B76A41">
            <w:pPr>
              <w:pStyle w:val="Tablefont"/>
            </w:pPr>
            <w:r w:rsidRPr="003B3089">
              <w:t>Di-chloricide, 1,4-dichlorobenzene, paracide, paramoth, parazene, PDB, santochlor</w:t>
            </w:r>
            <w:r w:rsidR="00C232F2" w:rsidRPr="003B3089">
              <w:t xml:space="preserve">, </w:t>
            </w:r>
            <w:r w:rsidR="00390EA4" w:rsidRPr="003B3089">
              <w:t xml:space="preserve">p-chlorophenyl chloride, </w:t>
            </w:r>
            <w:r w:rsidR="00C232F2" w:rsidRPr="003B3089">
              <w:t>p</w:t>
            </w:r>
            <w:r w:rsidR="00390EA4" w:rsidRPr="003B3089">
              <w:t>ara</w:t>
            </w:r>
            <w:r w:rsidR="00C232F2" w:rsidRPr="003B3089">
              <w:t xml:space="preserve">dichlorobenzene, </w:t>
            </w:r>
          </w:p>
        </w:tc>
      </w:tr>
      <w:tr w:rsidR="00F43AD5" w:rsidRPr="004C23F4" w14:paraId="0AA324A8" w14:textId="77777777" w:rsidTr="006E7952">
        <w:trPr>
          <w:cantSplit/>
        </w:trPr>
        <w:tc>
          <w:tcPr>
            <w:tcW w:w="3974" w:type="dxa"/>
          </w:tcPr>
          <w:p w14:paraId="7CEB00FA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2" w:type="dxa"/>
          </w:tcPr>
          <w:p w14:paraId="5E916381" w14:textId="77777777" w:rsidR="00F43AD5" w:rsidRPr="00717D45" w:rsidRDefault="008641B6" w:rsidP="00B76A41">
            <w:pPr>
              <w:pStyle w:val="Tablefont"/>
            </w:pPr>
            <w:r>
              <w:t>C</w:t>
            </w:r>
            <w:r w:rsidRPr="008641B6">
              <w:rPr>
                <w:vertAlign w:val="subscript"/>
              </w:rPr>
              <w:t>6</w:t>
            </w:r>
            <w:r>
              <w:t>H</w:t>
            </w:r>
            <w:r w:rsidRPr="008641B6">
              <w:rPr>
                <w:vertAlign w:val="subscript"/>
              </w:rPr>
              <w:t>4</w:t>
            </w:r>
            <w:r>
              <w:t>Cl</w:t>
            </w:r>
            <w:r w:rsidRPr="008641B6">
              <w:rPr>
                <w:vertAlign w:val="subscript"/>
              </w:rPr>
              <w:t>2</w:t>
            </w:r>
          </w:p>
        </w:tc>
      </w:tr>
    </w:tbl>
    <w:p w14:paraId="0765BB7D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E6311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25195C40" w14:textId="77777777" w:rsidTr="00037DD0">
        <w:trPr>
          <w:cantSplit/>
          <w:tblHeader/>
        </w:trPr>
        <w:tc>
          <w:tcPr>
            <w:tcW w:w="4010" w:type="dxa"/>
            <w:vAlign w:val="center"/>
          </w:tcPr>
          <w:p w14:paraId="64D663F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0FC574AA" w14:textId="77777777" w:rsidR="002C7AFE" w:rsidRPr="00EE6311" w:rsidRDefault="00EE631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ppm (12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DD0" w:rsidRPr="004C23F4" w14:paraId="0068BF95" w14:textId="77777777" w:rsidTr="00037DD0">
        <w:trPr>
          <w:cantSplit/>
        </w:trPr>
        <w:tc>
          <w:tcPr>
            <w:tcW w:w="4010" w:type="dxa"/>
            <w:vAlign w:val="center"/>
          </w:tcPr>
          <w:p w14:paraId="58F4C975" w14:textId="77777777" w:rsidR="00037DD0" w:rsidRPr="002C58FF" w:rsidRDefault="00037DD0" w:rsidP="00037DD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41E16EE9" w14:textId="77777777" w:rsidR="00037DD0" w:rsidRPr="00EE6311" w:rsidRDefault="00EE6311" w:rsidP="00037DD0">
            <w:pPr>
              <w:pStyle w:val="Tablefont"/>
              <w:rPr>
                <w:b/>
              </w:rPr>
            </w:pPr>
            <w:r>
              <w:rPr>
                <w:b/>
              </w:rPr>
              <w:t>10 ppm (60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37DD0" w:rsidRPr="004C23F4" w14:paraId="0E631C33" w14:textId="77777777" w:rsidTr="00037DD0">
        <w:trPr>
          <w:cantSplit/>
        </w:trPr>
        <w:tc>
          <w:tcPr>
            <w:tcW w:w="4010" w:type="dxa"/>
            <w:vAlign w:val="center"/>
          </w:tcPr>
          <w:p w14:paraId="4D8A6FED" w14:textId="77777777" w:rsidR="00037DD0" w:rsidRPr="002C58FF" w:rsidRDefault="00037DD0" w:rsidP="00037DD0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52F4A4CD" w14:textId="77777777" w:rsidR="00037DD0" w:rsidRPr="00EB3D1B" w:rsidRDefault="00037DD0" w:rsidP="00037DD0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DD0" w:rsidRPr="004C23F4" w14:paraId="2ABD2FCA" w14:textId="77777777" w:rsidTr="00037DD0">
        <w:trPr>
          <w:cantSplit/>
        </w:trPr>
        <w:tc>
          <w:tcPr>
            <w:tcW w:w="4010" w:type="dxa"/>
          </w:tcPr>
          <w:p w14:paraId="0B3D8E32" w14:textId="77777777" w:rsidR="00037DD0" w:rsidRPr="002C58FF" w:rsidRDefault="00037DD0" w:rsidP="00037DD0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5384DA72" w14:textId="77777777" w:rsidR="00037DD0" w:rsidRPr="00EB3D1B" w:rsidRDefault="00037DD0" w:rsidP="00037DD0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037DD0" w:rsidRPr="004C23F4" w14:paraId="62417134" w14:textId="77777777" w:rsidTr="00037DD0">
        <w:trPr>
          <w:cantSplit/>
        </w:trPr>
        <w:tc>
          <w:tcPr>
            <w:tcW w:w="4010" w:type="dxa"/>
            <w:vAlign w:val="center"/>
          </w:tcPr>
          <w:p w14:paraId="36DF3332" w14:textId="77777777" w:rsidR="00037DD0" w:rsidRPr="002C58FF" w:rsidRDefault="00037DD0" w:rsidP="00037DD0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2BBBE4B3" w14:textId="77777777" w:rsidR="00037DD0" w:rsidRPr="00EB3D1B" w:rsidRDefault="00B74469" w:rsidP="00037DD0">
            <w:pPr>
              <w:pStyle w:val="Tablefont"/>
              <w:rPr>
                <w:b/>
              </w:rPr>
            </w:pPr>
            <w:r>
              <w:rPr>
                <w:b/>
              </w:rPr>
              <w:t>150 ppm</w:t>
            </w:r>
          </w:p>
        </w:tc>
      </w:tr>
      <w:tr w:rsidR="00715CF7" w:rsidRPr="004C23F4" w14:paraId="5BCEB58E" w14:textId="77777777" w:rsidTr="00430A5E">
        <w:trPr>
          <w:cantSplit/>
        </w:trPr>
        <w:tc>
          <w:tcPr>
            <w:tcW w:w="9026" w:type="dxa"/>
            <w:gridSpan w:val="2"/>
          </w:tcPr>
          <w:p w14:paraId="4B8C2E08" w14:textId="728A37DB" w:rsidR="00715CF7" w:rsidRPr="00715CF7" w:rsidRDefault="00715CF7" w:rsidP="00037DD0">
            <w:pPr>
              <w:pStyle w:val="Tablefont"/>
            </w:pPr>
            <w:r w:rsidRPr="00472673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E094B1B2D3794517B709994630ABE69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72673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41801D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480AAB15" w14:textId="597508E8" w:rsidR="00EE6311" w:rsidRPr="00176B16" w:rsidRDefault="00EE6311" w:rsidP="00EE6311">
      <w:pPr>
        <w:rPr>
          <w:rFonts w:cs="Arial"/>
        </w:rPr>
      </w:pPr>
      <w:r w:rsidRPr="00176B16">
        <w:rPr>
          <w:rFonts w:cs="Arial"/>
        </w:rPr>
        <w:t xml:space="preserve">A TWA of </w:t>
      </w:r>
      <w:r w:rsidR="0071091B">
        <w:rPr>
          <w:rFonts w:cs="Arial"/>
        </w:rPr>
        <w:t>2 ppm (12</w:t>
      </w:r>
      <w:r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</w:t>
      </w:r>
      <w:r w:rsidR="00390EA4">
        <w:rPr>
          <w:rFonts w:cs="Arial"/>
        </w:rPr>
        <w:t>recommended</w:t>
      </w:r>
      <w:r w:rsidR="00390EA4" w:rsidRPr="00176B16">
        <w:rPr>
          <w:rFonts w:cs="Arial"/>
        </w:rPr>
        <w:t xml:space="preserve"> </w:t>
      </w:r>
      <w:r w:rsidRPr="00176B16">
        <w:rPr>
          <w:rFonts w:cs="Arial"/>
        </w:rPr>
        <w:t xml:space="preserve">to protect for </w:t>
      </w:r>
      <w:r w:rsidR="00472673">
        <w:rPr>
          <w:rFonts w:cs="Arial"/>
        </w:rPr>
        <w:t>eye irritation</w:t>
      </w:r>
      <w:r w:rsidRPr="00176B16">
        <w:rPr>
          <w:rFonts w:cs="Arial"/>
        </w:rPr>
        <w:t xml:space="preserve"> and </w:t>
      </w:r>
      <w:r>
        <w:rPr>
          <w:rFonts w:cs="Arial"/>
        </w:rPr>
        <w:t>possible liver damage</w:t>
      </w:r>
      <w:r w:rsidRPr="00176B16">
        <w:rPr>
          <w:rFonts w:cs="Arial"/>
        </w:rPr>
        <w:t xml:space="preserve"> in exposed workers. </w:t>
      </w:r>
    </w:p>
    <w:p w14:paraId="5C521DA4" w14:textId="7166E19B" w:rsidR="006639B4" w:rsidRDefault="0071091B" w:rsidP="00EE6311">
      <w:pPr>
        <w:rPr>
          <w:rFonts w:cs="Arial"/>
        </w:rPr>
      </w:pPr>
      <w:r>
        <w:rPr>
          <w:rFonts w:cs="Arial"/>
        </w:rPr>
        <w:t>A STEL of 10 ppm (60</w:t>
      </w:r>
      <w:r w:rsidR="00EE6311" w:rsidRPr="00176B16">
        <w:rPr>
          <w:rFonts w:cs="Arial"/>
        </w:rPr>
        <w:t xml:space="preserve"> mg/m</w:t>
      </w:r>
      <w:r w:rsidR="00EE6311">
        <w:rPr>
          <w:rFonts w:cs="Arial"/>
          <w:vertAlign w:val="superscript"/>
        </w:rPr>
        <w:t>3</w:t>
      </w:r>
      <w:r w:rsidR="00EE6311" w:rsidRPr="00176B16">
        <w:rPr>
          <w:rFonts w:cs="Arial"/>
        </w:rPr>
        <w:t xml:space="preserve">) is </w:t>
      </w:r>
      <w:r w:rsidR="00390EA4">
        <w:rPr>
          <w:rFonts w:cs="Arial"/>
        </w:rPr>
        <w:t>recommended</w:t>
      </w:r>
      <w:r w:rsidR="00390EA4" w:rsidRPr="00176B16">
        <w:rPr>
          <w:rFonts w:cs="Arial"/>
        </w:rPr>
        <w:t xml:space="preserve"> </w:t>
      </w:r>
      <w:r w:rsidR="00EE6311" w:rsidRPr="00176B16">
        <w:rPr>
          <w:rFonts w:cs="Arial"/>
        </w:rPr>
        <w:t>to protect for</w:t>
      </w:r>
      <w:r w:rsidR="00437AF2">
        <w:rPr>
          <w:rFonts w:cs="Arial"/>
        </w:rPr>
        <w:t xml:space="preserve"> </w:t>
      </w:r>
      <w:r w:rsidR="00472673">
        <w:rPr>
          <w:rFonts w:cs="Arial"/>
        </w:rPr>
        <w:t>irritation in the nasal epithelium</w:t>
      </w:r>
      <w:r w:rsidR="00EE6311" w:rsidRPr="00176B16">
        <w:rPr>
          <w:rFonts w:cs="Arial"/>
        </w:rPr>
        <w:t xml:space="preserve"> in exposed workers</w:t>
      </w:r>
      <w:r w:rsidR="00C33F24">
        <w:rPr>
          <w:rFonts w:cs="Arial"/>
        </w:rPr>
        <w:t>.</w:t>
      </w:r>
    </w:p>
    <w:p w14:paraId="12E9FC29" w14:textId="08DC44EF" w:rsidR="00106196" w:rsidRPr="004C23F4" w:rsidRDefault="00106196" w:rsidP="00EE6311">
      <w:pPr>
        <w:rPr>
          <w:rFonts w:cs="Arial"/>
        </w:rPr>
      </w:pPr>
      <w:r w:rsidRPr="00106196">
        <w:rPr>
          <w:rFonts w:cs="Arial"/>
        </w:rPr>
        <w:t xml:space="preserve">Given the </w:t>
      </w:r>
      <w:r>
        <w:rPr>
          <w:rFonts w:cs="Arial"/>
        </w:rPr>
        <w:t>conflicting data about dermal absorption and whether a skin notation should be assigned</w:t>
      </w:r>
      <w:r w:rsidRPr="00106196">
        <w:rPr>
          <w:rFonts w:cs="Arial"/>
        </w:rPr>
        <w:t>, it is recommended that a review of additional sources be conducted at the next scheduled review.</w:t>
      </w:r>
    </w:p>
    <w:p w14:paraId="554814B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1A19818" w14:textId="77777777" w:rsidR="00472673" w:rsidRDefault="0071091B" w:rsidP="006639B4">
      <w:r w:rsidRPr="00215F4E">
        <w:rPr>
          <w:i/>
        </w:rPr>
        <w:t>p</w:t>
      </w:r>
      <w:r>
        <w:t>-Dichlorobenzene (</w:t>
      </w:r>
      <w:r w:rsidRPr="00106196">
        <w:rPr>
          <w:i/>
        </w:rPr>
        <w:t>p</w:t>
      </w:r>
      <w:r>
        <w:t xml:space="preserve">DCB) is used as an insecticide and a fumigant for control of mildew, moulds </w:t>
      </w:r>
      <w:r w:rsidRPr="0071091B">
        <w:t>and</w:t>
      </w:r>
      <w:r>
        <w:t xml:space="preserve"> moths (moth</w:t>
      </w:r>
      <w:r w:rsidR="00C33F24">
        <w:t>-</w:t>
      </w:r>
      <w:r>
        <w:t>balls).</w:t>
      </w:r>
      <w:r w:rsidR="00A77E21">
        <w:t xml:space="preserve"> </w:t>
      </w:r>
    </w:p>
    <w:p w14:paraId="494E844C" w14:textId="1A5F09D1" w:rsidR="006639B4" w:rsidRPr="00351A2E" w:rsidRDefault="0071091B" w:rsidP="006639B4">
      <w:r>
        <w:t xml:space="preserve">Eye irritation is reported in workers following exposure </w:t>
      </w:r>
      <w:r w:rsidR="00472673">
        <w:t>at</w:t>
      </w:r>
      <w:r>
        <w:t xml:space="preserve"> 17 ppm. Injury to the liver and kidney</w:t>
      </w:r>
      <w:r w:rsidR="00472673">
        <w:t>s is</w:t>
      </w:r>
      <w:r>
        <w:t xml:space="preserve"> reported in humans also </w:t>
      </w:r>
      <w:r w:rsidR="00472673">
        <w:t xml:space="preserve">with </w:t>
      </w:r>
      <w:r>
        <w:t>no</w:t>
      </w:r>
      <w:r w:rsidR="00472673">
        <w:t xml:space="preserve"> exposure</w:t>
      </w:r>
      <w:r>
        <w:t xml:space="preserve"> concentration </w:t>
      </w:r>
      <w:r w:rsidR="00472673">
        <w:t>information</w:t>
      </w:r>
      <w:r>
        <w:t xml:space="preserve"> provided (ACGIH, 2018).</w:t>
      </w:r>
      <w:r w:rsidR="00351A2E">
        <w:t xml:space="preserve"> </w:t>
      </w:r>
      <w:r w:rsidR="002C04D9">
        <w:rPr>
          <w:rFonts w:cs="Arial"/>
        </w:rPr>
        <w:t>A</w:t>
      </w:r>
      <w:r w:rsidR="00106196">
        <w:rPr>
          <w:rFonts w:cs="Arial"/>
        </w:rPr>
        <w:t> </w:t>
      </w:r>
      <w:r w:rsidR="002C04D9">
        <w:rPr>
          <w:rFonts w:cs="Arial"/>
        </w:rPr>
        <w:t xml:space="preserve">NOAEC of 20 ppm </w:t>
      </w:r>
      <w:r w:rsidR="00472673">
        <w:rPr>
          <w:rFonts w:cs="Arial"/>
        </w:rPr>
        <w:t>is reported</w:t>
      </w:r>
      <w:r w:rsidR="002C04D9">
        <w:rPr>
          <w:rFonts w:cs="Arial"/>
        </w:rPr>
        <w:t xml:space="preserve"> in</w:t>
      </w:r>
      <w:r w:rsidR="00351A2E">
        <w:rPr>
          <w:rFonts w:cs="Arial"/>
        </w:rPr>
        <w:t xml:space="preserve"> rats </w:t>
      </w:r>
      <w:r w:rsidR="00351A2E">
        <w:t xml:space="preserve">for effects </w:t>
      </w:r>
      <w:r w:rsidR="00472673">
        <w:t>in</w:t>
      </w:r>
      <w:r w:rsidR="00351A2E">
        <w:t xml:space="preserve"> the nasal epithelium</w:t>
      </w:r>
      <w:r w:rsidR="002C04D9">
        <w:rPr>
          <w:rFonts w:cs="Arial"/>
        </w:rPr>
        <w:t xml:space="preserve">, </w:t>
      </w:r>
      <w:r w:rsidR="00472673">
        <w:rPr>
          <w:rFonts w:cs="Arial"/>
        </w:rPr>
        <w:t xml:space="preserve">with </w:t>
      </w:r>
      <w:r w:rsidR="002C04D9">
        <w:rPr>
          <w:rFonts w:cs="Arial"/>
        </w:rPr>
        <w:t xml:space="preserve">exposure </w:t>
      </w:r>
      <w:r w:rsidR="00472673">
        <w:rPr>
          <w:rFonts w:cs="Arial"/>
        </w:rPr>
        <w:t>at</w:t>
      </w:r>
      <w:r w:rsidR="002C04D9">
        <w:rPr>
          <w:rFonts w:cs="Arial"/>
        </w:rPr>
        <w:t xml:space="preserve"> 25 ppm </w:t>
      </w:r>
      <w:r w:rsidR="00472673">
        <w:rPr>
          <w:rFonts w:cs="Arial"/>
        </w:rPr>
        <w:t>reported to be</w:t>
      </w:r>
      <w:r w:rsidR="002C04D9">
        <w:rPr>
          <w:rFonts w:cs="Arial"/>
        </w:rPr>
        <w:t xml:space="preserve"> associated with renal toxicity. A LOAEL of 10 mg/kg</w:t>
      </w:r>
      <w:r w:rsidR="00106196">
        <w:rPr>
          <w:rFonts w:cs="Arial"/>
        </w:rPr>
        <w:t>/day</w:t>
      </w:r>
      <w:r w:rsidR="002C04D9">
        <w:rPr>
          <w:rFonts w:cs="Arial"/>
        </w:rPr>
        <w:t xml:space="preserve"> in dogs</w:t>
      </w:r>
      <w:r w:rsidR="00351A2E">
        <w:rPr>
          <w:rFonts w:cs="Arial"/>
        </w:rPr>
        <w:t xml:space="preserve"> </w:t>
      </w:r>
      <w:r w:rsidR="00472673">
        <w:rPr>
          <w:rFonts w:cs="Arial"/>
        </w:rPr>
        <w:t>is reported</w:t>
      </w:r>
      <w:r w:rsidR="00351A2E">
        <w:rPr>
          <w:rFonts w:cs="Arial"/>
        </w:rPr>
        <w:t xml:space="preserve"> in a one</w:t>
      </w:r>
      <w:r w:rsidR="00C33F24">
        <w:rPr>
          <w:rFonts w:cs="Arial"/>
        </w:rPr>
        <w:t xml:space="preserve"> </w:t>
      </w:r>
      <w:r w:rsidR="00351A2E">
        <w:rPr>
          <w:rFonts w:cs="Arial"/>
        </w:rPr>
        <w:t xml:space="preserve">year feeding study for effects in the blood and </w:t>
      </w:r>
      <w:r w:rsidR="00472673">
        <w:rPr>
          <w:rFonts w:cs="Arial"/>
        </w:rPr>
        <w:t xml:space="preserve">lung </w:t>
      </w:r>
      <w:r w:rsidR="00351A2E">
        <w:rPr>
          <w:rFonts w:cs="Arial"/>
        </w:rPr>
        <w:t>inflammation (DFG, 2003; SCOEL 2014).</w:t>
      </w:r>
      <w:r w:rsidR="00472673">
        <w:rPr>
          <w:rFonts w:cs="Arial"/>
        </w:rPr>
        <w:t xml:space="preserve"> </w:t>
      </w:r>
      <w:r w:rsidR="00613D4E">
        <w:rPr>
          <w:rFonts w:cs="Arial"/>
        </w:rPr>
        <w:t>C</w:t>
      </w:r>
      <w:r w:rsidR="00472673">
        <w:rPr>
          <w:rFonts w:cs="Arial"/>
        </w:rPr>
        <w:t xml:space="preserve">arcinogenicity is reported in various animal species, </w:t>
      </w:r>
      <w:r w:rsidR="00613D4E">
        <w:rPr>
          <w:rFonts w:cs="Arial"/>
        </w:rPr>
        <w:t xml:space="preserve">but </w:t>
      </w:r>
      <w:r w:rsidR="000A3050">
        <w:rPr>
          <w:rFonts w:cs="Arial"/>
        </w:rPr>
        <w:t xml:space="preserve">it is </w:t>
      </w:r>
      <w:r w:rsidR="00613D4E">
        <w:rPr>
          <w:rFonts w:cs="Arial"/>
        </w:rPr>
        <w:t>not</w:t>
      </w:r>
      <w:r w:rsidR="006F5C01">
        <w:rPr>
          <w:rFonts w:cs="Arial"/>
        </w:rPr>
        <w:t xml:space="preserve"> </w:t>
      </w:r>
      <w:r w:rsidR="00613D4E">
        <w:rPr>
          <w:rFonts w:cs="Arial"/>
        </w:rPr>
        <w:t xml:space="preserve">considered </w:t>
      </w:r>
      <w:r w:rsidR="00E24612">
        <w:rPr>
          <w:rFonts w:cs="Arial"/>
        </w:rPr>
        <w:t xml:space="preserve">to be a </w:t>
      </w:r>
      <w:r w:rsidR="006F5C01">
        <w:rPr>
          <w:rFonts w:cs="Arial"/>
        </w:rPr>
        <w:t xml:space="preserve">non-threshold based </w:t>
      </w:r>
      <w:r w:rsidR="00613D4E">
        <w:rPr>
          <w:rFonts w:cs="Arial"/>
        </w:rPr>
        <w:t>genotoxic</w:t>
      </w:r>
      <w:r w:rsidR="006F5C01">
        <w:rPr>
          <w:rFonts w:cs="Arial"/>
        </w:rPr>
        <w:t xml:space="preserve"> as</w:t>
      </w:r>
      <w:r w:rsidR="006F5C01" w:rsidRPr="006F5C01">
        <w:rPr>
          <w:rFonts w:cs="Arial"/>
        </w:rPr>
        <w:t xml:space="preserve"> </w:t>
      </w:r>
      <w:r w:rsidR="00106196">
        <w:rPr>
          <w:rFonts w:cs="Arial"/>
        </w:rPr>
        <w:t xml:space="preserve">the </w:t>
      </w:r>
      <w:r w:rsidR="006F5C01" w:rsidRPr="000A3050">
        <w:rPr>
          <w:rFonts w:cs="Arial"/>
        </w:rPr>
        <w:t xml:space="preserve">mechanism of action </w:t>
      </w:r>
      <w:r w:rsidR="006F5C01">
        <w:rPr>
          <w:rFonts w:cs="Arial"/>
        </w:rPr>
        <w:t xml:space="preserve">for carcinogenicity </w:t>
      </w:r>
      <w:r w:rsidR="006F5C01" w:rsidRPr="000A3050">
        <w:rPr>
          <w:rFonts w:cs="Arial"/>
        </w:rPr>
        <w:t>is not fully understood</w:t>
      </w:r>
      <w:r w:rsidR="006F5C01">
        <w:rPr>
          <w:rFonts w:cs="Arial"/>
        </w:rPr>
        <w:t xml:space="preserve"> (DFG 2003)</w:t>
      </w:r>
      <w:r w:rsidR="00613D4E">
        <w:rPr>
          <w:rFonts w:cs="Arial"/>
        </w:rPr>
        <w:t xml:space="preserve">. </w:t>
      </w:r>
      <w:r w:rsidR="000A3050" w:rsidRPr="000A3050">
        <w:t xml:space="preserve"> </w:t>
      </w:r>
      <w:r w:rsidR="000A3050">
        <w:t xml:space="preserve"> </w:t>
      </w:r>
    </w:p>
    <w:p w14:paraId="643621B6" w14:textId="151FA5A1" w:rsidR="00351A2E" w:rsidRPr="004C23F4" w:rsidRDefault="00106196" w:rsidP="006639B4">
      <w:pPr>
        <w:rPr>
          <w:rFonts w:cs="Arial"/>
        </w:rPr>
      </w:pPr>
      <w:r>
        <w:t>A t</w:t>
      </w:r>
      <w:r w:rsidR="006F5C01">
        <w:t xml:space="preserve">hreshold exposure concentration is derived from the systemic toxicity studies. </w:t>
      </w:r>
      <w:r w:rsidR="00613D4E">
        <w:rPr>
          <w:rFonts w:cs="Arial"/>
        </w:rPr>
        <w:t xml:space="preserve">SCOEL (2014) uses </w:t>
      </w:r>
      <w:r w:rsidR="00351A2E">
        <w:rPr>
          <w:rFonts w:cs="Arial"/>
        </w:rPr>
        <w:t>the LOAEL in dogs</w:t>
      </w:r>
      <w:r w:rsidR="00613D4E">
        <w:rPr>
          <w:rFonts w:cs="Arial"/>
        </w:rPr>
        <w:t xml:space="preserve"> to extrapolate </w:t>
      </w:r>
      <w:r w:rsidR="00351A2E">
        <w:rPr>
          <w:rFonts w:cs="Arial"/>
        </w:rPr>
        <w:t xml:space="preserve">equivalent </w:t>
      </w:r>
      <w:r>
        <w:rPr>
          <w:rFonts w:cs="Arial"/>
        </w:rPr>
        <w:t xml:space="preserve">eight </w:t>
      </w:r>
      <w:r w:rsidR="00351A2E">
        <w:rPr>
          <w:rFonts w:cs="Arial"/>
        </w:rPr>
        <w:t>hour concentration</w:t>
      </w:r>
      <w:r w:rsidR="00613D4E">
        <w:rPr>
          <w:rFonts w:cs="Arial"/>
        </w:rPr>
        <w:t xml:space="preserve"> </w:t>
      </w:r>
      <w:r w:rsidR="00351A2E">
        <w:rPr>
          <w:rFonts w:cs="Arial"/>
        </w:rPr>
        <w:t xml:space="preserve">of 3.6 ppm </w:t>
      </w:r>
      <w:r w:rsidR="002B63E8">
        <w:rPr>
          <w:rFonts w:cs="Arial"/>
        </w:rPr>
        <w:t xml:space="preserve">in humans </w:t>
      </w:r>
      <w:r w:rsidR="00D64E0F">
        <w:rPr>
          <w:rFonts w:cs="Arial"/>
        </w:rPr>
        <w:t>and</w:t>
      </w:r>
      <w:r w:rsidR="00351A2E">
        <w:rPr>
          <w:rFonts w:cs="Arial"/>
        </w:rPr>
        <w:t xml:space="preserve"> a TWA of 2 ppm</w:t>
      </w:r>
      <w:r w:rsidR="002B63E8">
        <w:rPr>
          <w:rFonts w:cs="Arial"/>
        </w:rPr>
        <w:t xml:space="preserve"> (rounded)</w:t>
      </w:r>
      <w:r w:rsidR="00351A2E">
        <w:rPr>
          <w:rFonts w:cs="Arial"/>
        </w:rPr>
        <w:t xml:space="preserve">. </w:t>
      </w:r>
      <w:r w:rsidR="002B63E8">
        <w:rPr>
          <w:rFonts w:cs="Arial"/>
        </w:rPr>
        <w:t xml:space="preserve">The recommended TWA of 2 ppm is considered to protect for irritation and liver effects in exposed workers. </w:t>
      </w:r>
      <w:r w:rsidR="00472673">
        <w:rPr>
          <w:rFonts w:cs="Arial"/>
        </w:rPr>
        <w:t>T</w:t>
      </w:r>
      <w:r w:rsidR="00351A2E">
        <w:rPr>
          <w:rFonts w:cs="Arial"/>
        </w:rPr>
        <w:t xml:space="preserve">he NOAEC of </w:t>
      </w:r>
      <w:r w:rsidR="00472673">
        <w:rPr>
          <w:rFonts w:cs="Arial"/>
        </w:rPr>
        <w:t>20 </w:t>
      </w:r>
      <w:r w:rsidR="00351A2E">
        <w:rPr>
          <w:rFonts w:cs="Arial"/>
        </w:rPr>
        <w:t xml:space="preserve">ppm </w:t>
      </w:r>
      <w:r w:rsidR="00472673">
        <w:rPr>
          <w:rFonts w:cs="Arial"/>
        </w:rPr>
        <w:t xml:space="preserve">for </w:t>
      </w:r>
      <w:r w:rsidR="00351A2E">
        <w:t>effects at the nasal epithelium</w:t>
      </w:r>
      <w:r w:rsidR="00472673">
        <w:t xml:space="preserve"> </w:t>
      </w:r>
      <w:r w:rsidR="00351A2E">
        <w:t>is used as the basis for the STEL.</w:t>
      </w:r>
    </w:p>
    <w:p w14:paraId="0BB8359C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4ED6A21" w14:textId="67AE39E0" w:rsidR="00882DFD" w:rsidRPr="00EE6311" w:rsidRDefault="00EE6311" w:rsidP="00882DFD">
      <w:pPr>
        <w:rPr>
          <w:rFonts w:cs="Arial"/>
        </w:rPr>
      </w:pPr>
      <w:r w:rsidRPr="00EE6311">
        <w:rPr>
          <w:rFonts w:cs="Arial"/>
        </w:rPr>
        <w:t>C</w:t>
      </w:r>
      <w:r w:rsidR="00882DFD" w:rsidRPr="00EE6311">
        <w:rPr>
          <w:rFonts w:cs="Arial"/>
        </w:rPr>
        <w:t xml:space="preserve">lassified as a </w:t>
      </w:r>
      <w:r w:rsidR="00D120BA" w:rsidRPr="00EE6311">
        <w:rPr>
          <w:rFonts w:cs="Arial"/>
        </w:rPr>
        <w:t xml:space="preserve">category 2 </w:t>
      </w:r>
      <w:r w:rsidR="00882DFD" w:rsidRPr="00EE6311">
        <w:rPr>
          <w:rFonts w:cs="Arial"/>
        </w:rPr>
        <w:t>carcinogen according to the Globally Harmonized System of Classification and Labelling o</w:t>
      </w:r>
      <w:r w:rsidR="00D120BA">
        <w:rPr>
          <w:rFonts w:cs="Arial"/>
        </w:rPr>
        <w:t>f</w:t>
      </w:r>
      <w:r w:rsidR="00882DFD" w:rsidRPr="00EE6311">
        <w:rPr>
          <w:rFonts w:cs="Arial"/>
        </w:rPr>
        <w:t xml:space="preserve"> Chemicals (GHS). </w:t>
      </w:r>
    </w:p>
    <w:p w14:paraId="130D4045" w14:textId="77777777" w:rsidR="00882DFD" w:rsidRPr="00EE6311" w:rsidRDefault="00882DFD" w:rsidP="00882DFD">
      <w:pPr>
        <w:rPr>
          <w:rFonts w:cs="Arial"/>
        </w:rPr>
      </w:pPr>
      <w:r w:rsidRPr="00EE6311">
        <w:rPr>
          <w:rFonts w:cs="Arial"/>
        </w:rPr>
        <w:t xml:space="preserve">Not classified as a skin </w:t>
      </w:r>
      <w:r w:rsidR="00437AF2">
        <w:rPr>
          <w:rFonts w:cs="Arial"/>
        </w:rPr>
        <w:t xml:space="preserve">sensitiser </w:t>
      </w:r>
      <w:r w:rsidRPr="00EE6311">
        <w:rPr>
          <w:rFonts w:cs="Arial"/>
        </w:rPr>
        <w:t>or respiratory sensitiser according to the GHS.</w:t>
      </w:r>
    </w:p>
    <w:p w14:paraId="7E674718" w14:textId="16C1896A" w:rsidR="00215F4E" w:rsidRPr="004C23F4" w:rsidRDefault="00D120BA" w:rsidP="00215F4E">
      <w:pPr>
        <w:rPr>
          <w:rFonts w:cs="Arial"/>
        </w:rPr>
      </w:pPr>
      <w:r>
        <w:rPr>
          <w:rFonts w:cs="Arial"/>
        </w:rPr>
        <w:t>There are insufficient data to recommend a skin notation</w:t>
      </w:r>
      <w:r w:rsidR="00472673">
        <w:rPr>
          <w:rFonts w:cs="Arial"/>
        </w:rPr>
        <w:t>.</w:t>
      </w:r>
      <w:r w:rsidR="00215F4E">
        <w:rPr>
          <w:rFonts w:cs="Arial"/>
        </w:rPr>
        <w:t xml:space="preserve"> </w:t>
      </w:r>
      <w:r w:rsidR="00472673">
        <w:rPr>
          <w:rFonts w:cs="Arial"/>
        </w:rPr>
        <w:t>H</w:t>
      </w:r>
      <w:r w:rsidR="00215F4E">
        <w:rPr>
          <w:rFonts w:cs="Arial"/>
        </w:rPr>
        <w:t>owever</w:t>
      </w:r>
      <w:r w:rsidR="00472673">
        <w:rPr>
          <w:rFonts w:cs="Arial"/>
        </w:rPr>
        <w:t>,</w:t>
      </w:r>
      <w:r w:rsidR="00215F4E">
        <w:rPr>
          <w:rFonts w:cs="Arial"/>
        </w:rPr>
        <w:t xml:space="preserve"> further review is recommended as there is evidence of dermal absorption in humans and conflicting assessments between agencies.</w:t>
      </w:r>
    </w:p>
    <w:p w14:paraId="073FD4D2" w14:textId="77777777" w:rsidR="00472673" w:rsidRDefault="00472673">
      <w:pPr>
        <w:spacing w:after="200"/>
        <w:rPr>
          <w:rFonts w:eastAsiaTheme="majorEastAsia" w:cs="Arial"/>
          <w:b/>
          <w:bCs/>
          <w:caps/>
          <w:kern w:val="32"/>
          <w:sz w:val="36"/>
          <w:szCs w:val="40"/>
          <w:lang w:eastAsia="en-AU"/>
        </w:rPr>
      </w:pPr>
      <w:r>
        <w:rPr>
          <w:rFonts w:cs="Arial"/>
        </w:rPr>
        <w:br w:type="page"/>
      </w:r>
    </w:p>
    <w:p w14:paraId="5B1F4E1E" w14:textId="2628D353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B04AC0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F9F643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5D48DEF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0F6B8B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0D405FE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07D52">
                  <w:t>2001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07D52">
                  <w:t>TWA; 25 ppm (150 mg/m</w:t>
                </w:r>
                <w:r w:rsidR="00007D52" w:rsidRPr="000D6750">
                  <w:rPr>
                    <w:vertAlign w:val="superscript"/>
                  </w:rPr>
                  <w:t>3</w:t>
                </w:r>
                <w:r w:rsidR="00007D52">
                  <w:t>); STEL: 50 ppm (300 mg/m</w:t>
                </w:r>
                <w:r w:rsidR="00007D52" w:rsidRPr="00007D52">
                  <w:rPr>
                    <w:vertAlign w:val="superscript"/>
                  </w:rPr>
                  <w:t>3</w:t>
                </w:r>
                <w:r w:rsidR="00007D52">
                  <w:t>)</w:t>
                </w:r>
              </w:sdtContent>
            </w:sdt>
          </w:p>
        </w:tc>
      </w:tr>
      <w:tr w:rsidR="00C978F0" w:rsidRPr="00DA352E" w14:paraId="7287A32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191D5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510D09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88A84AD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6400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6400F">
                  <w:t>TLV-TWA: 10 ppm (60 mg/m</w:t>
                </w:r>
                <w:r w:rsidR="0096400F" w:rsidRPr="0096400F">
                  <w:rPr>
                    <w:vertAlign w:val="superscript"/>
                  </w:rPr>
                  <w:t>3</w:t>
                </w:r>
                <w:r w:rsidR="0096400F">
                  <w:t>)</w:t>
                </w:r>
              </w:sdtContent>
            </w:sdt>
          </w:p>
        </w:tc>
      </w:tr>
      <w:tr w:rsidR="00C978F0" w:rsidRPr="00DA352E" w14:paraId="75A1E18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11E1DDA" w14:textId="77777777" w:rsidR="00C978F0" w:rsidRDefault="008530A1" w:rsidP="003365A5">
            <w:pPr>
              <w:pStyle w:val="Tabletextprimarysource"/>
            </w:pPr>
            <w:r>
              <w:t>TLV-TWA recommended to minimise the potential for eye irritation.</w:t>
            </w:r>
          </w:p>
          <w:p w14:paraId="7B6BD922" w14:textId="77777777" w:rsidR="008530A1" w:rsidRDefault="008530A1" w:rsidP="003365A5">
            <w:pPr>
              <w:pStyle w:val="Tabletextprimarysource"/>
            </w:pPr>
            <w:r>
              <w:t>Summary of data:</w:t>
            </w:r>
          </w:p>
          <w:p w14:paraId="0B8F3BAD" w14:textId="77777777" w:rsidR="008530A1" w:rsidRDefault="008530A1" w:rsidP="003365A5">
            <w:pPr>
              <w:pStyle w:val="Tabletextprimarysource"/>
            </w:pPr>
            <w:r>
              <w:t>Human data:</w:t>
            </w:r>
          </w:p>
          <w:p w14:paraId="10F106C9" w14:textId="3F75DCF1" w:rsidR="008530A1" w:rsidRDefault="008530A1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 eye irritation in workers reported at 17</w:t>
            </w:r>
            <w:r w:rsidR="00EA6111">
              <w:t>–</w:t>
            </w:r>
            <w:r>
              <w:t>500 ppm</w:t>
            </w:r>
          </w:p>
          <w:p w14:paraId="099E0392" w14:textId="77777777" w:rsidR="008530A1" w:rsidRDefault="008530A1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Injury to the liver and kidney reported; liver effects dominate chronic exposure</w:t>
            </w:r>
          </w:p>
          <w:p w14:paraId="0DFBB482" w14:textId="5D4C3B30" w:rsidR="008530A1" w:rsidRDefault="008530A1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CNS depression</w:t>
            </w:r>
            <w:r w:rsidR="00472673">
              <w:t xml:space="preserve"> reported</w:t>
            </w:r>
            <w:r>
              <w:t xml:space="preserve"> at concentrations </w:t>
            </w:r>
            <w:r w:rsidR="006E7952">
              <w:t>irritating</w:t>
            </w:r>
            <w:r>
              <w:t xml:space="preserve"> to eyes and nose</w:t>
            </w:r>
          </w:p>
          <w:p w14:paraId="06DBD0BA" w14:textId="77777777" w:rsidR="004A6E83" w:rsidRDefault="00F74B9B" w:rsidP="000D78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8 workers in moth</w:t>
            </w:r>
            <w:r w:rsidR="00C33F24">
              <w:t>-</w:t>
            </w:r>
            <w:r>
              <w:t xml:space="preserve">proof manufacturing developed </w:t>
            </w:r>
            <w:r w:rsidR="00884D43">
              <w:t xml:space="preserve">various </w:t>
            </w:r>
            <w:r>
              <w:t>neural disorders following 1</w:t>
            </w:r>
            <w:r w:rsidR="000D785D">
              <w:noBreakHyphen/>
              <w:t>7 </w:t>
            </w:r>
            <w:r>
              <w:t>mo exposure (no further information)</w:t>
            </w:r>
            <w:r w:rsidR="000D785D">
              <w:t xml:space="preserve">. </w:t>
            </w:r>
          </w:p>
          <w:p w14:paraId="29D07FF9" w14:textId="43EB89E2" w:rsidR="004A6E83" w:rsidRDefault="00F74B9B" w:rsidP="0010619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58 workers involved with processing of </w:t>
            </w:r>
            <w:r w:rsidRPr="00106196">
              <w:rPr>
                <w:i/>
              </w:rPr>
              <w:t>p</w:t>
            </w:r>
            <w:r>
              <w:t>DCB for 8 mo</w:t>
            </w:r>
            <w:r w:rsidR="00C8537C">
              <w:t>–</w:t>
            </w:r>
            <w:r>
              <w:t>25 yr showed no evidence of organic damage or haematological alterations</w:t>
            </w:r>
            <w:r w:rsidR="00437AF2">
              <w:t>.</w:t>
            </w:r>
          </w:p>
          <w:p w14:paraId="7AB265BD" w14:textId="77777777" w:rsidR="00F74B9B" w:rsidRDefault="00F74B9B" w:rsidP="00F74B9B">
            <w:pPr>
              <w:pStyle w:val="Tabletextprimarysource"/>
            </w:pPr>
            <w:r>
              <w:t>Animal data:</w:t>
            </w:r>
          </w:p>
          <w:p w14:paraId="28F60AFB" w14:textId="77777777" w:rsidR="000771C3" w:rsidRDefault="000771C3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Renal toxicity observed in rats at 150 mg/m</w:t>
            </w:r>
            <w:r w:rsidRPr="000771C3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>
              <w:t>(25 ppm)</w:t>
            </w:r>
          </w:p>
          <w:p w14:paraId="02101AD3" w14:textId="0B5BE292" w:rsidR="00F74B9B" w:rsidRDefault="000771C3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390EA4">
              <w:t>:</w:t>
            </w:r>
            <w:r>
              <w:t xml:space="preserve"> &gt;5,000 mg/kg in </w:t>
            </w:r>
            <w:r w:rsidR="00390EA4">
              <w:t>(</w:t>
            </w:r>
            <w:r>
              <w:t>rabbits</w:t>
            </w:r>
            <w:r w:rsidR="00390EA4">
              <w:t>, dermal)</w:t>
            </w:r>
          </w:p>
          <w:p w14:paraId="3EE1C9C0" w14:textId="4F418AF8" w:rsidR="000771C3" w:rsidRDefault="000771C3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Rabbits exposed 8 h/d, 62 exposures in 83 d at 770</w:t>
            </w:r>
            <w:r w:rsidR="00EA6111">
              <w:t>–</w:t>
            </w:r>
            <w:r>
              <w:t>800 ppm demonstrated tremors, weakness, oedema of the cornea, opacity of the lens and death</w:t>
            </w:r>
          </w:p>
          <w:p w14:paraId="77058DF6" w14:textId="77777777" w:rsidR="00D06972" w:rsidRDefault="00D06972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Kidney and liver tumours reported in a variety of animals from exposure conditions not characteristic of a working environment</w:t>
            </w:r>
            <w:r w:rsidR="00C33F24">
              <w:t>.</w:t>
            </w:r>
          </w:p>
          <w:p w14:paraId="2B240497" w14:textId="77777777" w:rsidR="00437AF2" w:rsidRDefault="00437AF2" w:rsidP="00D06972">
            <w:pPr>
              <w:pStyle w:val="Tabletextprimarysource"/>
            </w:pPr>
          </w:p>
          <w:p w14:paraId="1FD0CFD4" w14:textId="77777777" w:rsidR="00D06972" w:rsidRDefault="00D06972" w:rsidP="00D06972">
            <w:pPr>
              <w:pStyle w:val="Tabletextprimarysource"/>
            </w:pPr>
            <w:r>
              <w:t>No evidence of mutagenicity</w:t>
            </w:r>
            <w:r w:rsidR="00C33F24">
              <w:t>.</w:t>
            </w:r>
          </w:p>
          <w:p w14:paraId="28C1A99F" w14:textId="77777777" w:rsidR="00D06972" w:rsidRDefault="00D06972" w:rsidP="00D06972">
            <w:pPr>
              <w:pStyle w:val="Tabletextprimarysource"/>
            </w:pPr>
            <w:r>
              <w:t>Insufficient evidence to recommend skin o</w:t>
            </w:r>
            <w:r w:rsidR="00390EA4">
              <w:t>r</w:t>
            </w:r>
            <w:r>
              <w:t xml:space="preserve"> SEN notation or a STEL.</w:t>
            </w:r>
          </w:p>
          <w:p w14:paraId="2894F5AE" w14:textId="77777777" w:rsidR="00437AF2" w:rsidRPr="00DA352E" w:rsidRDefault="00437AF2" w:rsidP="00D06972">
            <w:pPr>
              <w:pStyle w:val="Tabletextprimarysource"/>
            </w:pPr>
          </w:p>
        </w:tc>
      </w:tr>
      <w:tr w:rsidR="00C978F0" w:rsidRPr="00DA352E" w14:paraId="2B7BFA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E562FFE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646B0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1646B0">
                  <w:t>Not assigned</w:t>
                </w:r>
              </w:sdtContent>
            </w:sdt>
          </w:p>
        </w:tc>
      </w:tr>
      <w:tr w:rsidR="00C978F0" w:rsidRPr="00DA352E" w14:paraId="57D40E0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4297DD" w14:textId="50878092" w:rsidR="00B33B93" w:rsidRDefault="00B33B93" w:rsidP="00B33B93">
            <w:pPr>
              <w:pStyle w:val="Tabletextprimarysource"/>
            </w:pPr>
            <w:r>
              <w:t>Previous MAK of 50 ppm withdrawn due to carcinogenic effects in animals</w:t>
            </w:r>
            <w:r w:rsidR="006E7952">
              <w:t>.</w:t>
            </w:r>
          </w:p>
          <w:p w14:paraId="6BC8CD94" w14:textId="77777777" w:rsidR="00C978F0" w:rsidRDefault="00B33B93" w:rsidP="00B33B93">
            <w:pPr>
              <w:pStyle w:val="Tabletextprimarysource"/>
            </w:pPr>
            <w:r>
              <w:t>Summary of additional data:</w:t>
            </w:r>
          </w:p>
          <w:p w14:paraId="11838DDF" w14:textId="6D0745C2" w:rsidR="00B33B93" w:rsidRDefault="00B33B93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 a long-term study, mice exposed to </w:t>
            </w:r>
            <w:r>
              <w:rPr>
                <w:rFonts w:cs="Arial"/>
              </w:rPr>
              <w:t>≥</w:t>
            </w:r>
            <w:r>
              <w:t>20 ppm developed liver adenomas, bronchiolar</w:t>
            </w:r>
            <w:r w:rsidR="00754B5E">
              <w:t xml:space="preserve"> and </w:t>
            </w:r>
            <w:r>
              <w:t>alveolar carcinomas and malignant lymphomas, rats developed C cell adenomas in the thyroid gland and leukaemia</w:t>
            </w:r>
          </w:p>
          <w:p w14:paraId="655B2C38" w14:textId="4473281E" w:rsidR="00437AF2" w:rsidRDefault="00C53149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notation assigned based on analogy with o-dichlorobenzene</w:t>
            </w:r>
            <w:r w:rsidR="00C33F24">
              <w:t>.</w:t>
            </w:r>
          </w:p>
          <w:p w14:paraId="6EDAB80F" w14:textId="6D0356DA" w:rsidR="00C53149" w:rsidRPr="00215F4E" w:rsidRDefault="00C53149" w:rsidP="00715CF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263857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D2C43F7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646B0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646B0">
                  <w:t>TWA: 2 ppm (12 mg/m</w:t>
                </w:r>
                <w:r w:rsidR="001646B0" w:rsidRPr="001646B0">
                  <w:rPr>
                    <w:vertAlign w:val="superscript"/>
                  </w:rPr>
                  <w:t>3</w:t>
                </w:r>
                <w:r w:rsidR="001646B0">
                  <w:t>); STEL: 10 ppm (60 mg/m</w:t>
                </w:r>
                <w:r w:rsidR="001646B0" w:rsidRPr="001646B0">
                  <w:rPr>
                    <w:vertAlign w:val="superscript"/>
                  </w:rPr>
                  <w:t>3</w:t>
                </w:r>
                <w:r w:rsidR="001646B0">
                  <w:t>)</w:t>
                </w:r>
              </w:sdtContent>
            </w:sdt>
          </w:p>
        </w:tc>
      </w:tr>
      <w:tr w:rsidR="00C978F0" w:rsidRPr="00DA352E" w14:paraId="418B28DE" w14:textId="77777777" w:rsidTr="00106196">
        <w:trPr>
          <w:gridAfter w:val="1"/>
          <w:wAfter w:w="8" w:type="pct"/>
        </w:trPr>
        <w:tc>
          <w:tcPr>
            <w:tcW w:w="4992" w:type="pct"/>
          </w:tcPr>
          <w:p w14:paraId="5A8F79F2" w14:textId="77777777" w:rsidR="00C978F0" w:rsidRDefault="00557EBA" w:rsidP="003365A5">
            <w:pPr>
              <w:pStyle w:val="Tabletextprimarysource"/>
            </w:pPr>
            <w:r>
              <w:t>Summary of additional data:</w:t>
            </w:r>
          </w:p>
          <w:p w14:paraId="4D462FC0" w14:textId="77777777" w:rsidR="00557EBA" w:rsidRDefault="00557EBA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 of 10 mg/kg (</w:t>
            </w:r>
            <w:r w:rsidR="00215F4E">
              <w:rPr>
                <w:rFonts w:cs="Arial"/>
              </w:rPr>
              <w:t>≡</w:t>
            </w:r>
            <w:r>
              <w:t>11 ppm concentration) oral study in dogs</w:t>
            </w:r>
            <w:r w:rsidR="002C04D9">
              <w:t xml:space="preserve">; </w:t>
            </w:r>
            <w:r w:rsidR="00351A2E">
              <w:t>n</w:t>
            </w:r>
            <w:r w:rsidR="002C04D9">
              <w:t>on-significant increase in thrombocytes, foci of chronic inflammation in the lung</w:t>
            </w:r>
          </w:p>
          <w:p w14:paraId="18A2B5BD" w14:textId="03E8378B" w:rsidR="00557EBA" w:rsidRDefault="00557EBA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Based on LOAEL, 5 ppm is used as starting point for derivation of OEL; allometric scaling factor of 1.4 applied to extrapolate from dogs to humans (3.6 ppm); rounded </w:t>
            </w:r>
            <w:r w:rsidR="00E00C1F">
              <w:t>to obtain a TWA of</w:t>
            </w:r>
            <w:r>
              <w:t xml:space="preserve"> 2 ppm</w:t>
            </w:r>
          </w:p>
          <w:p w14:paraId="3522D719" w14:textId="77777777" w:rsidR="00557EBA" w:rsidRDefault="00557EBA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NOAEC of 20 ppm for effects in nasal epithelium identified long-term inhalation study in rats; basis for STEL</w:t>
            </w:r>
          </w:p>
          <w:p w14:paraId="14A29FD8" w14:textId="43F868DB" w:rsidR="00EE6311" w:rsidRDefault="00EE6311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LD</w:t>
            </w:r>
            <w:r>
              <w:rPr>
                <w:vertAlign w:val="subscript"/>
              </w:rPr>
              <w:t>50</w:t>
            </w:r>
            <w:r w:rsidR="00390EA4">
              <w:t>:</w:t>
            </w:r>
            <w:r>
              <w:t xml:space="preserve"> &gt;2,000 mg/kg</w:t>
            </w:r>
            <w:r w:rsidR="00390EA4">
              <w:t xml:space="preserve"> (rats, dermal)</w:t>
            </w:r>
          </w:p>
          <w:p w14:paraId="3DDAD911" w14:textId="77777777" w:rsidR="00215F4E" w:rsidRDefault="00EE6311" w:rsidP="00715CF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Skin notation recommended based on </w:t>
            </w:r>
            <w:r w:rsidR="00557EBA">
              <w:t>absorptions of up to 318 mg for a 1</w:t>
            </w:r>
            <w:r w:rsidR="00215F4E">
              <w:t xml:space="preserve"> </w:t>
            </w:r>
            <w:r w:rsidR="00557EBA">
              <w:t>h exposure of the hands and</w:t>
            </w:r>
            <w:r>
              <w:t xml:space="preserve"> forearms (2,000 cm</w:t>
            </w:r>
            <w:r w:rsidR="000B1969">
              <w:rPr>
                <w:vertAlign w:val="superscript"/>
              </w:rPr>
              <w:t>²</w:t>
            </w:r>
            <w:r w:rsidR="00557EBA">
              <w:t>)</w:t>
            </w:r>
            <w:r w:rsidR="000B1969">
              <w:t>.</w:t>
            </w:r>
          </w:p>
          <w:p w14:paraId="0FC6327A" w14:textId="77777777" w:rsidR="00557EBA" w:rsidRPr="00215F4E" w:rsidRDefault="00557EBA" w:rsidP="00215F4E"/>
        </w:tc>
      </w:tr>
      <w:tr w:rsidR="00DA352E" w:rsidRPr="00DA352E" w14:paraId="5F77CB9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2ABAF7B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C34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CC349A">
                  <w:t>NA</w:t>
                </w:r>
              </w:sdtContent>
            </w:sdt>
          </w:p>
        </w:tc>
      </w:tr>
      <w:tr w:rsidR="00DA352E" w:rsidRPr="00DA352E" w14:paraId="6E65BC5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C930E7" w14:textId="77777777" w:rsidR="00DA352E" w:rsidRPr="00DA352E" w:rsidRDefault="00CC349A" w:rsidP="003365A5">
            <w:pPr>
              <w:pStyle w:val="Tabletextprimarysource"/>
            </w:pPr>
            <w:r>
              <w:t>No report</w:t>
            </w:r>
            <w:r w:rsidR="00437AF2">
              <w:t>.</w:t>
            </w:r>
          </w:p>
        </w:tc>
      </w:tr>
      <w:tr w:rsidR="00DA352E" w:rsidRPr="00DA352E" w14:paraId="0A6E3F9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F87A0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C34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CC349A">
                  <w:t>NA</w:t>
                </w:r>
              </w:sdtContent>
            </w:sdt>
          </w:p>
        </w:tc>
      </w:tr>
      <w:tr w:rsidR="00DA352E" w:rsidRPr="00DA352E" w14:paraId="3B84E15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289CCDC" w14:textId="77777777" w:rsidR="00DA352E" w:rsidRPr="00DA352E" w:rsidRDefault="00CC349A" w:rsidP="003365A5">
            <w:pPr>
              <w:pStyle w:val="Tabletextprimarysource"/>
            </w:pPr>
            <w:r>
              <w:t>No report</w:t>
            </w:r>
            <w:r w:rsidR="00437AF2">
              <w:t>.</w:t>
            </w:r>
          </w:p>
        </w:tc>
      </w:tr>
    </w:tbl>
    <w:p w14:paraId="73C4F8F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1B2366DB" w14:textId="77777777" w:rsidTr="00EE6311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6690882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1C336D3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91B188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2F884DF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CC124AB" w14:textId="77777777" w:rsidTr="00EE6311">
        <w:trPr>
          <w:cantSplit/>
        </w:trPr>
        <w:tc>
          <w:tcPr>
            <w:tcW w:w="1496" w:type="dxa"/>
          </w:tcPr>
          <w:p w14:paraId="382D918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7351487" w14:textId="77777777" w:rsidR="004966BF" w:rsidRPr="00CE617F" w:rsidRDefault="00C152D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E631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A615E20" w14:textId="77777777" w:rsidR="004966BF" w:rsidRPr="004C23F4" w:rsidRDefault="00EE631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46" w:type="dxa"/>
          </w:tcPr>
          <w:p w14:paraId="6464DEB8" w14:textId="77777777" w:rsidR="004966BF" w:rsidRPr="004C23F4" w:rsidRDefault="00EE6311" w:rsidP="00715CF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spacing w:val="-1"/>
              </w:rPr>
              <w:t>NOAE</w:t>
            </w:r>
            <w:r>
              <w:t>L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b</w:t>
            </w:r>
            <w:r>
              <w:t>y</w:t>
            </w:r>
            <w:r>
              <w:rPr>
                <w:spacing w:val="21"/>
              </w:rPr>
              <w:t xml:space="preserve"> </w:t>
            </w:r>
            <w:r>
              <w:rPr>
                <w:spacing w:val="1"/>
              </w:rPr>
              <w:t>i</w:t>
            </w:r>
            <w:r>
              <w:rPr>
                <w:spacing w:val="-1"/>
              </w:rPr>
              <w:t>nha</w:t>
            </w:r>
            <w:r>
              <w:rPr>
                <w:spacing w:val="1"/>
              </w:rPr>
              <w:t>l</w:t>
            </w:r>
            <w:r>
              <w:rPr>
                <w:spacing w:val="-2"/>
              </w:rPr>
              <w:t>a</w:t>
            </w:r>
            <w:r>
              <w:rPr>
                <w:spacing w:val="1"/>
              </w:rPr>
              <w:t>ti</w:t>
            </w:r>
            <w:r>
              <w:rPr>
                <w:spacing w:val="-3"/>
              </w:rPr>
              <w:t>o</w:t>
            </w:r>
            <w:r>
              <w:t>n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fo</w:t>
            </w:r>
            <w:r>
              <w:t>r</w:t>
            </w:r>
            <w:r>
              <w:rPr>
                <w:spacing w:val="22"/>
              </w:rPr>
              <w:t xml:space="preserve"> </w:t>
            </w:r>
            <w:r>
              <w:rPr>
                <w:spacing w:val="1"/>
              </w:rPr>
              <w:t>t</w:t>
            </w:r>
            <w:r>
              <w:t>he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ra</w:t>
            </w:r>
            <w:r>
              <w:t>t</w:t>
            </w:r>
            <w:r>
              <w:rPr>
                <w:spacing w:val="22"/>
              </w:rPr>
              <w:t xml:space="preserve"> </w:t>
            </w:r>
            <w:r>
              <w:t>(b</w:t>
            </w:r>
            <w:r>
              <w:rPr>
                <w:spacing w:val="-3"/>
              </w:rPr>
              <w:t>o</w:t>
            </w:r>
            <w:r>
              <w:rPr>
                <w:spacing w:val="1"/>
              </w:rPr>
              <w:t>t</w:t>
            </w:r>
            <w:r>
              <w:t>h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se</w:t>
            </w:r>
            <w:r>
              <w:rPr>
                <w:spacing w:val="-3"/>
              </w:rPr>
              <w:t>x</w:t>
            </w:r>
            <w:r>
              <w:t>e</w:t>
            </w:r>
            <w:r>
              <w:rPr>
                <w:spacing w:val="-2"/>
              </w:rPr>
              <w:t>s</w:t>
            </w:r>
            <w:r>
              <w:t>)</w:t>
            </w:r>
            <w:r>
              <w:rPr>
                <w:spacing w:val="22"/>
              </w:rPr>
              <w:t xml:space="preserve"> </w:t>
            </w:r>
            <w:r>
              <w:rPr>
                <w:spacing w:val="-1"/>
              </w:rPr>
              <w:t>wa</w:t>
            </w:r>
            <w:r>
              <w:t>s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7</w:t>
            </w:r>
            <w:r>
              <w:t>5</w:t>
            </w:r>
            <w:r>
              <w:rPr>
                <w:spacing w:val="21"/>
              </w:rPr>
              <w:t xml:space="preserve"> </w:t>
            </w:r>
            <w:r>
              <w:rPr>
                <w:spacing w:val="-1"/>
              </w:rPr>
              <w:t>p</w:t>
            </w:r>
            <w:r>
              <w:rPr>
                <w:spacing w:val="2"/>
              </w:rPr>
              <w:t>p</w:t>
            </w:r>
            <w:r>
              <w:t>m</w:t>
            </w:r>
            <w:r>
              <w:rPr>
                <w:spacing w:val="18"/>
              </w:rPr>
              <w:t xml:space="preserve"> </w:t>
            </w:r>
            <w:r>
              <w:t>(</w:t>
            </w:r>
            <w:r>
              <w:rPr>
                <w:spacing w:val="-1"/>
              </w:rPr>
              <w:t>45</w:t>
            </w:r>
            <w:r>
              <w:t>1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m</w:t>
            </w:r>
            <w:r>
              <w:rPr>
                <w:spacing w:val="-3"/>
              </w:rPr>
              <w:t>g</w:t>
            </w:r>
            <w:r>
              <w:rPr>
                <w:spacing w:val="1"/>
              </w:rPr>
              <w:t>/m</w:t>
            </w:r>
            <w:r>
              <w:rPr>
                <w:spacing w:val="1"/>
                <w:vertAlign w:val="superscript"/>
              </w:rPr>
              <w:t>3</w:t>
            </w:r>
            <w:r>
              <w:rPr>
                <w:spacing w:val="1"/>
              </w:rPr>
              <w:t>) for hepatoxicity</w:t>
            </w:r>
            <w:r w:rsidR="000B1969">
              <w:rPr>
                <w:spacing w:val="1"/>
              </w:rPr>
              <w:t>.</w:t>
            </w:r>
          </w:p>
        </w:tc>
      </w:tr>
      <w:tr w:rsidR="004966BF" w:rsidRPr="004C23F4" w14:paraId="77A37E8F" w14:textId="77777777" w:rsidTr="00EE6311">
        <w:trPr>
          <w:cantSplit/>
        </w:trPr>
        <w:tc>
          <w:tcPr>
            <w:tcW w:w="1496" w:type="dxa"/>
          </w:tcPr>
          <w:p w14:paraId="68A87635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21CBB10A" w14:textId="77777777" w:rsidR="004966BF" w:rsidRPr="00CE617F" w:rsidRDefault="00C152DF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E631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E5381AF" w14:textId="77777777" w:rsidR="004966BF" w:rsidRPr="004C23F4" w:rsidRDefault="00EE631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1994</w:t>
            </w:r>
          </w:p>
        </w:tc>
        <w:tc>
          <w:tcPr>
            <w:tcW w:w="6446" w:type="dxa"/>
          </w:tcPr>
          <w:p w14:paraId="04A2E122" w14:textId="77777777" w:rsidR="004966BF" w:rsidRPr="004C23F4" w:rsidRDefault="00EE6311" w:rsidP="00715CF7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50 ppm in rats (human equivalent 75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 increased liver weight</w:t>
            </w:r>
            <w:r w:rsidR="000B1969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63B306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5F97781D" w14:textId="77777777" w:rsidTr="00EE6311">
        <w:trPr>
          <w:trHeight w:val="454"/>
          <w:tblHeader/>
        </w:trPr>
        <w:tc>
          <w:tcPr>
            <w:tcW w:w="6603" w:type="dxa"/>
            <w:vAlign w:val="center"/>
          </w:tcPr>
          <w:p w14:paraId="37BCD46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22C7BD5" w14:textId="77777777" w:rsidR="002E0D61" w:rsidRDefault="00EE631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1159E9C0" w14:textId="77777777" w:rsidTr="00EE6311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668779A" w14:textId="77777777" w:rsidR="008A36CF" w:rsidRPr="006901A2" w:rsidRDefault="00EE6311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00C143F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1691E0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3FB206C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8B0D4A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2DA18E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5C9C56A" w14:textId="77777777" w:rsidTr="00812887">
        <w:trPr>
          <w:cantSplit/>
        </w:trPr>
        <w:tc>
          <w:tcPr>
            <w:tcW w:w="3227" w:type="dxa"/>
          </w:tcPr>
          <w:p w14:paraId="0417D7C2" w14:textId="77777777" w:rsidR="004079B4" w:rsidRPr="00390EA4" w:rsidRDefault="00084513" w:rsidP="00F4402E">
            <w:pPr>
              <w:pStyle w:val="Tablefont"/>
            </w:pPr>
            <w:r w:rsidRPr="00390EA4">
              <w:t>SWA</w:t>
            </w:r>
          </w:p>
        </w:tc>
        <w:tc>
          <w:tcPr>
            <w:tcW w:w="6015" w:type="dxa"/>
          </w:tcPr>
          <w:p w14:paraId="21BCDF28" w14:textId="77777777" w:rsidR="00687890" w:rsidRPr="00215F4E" w:rsidRDefault="0096400F" w:rsidP="00DD2F9B">
            <w:pPr>
              <w:pStyle w:val="Tablefont"/>
            </w:pPr>
            <w:r w:rsidRPr="00215F4E">
              <w:t>NA</w:t>
            </w:r>
          </w:p>
        </w:tc>
      </w:tr>
      <w:tr w:rsidR="007925F0" w:rsidRPr="004C23F4" w14:paraId="0375F10D" w14:textId="77777777" w:rsidTr="00812887">
        <w:trPr>
          <w:cantSplit/>
        </w:trPr>
        <w:tc>
          <w:tcPr>
            <w:tcW w:w="3227" w:type="dxa"/>
          </w:tcPr>
          <w:p w14:paraId="08A76314" w14:textId="77777777" w:rsidR="004079B4" w:rsidRPr="00390EA4" w:rsidRDefault="007925F0" w:rsidP="00F4402E">
            <w:pPr>
              <w:pStyle w:val="Tablefont"/>
            </w:pPr>
            <w:r w:rsidRPr="00390EA4">
              <w:t>HCIS</w:t>
            </w:r>
          </w:p>
        </w:tc>
        <w:tc>
          <w:tcPr>
            <w:tcW w:w="6015" w:type="dxa"/>
          </w:tcPr>
          <w:p w14:paraId="1890BB81" w14:textId="77777777" w:rsidR="007925F0" w:rsidRPr="009A1886" w:rsidRDefault="0096400F" w:rsidP="00DD2F9B">
            <w:pPr>
              <w:pStyle w:val="Tablefont"/>
              <w:rPr>
                <w:rFonts w:cs="Arial"/>
              </w:rPr>
            </w:pPr>
            <w:r w:rsidRPr="00215F4E">
              <w:rPr>
                <w:rFonts w:cs="Arial"/>
                <w:szCs w:val="21"/>
              </w:rPr>
              <w:t>Carcinogenicity – category 2</w:t>
            </w:r>
          </w:p>
        </w:tc>
      </w:tr>
      <w:tr w:rsidR="00AF483F" w:rsidRPr="004C23F4" w14:paraId="6C61B744" w14:textId="77777777" w:rsidTr="00812887">
        <w:trPr>
          <w:cantSplit/>
        </w:trPr>
        <w:tc>
          <w:tcPr>
            <w:tcW w:w="3227" w:type="dxa"/>
          </w:tcPr>
          <w:p w14:paraId="5EAD212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32DD3C5E" w14:textId="77777777" w:rsidR="00AF483F" w:rsidRPr="00DD2F9B" w:rsidRDefault="00B74469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CB5B2B6" w14:textId="77777777" w:rsidTr="00812887">
        <w:trPr>
          <w:cantSplit/>
        </w:trPr>
        <w:tc>
          <w:tcPr>
            <w:tcW w:w="3227" w:type="dxa"/>
          </w:tcPr>
          <w:p w14:paraId="7BC092B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5C9E07C" w14:textId="77777777" w:rsidR="00687890" w:rsidRPr="00DD2F9B" w:rsidRDefault="001D510F" w:rsidP="00DD2F9B">
            <w:pPr>
              <w:pStyle w:val="Tablefont"/>
            </w:pPr>
            <w:r>
              <w:t>Carcinogenicity – category 2</w:t>
            </w:r>
          </w:p>
        </w:tc>
      </w:tr>
      <w:tr w:rsidR="00E41A26" w:rsidRPr="004C23F4" w14:paraId="305ED1DF" w14:textId="77777777" w:rsidTr="00812887">
        <w:trPr>
          <w:cantSplit/>
        </w:trPr>
        <w:tc>
          <w:tcPr>
            <w:tcW w:w="3227" w:type="dxa"/>
          </w:tcPr>
          <w:p w14:paraId="7195DCC3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D430D38" w14:textId="77777777" w:rsidR="00E41A26" w:rsidRPr="00DD2F9B" w:rsidRDefault="000B2E55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E6DC289" w14:textId="77777777" w:rsidTr="00812887">
        <w:trPr>
          <w:cantSplit/>
        </w:trPr>
        <w:tc>
          <w:tcPr>
            <w:tcW w:w="3227" w:type="dxa"/>
          </w:tcPr>
          <w:p w14:paraId="40A61827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EF9563A" w14:textId="77777777" w:rsidR="002E0D61" w:rsidRPr="00DD2F9B" w:rsidRDefault="00AD40F8" w:rsidP="00AD40F8">
            <w:r>
              <w:t>Carcinogenicity – A3</w:t>
            </w:r>
          </w:p>
        </w:tc>
      </w:tr>
      <w:tr w:rsidR="002E0D61" w:rsidRPr="004C23F4" w14:paraId="7EFF6EC8" w14:textId="77777777" w:rsidTr="00812887">
        <w:trPr>
          <w:cantSplit/>
        </w:trPr>
        <w:tc>
          <w:tcPr>
            <w:tcW w:w="3227" w:type="dxa"/>
          </w:tcPr>
          <w:p w14:paraId="53CD0F4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CD1282E" w14:textId="77777777" w:rsidR="002E0D61" w:rsidRPr="00DD2F9B" w:rsidRDefault="00E1752B" w:rsidP="00DD2F9B">
            <w:pPr>
              <w:pStyle w:val="Tablefont"/>
            </w:pPr>
            <w:r>
              <w:t>Carcinogenicity – 2</w:t>
            </w:r>
            <w:r w:rsidR="001E3524">
              <w:t>, H</w:t>
            </w:r>
            <w:r>
              <w:t xml:space="preserve"> (skin)</w:t>
            </w:r>
          </w:p>
        </w:tc>
      </w:tr>
      <w:tr w:rsidR="002E0D61" w:rsidRPr="004C23F4" w14:paraId="6D95E11C" w14:textId="77777777" w:rsidTr="00812887">
        <w:trPr>
          <w:cantSplit/>
        </w:trPr>
        <w:tc>
          <w:tcPr>
            <w:tcW w:w="3227" w:type="dxa"/>
          </w:tcPr>
          <w:p w14:paraId="2849FB7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94029F1" w14:textId="77777777" w:rsidR="002E0D61" w:rsidRPr="00DD2F9B" w:rsidRDefault="00E1752B" w:rsidP="00BC5DA2">
            <w:pPr>
              <w:pStyle w:val="Tablefont"/>
            </w:pPr>
            <w:r>
              <w:t>Carcinogenicity – D</w:t>
            </w:r>
            <w:r w:rsidR="00BC5DA2">
              <w:t>, Skin</w:t>
            </w:r>
          </w:p>
        </w:tc>
      </w:tr>
      <w:tr w:rsidR="002E0D61" w:rsidRPr="004C23F4" w14:paraId="347F4633" w14:textId="77777777" w:rsidTr="00812887">
        <w:trPr>
          <w:cantSplit/>
        </w:trPr>
        <w:tc>
          <w:tcPr>
            <w:tcW w:w="3227" w:type="dxa"/>
          </w:tcPr>
          <w:p w14:paraId="29E9D1D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A247A94" w14:textId="77777777" w:rsidR="002E0D61" w:rsidRPr="00DD2F9B" w:rsidRDefault="006D01E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336EF1D" w14:textId="77777777" w:rsidTr="00812887">
        <w:trPr>
          <w:cantSplit/>
        </w:trPr>
        <w:tc>
          <w:tcPr>
            <w:tcW w:w="3227" w:type="dxa"/>
          </w:tcPr>
          <w:p w14:paraId="11B4E27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36134E4" w14:textId="77777777" w:rsidR="00386093" w:rsidRPr="00DD2F9B" w:rsidRDefault="00E1752B" w:rsidP="00DD2F9B">
            <w:pPr>
              <w:pStyle w:val="Tablefont"/>
            </w:pPr>
            <w:r>
              <w:t>Carcinogenicity – Group 2B</w:t>
            </w:r>
          </w:p>
        </w:tc>
      </w:tr>
      <w:tr w:rsidR="00386093" w:rsidRPr="004C23F4" w14:paraId="50995061" w14:textId="77777777" w:rsidTr="00812887">
        <w:trPr>
          <w:cantSplit/>
        </w:trPr>
        <w:tc>
          <w:tcPr>
            <w:tcW w:w="3227" w:type="dxa"/>
          </w:tcPr>
          <w:p w14:paraId="0D7FEEAD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FF40CBB" w14:textId="77777777" w:rsidR="00386093" w:rsidRPr="00DD2F9B" w:rsidRDefault="00B7446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4AD693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BA92903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59AC03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3971203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D04109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60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1747"/>
              <w:gridCol w:w="1747"/>
            </w:tblGrid>
            <w:tr w:rsidR="00EE6311" w:rsidRPr="00EE6311" w14:paraId="4AA9F6C3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CD4152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4FAEDF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F470CF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98A032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686B1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E6311" w:rsidRPr="00EE6311" w14:paraId="2CA1C9C6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6C7519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D52D40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35E31D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56BAD6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4A5B6A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E6311" w:rsidRPr="00EE6311" w14:paraId="756170B1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C689B8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9E3B0D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4C2815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AA769D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95155D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E6311" w:rsidRPr="00EE6311" w14:paraId="02D6E989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2D2353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B0E5B7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699106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D4A40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466680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E6311" w:rsidRPr="00EE6311" w14:paraId="5399EBC5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C9E69E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A0F792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46610A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059264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CDC8B7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E6311" w:rsidRPr="00EE6311" w14:paraId="37566901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F6D5DB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27724F9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FD24C50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2.00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6431A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7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08EC19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EE6311" w:rsidRPr="00EE6311" w14:paraId="74BFA5A7" w14:textId="77777777" w:rsidTr="00EE631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0710D3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1D30BD" w14:textId="77777777" w:rsidR="00EE6311" w:rsidRPr="00EE6311" w:rsidRDefault="00EE6311" w:rsidP="00EE6311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3A471" w14:textId="77777777" w:rsidR="00EE6311" w:rsidRPr="00EE6311" w:rsidRDefault="00EE6311" w:rsidP="00EE6311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2</w:t>
                  </w:r>
                </w:p>
              </w:tc>
              <w:tc>
                <w:tcPr>
                  <w:tcW w:w="349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285E8A" w14:textId="77777777" w:rsidR="00EE6311" w:rsidRPr="00EE6311" w:rsidRDefault="00EE6311" w:rsidP="00EE6311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EE6311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insufficient data to assign a skin notation</w:t>
                  </w:r>
                </w:p>
              </w:tc>
            </w:tr>
          </w:tbl>
          <w:p w14:paraId="7742E97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FFD42E6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4A35EBB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1FC6DC9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3C0C9827" w14:textId="77777777" w:rsidR="00EB3D1B" w:rsidRDefault="00B7446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11A13D6D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713281E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1BE45E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B8D924E" w14:textId="77777777" w:rsidR="001B79E5" w:rsidRDefault="008641B6" w:rsidP="001B79E5">
                <w:pPr>
                  <w:pStyle w:val="Tablefont"/>
                </w:pPr>
                <w:r>
                  <w:t>147.01</w:t>
                </w:r>
              </w:p>
            </w:tc>
          </w:sdtContent>
        </w:sdt>
      </w:tr>
      <w:tr w:rsidR="00A31D99" w:rsidRPr="004C23F4" w14:paraId="284D96B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9ADF39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1663008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70399B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39CF02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6B709E5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7614662" w14:textId="77777777" w:rsidTr="00EA6243">
        <w:trPr>
          <w:cantSplit/>
        </w:trPr>
        <w:tc>
          <w:tcPr>
            <w:tcW w:w="4077" w:type="dxa"/>
            <w:vAlign w:val="center"/>
          </w:tcPr>
          <w:p w14:paraId="102BECC0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026463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5F6F8FB" w14:textId="77777777" w:rsidTr="00EA6243">
        <w:trPr>
          <w:cantSplit/>
        </w:trPr>
        <w:tc>
          <w:tcPr>
            <w:tcW w:w="4077" w:type="dxa"/>
            <w:vAlign w:val="center"/>
          </w:tcPr>
          <w:p w14:paraId="49D60E9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3FAC226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6074D8F" w14:textId="77777777" w:rsidTr="00EA6243">
        <w:trPr>
          <w:cantSplit/>
        </w:trPr>
        <w:tc>
          <w:tcPr>
            <w:tcW w:w="4077" w:type="dxa"/>
            <w:vAlign w:val="center"/>
          </w:tcPr>
          <w:p w14:paraId="5EBA927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691E4E7" w14:textId="77777777" w:rsidR="00E06F40" w:rsidRPr="00A006A0" w:rsidRDefault="00C152DF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1646B0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137200C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41866F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AD52F9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F8ECB41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562787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731D55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DD311E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DB4A49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61AADCF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88ADB8E" w14:textId="77777777" w:rsidR="00F4758E" w:rsidRDefault="00F4758E" w:rsidP="00F4758E">
      <w:r w:rsidRPr="002022B6">
        <w:t>Deutsche Forschungsgemeinschaft (DFG)</w:t>
      </w:r>
      <w:r>
        <w:t xml:space="preserve"> (</w:t>
      </w:r>
      <w:r w:rsidR="00876C63">
        <w:t>2003</w:t>
      </w:r>
      <w:r>
        <w:t xml:space="preserve">) </w:t>
      </w:r>
      <w:r w:rsidR="00876C63" w:rsidRPr="00173746">
        <w:t>1,4-Dichlorobenzene</w:t>
      </w:r>
      <w:r>
        <w:t xml:space="preserve"> – MAK value documentation.</w:t>
      </w:r>
    </w:p>
    <w:p w14:paraId="44747EE6" w14:textId="77777777" w:rsidR="00F761CE" w:rsidRPr="00F761CE" w:rsidRDefault="00F4758E" w:rsidP="00F4758E">
      <w:r w:rsidRPr="002022B6">
        <w:t>EU Scientific Committee on Occupational Exposure Limits (SCOEL)</w:t>
      </w:r>
      <w:r>
        <w:t xml:space="preserve"> (</w:t>
      </w:r>
      <w:r w:rsidR="00CF0211">
        <w:t>2014</w:t>
      </w:r>
      <w:r>
        <w:t xml:space="preserve">) Recommendation from the Scientific Committee on Occupational Exposure Limits for </w:t>
      </w:r>
      <w:r w:rsidR="00CF0211" w:rsidRPr="00173746">
        <w:t>1,4-Dichlorobenzene</w:t>
      </w:r>
      <w:r w:rsidR="00CF0211">
        <w:t xml:space="preserve">. </w:t>
      </w:r>
      <w:r>
        <w:t>SCOEL/</w:t>
      </w:r>
      <w:r w:rsidR="00CF0211">
        <w:t>SUM/65</w:t>
      </w:r>
      <w:r>
        <w:t>.</w:t>
      </w:r>
    </w:p>
    <w:p w14:paraId="443523FB" w14:textId="77777777" w:rsidR="00173746" w:rsidRDefault="00173746" w:rsidP="00173746">
      <w:r w:rsidRPr="002022B6">
        <w:t>International Agency for Research on Cancer</w:t>
      </w:r>
      <w:r>
        <w:t xml:space="preserve"> (IARC) (1999) Volume 73, </w:t>
      </w:r>
      <w:r>
        <w:rPr>
          <w:rFonts w:cs="Arial"/>
          <w:lang w:val="en"/>
        </w:rPr>
        <w:t>Some chemicals that cause tumours of the kidney or urinary bladder in rodents and some other substances</w:t>
      </w:r>
      <w:r>
        <w:t>. IARC Monographs on the evaluation of the carcinogenic risk to humans.</w:t>
      </w:r>
    </w:p>
    <w:p w14:paraId="45B239A3" w14:textId="77777777" w:rsidR="00215F4E" w:rsidRDefault="00215F4E" w:rsidP="00173746">
      <w:r w:rsidRPr="00DB0A36">
        <w:lastRenderedPageBreak/>
        <w:t xml:space="preserve">National Industrial Chemicals Notification and Assessment Scheme (NICNAS) (2016) </w:t>
      </w:r>
      <w:r w:rsidR="00C32D8F" w:rsidRPr="00C32D8F">
        <w:t>Benzene, 1,4-dichloro-</w:t>
      </w:r>
      <w:r w:rsidRPr="00DB0A36">
        <w:t>:</w:t>
      </w:r>
      <w:r>
        <w:t xml:space="preserve"> </w:t>
      </w:r>
      <w:r w:rsidR="00C32D8F" w:rsidRPr="00C32D8F">
        <w:t>Priority Existing Chemical Assessment Report No. 13</w:t>
      </w:r>
      <w:r w:rsidRPr="00DB0A36">
        <w:t>.</w:t>
      </w:r>
    </w:p>
    <w:p w14:paraId="6159F9CE" w14:textId="77777777" w:rsidR="000B1969" w:rsidRDefault="000B1969" w:rsidP="000B1969">
      <w:r w:rsidRPr="00C3799E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53D13AA3" w14:textId="77777777" w:rsidR="00215F4E" w:rsidRPr="00C3799E" w:rsidRDefault="00215F4E" w:rsidP="000B1969">
      <w:r>
        <w:t>US Environmental Protection Authority (US EPA) (</w:t>
      </w:r>
      <w:r w:rsidR="00C32D8F">
        <w:t>1994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C32D8F" w:rsidRPr="00C32D8F">
        <w:t>1,4-Dichlorobenzene</w:t>
      </w:r>
      <w:r>
        <w:t>.</w:t>
      </w:r>
    </w:p>
    <w:p w14:paraId="1CC36126" w14:textId="77777777" w:rsidR="00C86BD5" w:rsidRDefault="00C86BD5" w:rsidP="00C86BD5">
      <w:pPr>
        <w:rPr>
          <w:b/>
        </w:rPr>
      </w:pPr>
      <w:r w:rsidRPr="00D86E03">
        <w:t>US National Institute for Occupational Safety and Health (</w:t>
      </w:r>
      <w:r w:rsidRPr="00215F4E">
        <w:t>NIOSH) (</w:t>
      </w:r>
      <w:sdt>
        <w:sdtPr>
          <w:id w:val="-1194999823"/>
          <w:placeholder>
            <w:docPart w:val="C2C46FE31DB54AC6B1EBCF4D4B8AD889"/>
          </w:placeholder>
          <w:temporary/>
          <w:showingPlcHdr/>
        </w:sdtPr>
        <w:sdtEndPr/>
        <w:sdtContent>
          <w:r w:rsidRPr="00215F4E">
            <w:t>1994</w:t>
          </w:r>
        </w:sdtContent>
      </w:sdt>
      <w:r w:rsidRPr="00215F4E">
        <w:t xml:space="preserve">) Immediately </w:t>
      </w:r>
      <w:r>
        <w:t>dangerous to life or health concentrations – p-Dichlorobenzene.</w:t>
      </w:r>
    </w:p>
    <w:p w14:paraId="0E72B1CB" w14:textId="77777777" w:rsidR="00C86BD5" w:rsidRDefault="00C86BD5" w:rsidP="00173746">
      <w:pPr>
        <w:rPr>
          <w:b/>
        </w:rPr>
      </w:pPr>
    </w:p>
    <w:p w14:paraId="611B7B0E" w14:textId="77777777" w:rsidR="00F4758E" w:rsidRDefault="00F4758E" w:rsidP="00F4758E">
      <w:pPr>
        <w:rPr>
          <w:b/>
        </w:rPr>
      </w:pPr>
    </w:p>
    <w:p w14:paraId="764CBEC5" w14:textId="77777777" w:rsidR="00F4758E" w:rsidRPr="00351FE0" w:rsidRDefault="00F4758E" w:rsidP="00084859"/>
    <w:sectPr w:rsidR="00F4758E" w:rsidRPr="00351FE0" w:rsidSect="00215F4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610B9" w14:textId="77777777" w:rsidR="00761711" w:rsidRDefault="00761711" w:rsidP="00F43AD5">
      <w:pPr>
        <w:spacing w:after="0" w:line="240" w:lineRule="auto"/>
      </w:pPr>
      <w:r>
        <w:separator/>
      </w:r>
    </w:p>
  </w:endnote>
  <w:endnote w:type="continuationSeparator" w:id="0">
    <w:p w14:paraId="5EC50F65" w14:textId="77777777" w:rsidR="00761711" w:rsidRDefault="0076171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199F" w14:textId="77777777" w:rsidR="00924430" w:rsidRDefault="009244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845BC" w14:textId="77777777" w:rsidR="00215F4E" w:rsidRDefault="00215F4E" w:rsidP="00215F4E">
    <w:pPr>
      <w:pStyle w:val="Footer"/>
    </w:pPr>
    <w:r>
      <w:t>p-Dichlorobenzene (106-46-7)</w:t>
    </w:r>
  </w:p>
  <w:p w14:paraId="536805C1" w14:textId="77777777" w:rsidR="00215F4E" w:rsidRDefault="00215F4E" w:rsidP="00215F4E">
    <w:pPr>
      <w:pStyle w:val="Footer"/>
    </w:pPr>
    <w:r>
      <w:t>Safe Work Australia — 2019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F47EA" w14:textId="77777777" w:rsidR="00215F4E" w:rsidRDefault="00215F4E" w:rsidP="00215F4E">
    <w:pPr>
      <w:pStyle w:val="Header"/>
      <w:jc w:val="center"/>
    </w:pPr>
  </w:p>
  <w:p w14:paraId="78B6B864" w14:textId="77777777" w:rsidR="00215F4E" w:rsidRDefault="00215F4E" w:rsidP="00215F4E">
    <w:pPr>
      <w:pStyle w:val="Footer"/>
      <w:rPr>
        <w:sz w:val="18"/>
        <w:szCs w:val="18"/>
      </w:rPr>
    </w:pPr>
    <w:r>
      <w:rPr>
        <w:b/>
        <w:sz w:val="18"/>
        <w:szCs w:val="18"/>
      </w:rPr>
      <w:t>p-Dichlorobenzene (106-46-7)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14CCD31C" w14:textId="77777777" w:rsidR="00215F4E" w:rsidRDefault="00215F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FA0DF" w14:textId="77777777" w:rsidR="00761711" w:rsidRDefault="00761711" w:rsidP="00F43AD5">
      <w:pPr>
        <w:spacing w:after="0" w:line="240" w:lineRule="auto"/>
      </w:pPr>
      <w:r>
        <w:separator/>
      </w:r>
    </w:p>
  </w:footnote>
  <w:footnote w:type="continuationSeparator" w:id="0">
    <w:p w14:paraId="013E45E5" w14:textId="77777777" w:rsidR="00761711" w:rsidRDefault="0076171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95013" w14:textId="0C3728EA" w:rsidR="00D2073F" w:rsidRDefault="00D207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3A36C" w14:textId="3B29552D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31005" w14:textId="6D450755" w:rsidR="00215F4E" w:rsidRDefault="00215F4E" w:rsidP="00215F4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1A5AE68" wp14:editId="1C208DCC">
          <wp:extent cx="2938272" cy="594360"/>
          <wp:effectExtent l="0" t="0" r="0" b="0"/>
          <wp:docPr id="3" name="Picture 3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A5207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2226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07D52"/>
    <w:rsid w:val="00013A22"/>
    <w:rsid w:val="00013A8B"/>
    <w:rsid w:val="00014C3F"/>
    <w:rsid w:val="00017C82"/>
    <w:rsid w:val="00022DF2"/>
    <w:rsid w:val="00032B88"/>
    <w:rsid w:val="00037DD0"/>
    <w:rsid w:val="00046DF5"/>
    <w:rsid w:val="00052060"/>
    <w:rsid w:val="0005574A"/>
    <w:rsid w:val="00055FE1"/>
    <w:rsid w:val="00056EC2"/>
    <w:rsid w:val="00060B48"/>
    <w:rsid w:val="00067F32"/>
    <w:rsid w:val="00071807"/>
    <w:rsid w:val="000771C3"/>
    <w:rsid w:val="000803E1"/>
    <w:rsid w:val="00084513"/>
    <w:rsid w:val="00084859"/>
    <w:rsid w:val="000925F6"/>
    <w:rsid w:val="00092D94"/>
    <w:rsid w:val="0009379C"/>
    <w:rsid w:val="000A3050"/>
    <w:rsid w:val="000B0868"/>
    <w:rsid w:val="000B1969"/>
    <w:rsid w:val="000B2E55"/>
    <w:rsid w:val="000B3E12"/>
    <w:rsid w:val="000B3E78"/>
    <w:rsid w:val="000B7B48"/>
    <w:rsid w:val="000C096D"/>
    <w:rsid w:val="000C139A"/>
    <w:rsid w:val="000C2053"/>
    <w:rsid w:val="000C248C"/>
    <w:rsid w:val="000D291C"/>
    <w:rsid w:val="000D533E"/>
    <w:rsid w:val="000D6750"/>
    <w:rsid w:val="000D785D"/>
    <w:rsid w:val="000E5A54"/>
    <w:rsid w:val="000E63D3"/>
    <w:rsid w:val="000E67CF"/>
    <w:rsid w:val="000F1512"/>
    <w:rsid w:val="0010461E"/>
    <w:rsid w:val="00106196"/>
    <w:rsid w:val="00106FAA"/>
    <w:rsid w:val="00113443"/>
    <w:rsid w:val="001269A7"/>
    <w:rsid w:val="00131092"/>
    <w:rsid w:val="00140E6A"/>
    <w:rsid w:val="00146545"/>
    <w:rsid w:val="00146B75"/>
    <w:rsid w:val="00150CB1"/>
    <w:rsid w:val="0015266D"/>
    <w:rsid w:val="0015288A"/>
    <w:rsid w:val="00160F47"/>
    <w:rsid w:val="001646B0"/>
    <w:rsid w:val="00167B31"/>
    <w:rsid w:val="00173746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10F"/>
    <w:rsid w:val="001D56F0"/>
    <w:rsid w:val="001D663B"/>
    <w:rsid w:val="001D7B41"/>
    <w:rsid w:val="001E3524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714"/>
    <w:rsid w:val="00215F4E"/>
    <w:rsid w:val="00220D63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B1A2C"/>
    <w:rsid w:val="002B63E8"/>
    <w:rsid w:val="002C04D9"/>
    <w:rsid w:val="002C34F2"/>
    <w:rsid w:val="002C58FF"/>
    <w:rsid w:val="002C7AFE"/>
    <w:rsid w:val="002D05D2"/>
    <w:rsid w:val="002D3216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A2E"/>
    <w:rsid w:val="00351FE0"/>
    <w:rsid w:val="00352615"/>
    <w:rsid w:val="0035412B"/>
    <w:rsid w:val="003567A8"/>
    <w:rsid w:val="003571CB"/>
    <w:rsid w:val="003622D6"/>
    <w:rsid w:val="00362895"/>
    <w:rsid w:val="00367541"/>
    <w:rsid w:val="00370DBF"/>
    <w:rsid w:val="00386093"/>
    <w:rsid w:val="003904A4"/>
    <w:rsid w:val="00390EA4"/>
    <w:rsid w:val="00391841"/>
    <w:rsid w:val="00391B6D"/>
    <w:rsid w:val="00394922"/>
    <w:rsid w:val="003A0E32"/>
    <w:rsid w:val="003A2B94"/>
    <w:rsid w:val="003A4F07"/>
    <w:rsid w:val="003B3089"/>
    <w:rsid w:val="003B387D"/>
    <w:rsid w:val="003C0D58"/>
    <w:rsid w:val="003D4FA3"/>
    <w:rsid w:val="003D67BD"/>
    <w:rsid w:val="003E0807"/>
    <w:rsid w:val="003E51FB"/>
    <w:rsid w:val="003E6B39"/>
    <w:rsid w:val="003F07E1"/>
    <w:rsid w:val="003F5C17"/>
    <w:rsid w:val="004030BC"/>
    <w:rsid w:val="00403F7D"/>
    <w:rsid w:val="00406785"/>
    <w:rsid w:val="004079B4"/>
    <w:rsid w:val="00417A56"/>
    <w:rsid w:val="00420957"/>
    <w:rsid w:val="00422A10"/>
    <w:rsid w:val="00430179"/>
    <w:rsid w:val="00437AF2"/>
    <w:rsid w:val="004414B5"/>
    <w:rsid w:val="00444482"/>
    <w:rsid w:val="00444B42"/>
    <w:rsid w:val="00445E44"/>
    <w:rsid w:val="004509E2"/>
    <w:rsid w:val="004515EE"/>
    <w:rsid w:val="004529F0"/>
    <w:rsid w:val="004560AA"/>
    <w:rsid w:val="00460A03"/>
    <w:rsid w:val="00461525"/>
    <w:rsid w:val="00472673"/>
    <w:rsid w:val="00472A11"/>
    <w:rsid w:val="00472AAD"/>
    <w:rsid w:val="00474E33"/>
    <w:rsid w:val="00476803"/>
    <w:rsid w:val="00477195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6E83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4690"/>
    <w:rsid w:val="005142C4"/>
    <w:rsid w:val="0051509C"/>
    <w:rsid w:val="005272E2"/>
    <w:rsid w:val="0053108F"/>
    <w:rsid w:val="00532B56"/>
    <w:rsid w:val="00534B10"/>
    <w:rsid w:val="005446A2"/>
    <w:rsid w:val="00544D2F"/>
    <w:rsid w:val="00551075"/>
    <w:rsid w:val="00551BD8"/>
    <w:rsid w:val="00557EBA"/>
    <w:rsid w:val="00581055"/>
    <w:rsid w:val="00591E38"/>
    <w:rsid w:val="005A19C5"/>
    <w:rsid w:val="005A3034"/>
    <w:rsid w:val="005A462D"/>
    <w:rsid w:val="005B253B"/>
    <w:rsid w:val="005B771D"/>
    <w:rsid w:val="005C0479"/>
    <w:rsid w:val="005C5D16"/>
    <w:rsid w:val="005D3193"/>
    <w:rsid w:val="005D4A6E"/>
    <w:rsid w:val="005E6979"/>
    <w:rsid w:val="005E75CB"/>
    <w:rsid w:val="005F1824"/>
    <w:rsid w:val="006013C1"/>
    <w:rsid w:val="0060669E"/>
    <w:rsid w:val="00610F2E"/>
    <w:rsid w:val="00611399"/>
    <w:rsid w:val="00613D4E"/>
    <w:rsid w:val="006149C2"/>
    <w:rsid w:val="006179DC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01EB"/>
    <w:rsid w:val="006D79EA"/>
    <w:rsid w:val="006E5D05"/>
    <w:rsid w:val="006E7952"/>
    <w:rsid w:val="006F1390"/>
    <w:rsid w:val="006F5C01"/>
    <w:rsid w:val="006F7ED8"/>
    <w:rsid w:val="00701053"/>
    <w:rsid w:val="00701507"/>
    <w:rsid w:val="00704B7C"/>
    <w:rsid w:val="0071091B"/>
    <w:rsid w:val="00714021"/>
    <w:rsid w:val="00715CF7"/>
    <w:rsid w:val="00716A0F"/>
    <w:rsid w:val="00717D45"/>
    <w:rsid w:val="007208F7"/>
    <w:rsid w:val="007218AF"/>
    <w:rsid w:val="007365D1"/>
    <w:rsid w:val="00740E0E"/>
    <w:rsid w:val="00750212"/>
    <w:rsid w:val="00754779"/>
    <w:rsid w:val="00754B5E"/>
    <w:rsid w:val="0075716D"/>
    <w:rsid w:val="00761711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037"/>
    <w:rsid w:val="007B1B42"/>
    <w:rsid w:val="007C30EB"/>
    <w:rsid w:val="007C4DB2"/>
    <w:rsid w:val="007D02DD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5BBF"/>
    <w:rsid w:val="00826F21"/>
    <w:rsid w:val="00830AC6"/>
    <w:rsid w:val="00834CC8"/>
    <w:rsid w:val="00835E00"/>
    <w:rsid w:val="00837113"/>
    <w:rsid w:val="008414E4"/>
    <w:rsid w:val="00843E21"/>
    <w:rsid w:val="0084508E"/>
    <w:rsid w:val="008530A1"/>
    <w:rsid w:val="00857A8A"/>
    <w:rsid w:val="008630EE"/>
    <w:rsid w:val="008641B6"/>
    <w:rsid w:val="00864D13"/>
    <w:rsid w:val="008664AF"/>
    <w:rsid w:val="00871CD5"/>
    <w:rsid w:val="008745A2"/>
    <w:rsid w:val="008768A8"/>
    <w:rsid w:val="00876C63"/>
    <w:rsid w:val="00882DFD"/>
    <w:rsid w:val="00884D43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4430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1717"/>
    <w:rsid w:val="009621B6"/>
    <w:rsid w:val="0096400F"/>
    <w:rsid w:val="00964DF4"/>
    <w:rsid w:val="009713FE"/>
    <w:rsid w:val="00974B14"/>
    <w:rsid w:val="00974F2D"/>
    <w:rsid w:val="009766C7"/>
    <w:rsid w:val="00977524"/>
    <w:rsid w:val="00977E88"/>
    <w:rsid w:val="009833CA"/>
    <w:rsid w:val="00984920"/>
    <w:rsid w:val="009858AD"/>
    <w:rsid w:val="0099303A"/>
    <w:rsid w:val="00995902"/>
    <w:rsid w:val="009971C2"/>
    <w:rsid w:val="009A1254"/>
    <w:rsid w:val="009A1886"/>
    <w:rsid w:val="009B2FF2"/>
    <w:rsid w:val="009B3394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74E7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0C54"/>
    <w:rsid w:val="00A213B3"/>
    <w:rsid w:val="00A27E2D"/>
    <w:rsid w:val="00A31D99"/>
    <w:rsid w:val="00A357BA"/>
    <w:rsid w:val="00A35ADC"/>
    <w:rsid w:val="00A402A3"/>
    <w:rsid w:val="00A53681"/>
    <w:rsid w:val="00A633D4"/>
    <w:rsid w:val="00A6461A"/>
    <w:rsid w:val="00A77E21"/>
    <w:rsid w:val="00A84504"/>
    <w:rsid w:val="00A8672F"/>
    <w:rsid w:val="00A90A91"/>
    <w:rsid w:val="00A93057"/>
    <w:rsid w:val="00A968B0"/>
    <w:rsid w:val="00AB1396"/>
    <w:rsid w:val="00AB2672"/>
    <w:rsid w:val="00AB2817"/>
    <w:rsid w:val="00AB43C4"/>
    <w:rsid w:val="00AC32E7"/>
    <w:rsid w:val="00AC3A9F"/>
    <w:rsid w:val="00AC6D2F"/>
    <w:rsid w:val="00AD40F8"/>
    <w:rsid w:val="00AE2745"/>
    <w:rsid w:val="00AE2F64"/>
    <w:rsid w:val="00AF42CB"/>
    <w:rsid w:val="00AF483F"/>
    <w:rsid w:val="00AF5E07"/>
    <w:rsid w:val="00AF5F06"/>
    <w:rsid w:val="00AF601B"/>
    <w:rsid w:val="00B00A25"/>
    <w:rsid w:val="00B1422A"/>
    <w:rsid w:val="00B1765C"/>
    <w:rsid w:val="00B213C4"/>
    <w:rsid w:val="00B33B93"/>
    <w:rsid w:val="00B40C60"/>
    <w:rsid w:val="00B479A9"/>
    <w:rsid w:val="00B52EDF"/>
    <w:rsid w:val="00B71188"/>
    <w:rsid w:val="00B74469"/>
    <w:rsid w:val="00B76A41"/>
    <w:rsid w:val="00B76CCB"/>
    <w:rsid w:val="00B87D4C"/>
    <w:rsid w:val="00B93646"/>
    <w:rsid w:val="00BA0B38"/>
    <w:rsid w:val="00BA1DBB"/>
    <w:rsid w:val="00BA4510"/>
    <w:rsid w:val="00BA529A"/>
    <w:rsid w:val="00BB612A"/>
    <w:rsid w:val="00BC5DA2"/>
    <w:rsid w:val="00BD499F"/>
    <w:rsid w:val="00BD56DE"/>
    <w:rsid w:val="00BD7CC3"/>
    <w:rsid w:val="00BE36DC"/>
    <w:rsid w:val="00BF2406"/>
    <w:rsid w:val="00C06E43"/>
    <w:rsid w:val="00C152DF"/>
    <w:rsid w:val="00C16315"/>
    <w:rsid w:val="00C232F2"/>
    <w:rsid w:val="00C3091E"/>
    <w:rsid w:val="00C32D8F"/>
    <w:rsid w:val="00C33F24"/>
    <w:rsid w:val="00C3799E"/>
    <w:rsid w:val="00C40FF1"/>
    <w:rsid w:val="00C419E2"/>
    <w:rsid w:val="00C5020E"/>
    <w:rsid w:val="00C53149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37C"/>
    <w:rsid w:val="00C85A86"/>
    <w:rsid w:val="00C86768"/>
    <w:rsid w:val="00C86BD5"/>
    <w:rsid w:val="00C93E75"/>
    <w:rsid w:val="00C978F0"/>
    <w:rsid w:val="00CA58FE"/>
    <w:rsid w:val="00CB1CB1"/>
    <w:rsid w:val="00CB6BC1"/>
    <w:rsid w:val="00CB6CB8"/>
    <w:rsid w:val="00CC1A68"/>
    <w:rsid w:val="00CC2123"/>
    <w:rsid w:val="00CC349A"/>
    <w:rsid w:val="00CC6C70"/>
    <w:rsid w:val="00CC7A12"/>
    <w:rsid w:val="00CD2BFD"/>
    <w:rsid w:val="00CE5AD6"/>
    <w:rsid w:val="00CE617F"/>
    <w:rsid w:val="00CE78EF"/>
    <w:rsid w:val="00CF0211"/>
    <w:rsid w:val="00D048F7"/>
    <w:rsid w:val="00D0517E"/>
    <w:rsid w:val="00D06972"/>
    <w:rsid w:val="00D120BA"/>
    <w:rsid w:val="00D140FC"/>
    <w:rsid w:val="00D2073F"/>
    <w:rsid w:val="00D21D8C"/>
    <w:rsid w:val="00D31357"/>
    <w:rsid w:val="00D33220"/>
    <w:rsid w:val="00D334D1"/>
    <w:rsid w:val="00D44C89"/>
    <w:rsid w:val="00D516CD"/>
    <w:rsid w:val="00D64E0F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A4799"/>
    <w:rsid w:val="00DC7694"/>
    <w:rsid w:val="00DD1BF6"/>
    <w:rsid w:val="00DD2F9B"/>
    <w:rsid w:val="00DE2513"/>
    <w:rsid w:val="00DE26E8"/>
    <w:rsid w:val="00DF6F36"/>
    <w:rsid w:val="00E0084C"/>
    <w:rsid w:val="00E00C1F"/>
    <w:rsid w:val="00E025AB"/>
    <w:rsid w:val="00E02B23"/>
    <w:rsid w:val="00E06F40"/>
    <w:rsid w:val="00E07CE8"/>
    <w:rsid w:val="00E1752B"/>
    <w:rsid w:val="00E24612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0C15"/>
    <w:rsid w:val="00E761E4"/>
    <w:rsid w:val="00E804EA"/>
    <w:rsid w:val="00E80A71"/>
    <w:rsid w:val="00E82337"/>
    <w:rsid w:val="00E92499"/>
    <w:rsid w:val="00E949AF"/>
    <w:rsid w:val="00E96077"/>
    <w:rsid w:val="00EA0A06"/>
    <w:rsid w:val="00EA6111"/>
    <w:rsid w:val="00EA6243"/>
    <w:rsid w:val="00EA74AB"/>
    <w:rsid w:val="00EB3D1B"/>
    <w:rsid w:val="00EC52DA"/>
    <w:rsid w:val="00ED1D89"/>
    <w:rsid w:val="00ED66BC"/>
    <w:rsid w:val="00EE6311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264BB"/>
    <w:rsid w:val="00F43AD5"/>
    <w:rsid w:val="00F4402E"/>
    <w:rsid w:val="00F4758E"/>
    <w:rsid w:val="00F56DD0"/>
    <w:rsid w:val="00F6491C"/>
    <w:rsid w:val="00F67BBB"/>
    <w:rsid w:val="00F74B9B"/>
    <w:rsid w:val="00F761CE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B6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36E670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F4758E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8530A1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046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469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469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46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4690"/>
    <w:rPr>
      <w:b/>
      <w:bCs/>
      <w:szCs w:val="20"/>
    </w:rPr>
  </w:style>
  <w:style w:type="paragraph" w:styleId="Revision">
    <w:name w:val="Revision"/>
    <w:hidden/>
    <w:uiPriority w:val="99"/>
    <w:semiHidden/>
    <w:rsid w:val="004A6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7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2C46FE31DB54AC6B1EBCF4D4B8AD8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1CB6D-6AB7-409F-A00D-85F12C6E0CA5}"/>
      </w:docPartPr>
      <w:docPartBody>
        <w:p w:rsidR="00015301" w:rsidRDefault="00A82EFA" w:rsidP="00A82EFA">
          <w:pPr>
            <w:pStyle w:val="C2C46FE31DB54AC6B1EBCF4D4B8AD889"/>
          </w:pPr>
          <w:r w:rsidRPr="00262278">
            <w:rPr>
              <w:color w:val="00B050"/>
            </w:rPr>
            <w:t>1994</w:t>
          </w:r>
        </w:p>
      </w:docPartBody>
    </w:docPart>
    <w:docPart>
      <w:docPartPr>
        <w:name w:val="E094B1B2D3794517B709994630ABE6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CA690F-96DD-424E-B64F-C58475C17EDF}"/>
      </w:docPartPr>
      <w:docPartBody>
        <w:p w:rsidR="00127523" w:rsidRDefault="001355A0" w:rsidP="001355A0">
          <w:pPr>
            <w:pStyle w:val="E094B1B2D3794517B709994630ABE69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5301"/>
    <w:rsid w:val="00127523"/>
    <w:rsid w:val="001355A0"/>
    <w:rsid w:val="003F5C17"/>
    <w:rsid w:val="00A82EFA"/>
    <w:rsid w:val="00AF30DF"/>
    <w:rsid w:val="00B75DA0"/>
    <w:rsid w:val="00D21A9F"/>
    <w:rsid w:val="00F74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55A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2C46FE31DB54AC6B1EBCF4D4B8AD889">
    <w:name w:val="C2C46FE31DB54AC6B1EBCF4D4B8AD889"/>
    <w:rsid w:val="00A82EFA"/>
    <w:rPr>
      <w:lang w:val="en-US" w:eastAsia="en-US"/>
    </w:rPr>
  </w:style>
  <w:style w:type="paragraph" w:customStyle="1" w:styleId="E094B1B2D3794517B709994630ABE698">
    <w:name w:val="E094B1B2D3794517B709994630ABE698"/>
    <w:rsid w:val="001355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FB6D74-E4B2-4424-AE2C-C6693B77E84F}"/>
</file>

<file path=customXml/itemProps2.xml><?xml version="1.0" encoding="utf-8"?>
<ds:datastoreItem xmlns:ds="http://schemas.openxmlformats.org/officeDocument/2006/customXml" ds:itemID="{C5ACBE69-BF28-4639-BF0B-2137062AEF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15ACED-603A-4025-B353-DEF71F3CE9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DE008-B0B2-4CA7-87B9-55BA279831B1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1257</Words>
  <Characters>7168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2019-10-24T01:11:00Z</dcterms:created>
  <dcterms:modified xsi:type="dcterms:W3CDTF">2025-12-22T03:50:00Z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2025-12-22T03:50:34Z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2b2b914e-418d-47f5-8a5b-6c677fd3e6c5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