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8F0E477" w14:textId="76C182EE" w:rsidR="00BD499F" w:rsidRPr="004C23F4" w:rsidRDefault="006F2E13" w:rsidP="006F2E13">
          <w:pPr>
            <w:pStyle w:val="Heading1"/>
            <w:jc w:val="center"/>
            <w:rPr>
              <w:rFonts w:ascii="Arial" w:hAnsi="Arial" w:cs="Arial"/>
            </w:rPr>
          </w:pPr>
          <w:r w:rsidRPr="006F2E13">
            <w:rPr>
              <w:rFonts w:ascii="Arial" w:hAnsi="Arial" w:cs="Arial"/>
            </w:rPr>
            <w:t>Dicyclopentadiene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3"/>
        <w:gridCol w:w="5033"/>
      </w:tblGrid>
      <w:tr w:rsidR="00F43AD5" w:rsidRPr="004C23F4" w14:paraId="5F6F4CE9" w14:textId="77777777" w:rsidTr="006F2E13">
        <w:trPr>
          <w:cantSplit/>
          <w:tblHeader/>
        </w:trPr>
        <w:tc>
          <w:tcPr>
            <w:tcW w:w="3993" w:type="dxa"/>
          </w:tcPr>
          <w:p w14:paraId="3C7962E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3" w:type="dxa"/>
          </w:tcPr>
          <w:p w14:paraId="17D4F2B2" w14:textId="05B27A63" w:rsidR="00F43AD5" w:rsidRPr="00717D45" w:rsidRDefault="006F2E13" w:rsidP="00B76A41">
            <w:pPr>
              <w:pStyle w:val="Tablefont"/>
            </w:pPr>
            <w:r w:rsidRPr="006F2E13">
              <w:t>77-73-6</w:t>
            </w:r>
          </w:p>
        </w:tc>
      </w:tr>
      <w:tr w:rsidR="00F43AD5" w:rsidRPr="004C23F4" w14:paraId="6AF965CE" w14:textId="77777777" w:rsidTr="006F2E13">
        <w:trPr>
          <w:cantSplit/>
        </w:trPr>
        <w:tc>
          <w:tcPr>
            <w:tcW w:w="3993" w:type="dxa"/>
          </w:tcPr>
          <w:p w14:paraId="4BE673F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3" w:type="dxa"/>
          </w:tcPr>
          <w:p w14:paraId="62FBA518" w14:textId="0B80002A" w:rsidR="00F43AD5" w:rsidRPr="00717D45" w:rsidRDefault="00843BDD" w:rsidP="00B76A41">
            <w:pPr>
              <w:pStyle w:val="Tablefont"/>
            </w:pPr>
            <w:r>
              <w:t>Bicyclopentadiene, 1,3-cyclopentadiene dimer, DCPD</w:t>
            </w:r>
          </w:p>
        </w:tc>
      </w:tr>
      <w:tr w:rsidR="00F43AD5" w:rsidRPr="004C23F4" w14:paraId="68A24B8D" w14:textId="77777777" w:rsidTr="006F2E13">
        <w:trPr>
          <w:cantSplit/>
        </w:trPr>
        <w:tc>
          <w:tcPr>
            <w:tcW w:w="3993" w:type="dxa"/>
          </w:tcPr>
          <w:p w14:paraId="7CC372B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3" w:type="dxa"/>
          </w:tcPr>
          <w:p w14:paraId="7115B3DE" w14:textId="6EB71E62" w:rsidR="00F43AD5" w:rsidRPr="00717D45" w:rsidRDefault="006F2E13" w:rsidP="00B76A41">
            <w:pPr>
              <w:pStyle w:val="Tablefont"/>
            </w:pPr>
            <w:r>
              <w:t>C</w:t>
            </w:r>
            <w:r w:rsidRPr="006F2E13">
              <w:rPr>
                <w:vertAlign w:val="subscript"/>
              </w:rPr>
              <w:t>10</w:t>
            </w:r>
            <w:r>
              <w:t>H</w:t>
            </w:r>
            <w:r w:rsidRPr="006F2E13">
              <w:rPr>
                <w:vertAlign w:val="subscript"/>
              </w:rPr>
              <w:t>12</w:t>
            </w:r>
          </w:p>
        </w:tc>
      </w:tr>
    </w:tbl>
    <w:p w14:paraId="1A61E47B" w14:textId="1FEF03C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053D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2DCB08F4" w14:textId="77777777" w:rsidTr="00F23DCE">
        <w:trPr>
          <w:cantSplit/>
          <w:tblHeader/>
        </w:trPr>
        <w:tc>
          <w:tcPr>
            <w:tcW w:w="4005" w:type="dxa"/>
            <w:vAlign w:val="center"/>
          </w:tcPr>
          <w:p w14:paraId="3886F17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2BE93CB7" w14:textId="609331E9" w:rsidR="002C7AFE" w:rsidRPr="005053DF" w:rsidRDefault="005053D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(2.7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36C77DDB" w14:textId="77777777" w:rsidTr="00F23DCE">
        <w:trPr>
          <w:cantSplit/>
        </w:trPr>
        <w:tc>
          <w:tcPr>
            <w:tcW w:w="4005" w:type="dxa"/>
            <w:vAlign w:val="center"/>
          </w:tcPr>
          <w:p w14:paraId="612355A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398C4ED" w14:textId="3BC174F3" w:rsidR="002C7AFE" w:rsidRPr="00E03AC9" w:rsidRDefault="00F86B1A" w:rsidP="00017C82">
            <w:pPr>
              <w:pStyle w:val="Tablefont"/>
              <w:rPr>
                <w:b/>
              </w:rPr>
            </w:pPr>
            <w:r w:rsidRPr="00E03AC9">
              <w:rPr>
                <w:b/>
              </w:rPr>
              <w:t>—</w:t>
            </w:r>
          </w:p>
        </w:tc>
      </w:tr>
      <w:tr w:rsidR="002C7AFE" w:rsidRPr="004C23F4" w14:paraId="67029EF2" w14:textId="77777777" w:rsidTr="00F23DCE">
        <w:trPr>
          <w:cantSplit/>
        </w:trPr>
        <w:tc>
          <w:tcPr>
            <w:tcW w:w="4005" w:type="dxa"/>
            <w:vAlign w:val="center"/>
          </w:tcPr>
          <w:p w14:paraId="1E341885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F9D779D" w14:textId="74E2D681" w:rsidR="002C7AFE" w:rsidRPr="00E03AC9" w:rsidRDefault="00F86B1A" w:rsidP="00017C82">
            <w:pPr>
              <w:pStyle w:val="Tablefont"/>
              <w:rPr>
                <w:b/>
              </w:rPr>
            </w:pPr>
            <w:r w:rsidRPr="00E03AC9">
              <w:rPr>
                <w:b/>
              </w:rPr>
              <w:t>—</w:t>
            </w:r>
          </w:p>
        </w:tc>
      </w:tr>
      <w:tr w:rsidR="002C7AFE" w:rsidRPr="004C23F4" w14:paraId="63DA1F49" w14:textId="77777777" w:rsidTr="00F23DCE">
        <w:trPr>
          <w:cantSplit/>
        </w:trPr>
        <w:tc>
          <w:tcPr>
            <w:tcW w:w="4005" w:type="dxa"/>
          </w:tcPr>
          <w:p w14:paraId="6A988CBE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95C4543" w14:textId="1BF8008F" w:rsidR="002C7AFE" w:rsidRPr="00E03AC9" w:rsidRDefault="00F86B1A" w:rsidP="008A36CF">
            <w:pPr>
              <w:pStyle w:val="Tablefont"/>
              <w:rPr>
                <w:b/>
              </w:rPr>
            </w:pPr>
            <w:r w:rsidRPr="00E03AC9">
              <w:rPr>
                <w:b/>
              </w:rPr>
              <w:t>—</w:t>
            </w:r>
          </w:p>
        </w:tc>
      </w:tr>
      <w:tr w:rsidR="002C7AFE" w:rsidRPr="004C23F4" w14:paraId="79B37157" w14:textId="77777777" w:rsidTr="00F23DCE">
        <w:trPr>
          <w:cantSplit/>
        </w:trPr>
        <w:tc>
          <w:tcPr>
            <w:tcW w:w="4005" w:type="dxa"/>
            <w:vAlign w:val="center"/>
          </w:tcPr>
          <w:p w14:paraId="41EF2EC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0FE25A6B" w14:textId="4FB215D3" w:rsidR="002C7AFE" w:rsidRPr="00E03AC9" w:rsidRDefault="00F86B1A" w:rsidP="00017C82">
            <w:pPr>
              <w:pStyle w:val="Tablefont"/>
              <w:rPr>
                <w:b/>
              </w:rPr>
            </w:pPr>
            <w:r w:rsidRPr="00E03AC9">
              <w:rPr>
                <w:b/>
              </w:rPr>
              <w:t>—</w:t>
            </w:r>
          </w:p>
        </w:tc>
      </w:tr>
      <w:tr w:rsidR="00F23DCE" w:rsidRPr="004C23F4" w14:paraId="08313345" w14:textId="77777777" w:rsidTr="00BF2CA6">
        <w:trPr>
          <w:cantSplit/>
        </w:trPr>
        <w:tc>
          <w:tcPr>
            <w:tcW w:w="9026" w:type="dxa"/>
            <w:gridSpan w:val="2"/>
            <w:vAlign w:val="center"/>
          </w:tcPr>
          <w:p w14:paraId="28957188" w14:textId="41E380AD" w:rsidR="00F23DCE" w:rsidRPr="00E03AC9" w:rsidRDefault="00F23DCE" w:rsidP="00017C82">
            <w:pPr>
              <w:pStyle w:val="Tablefont"/>
              <w:rPr>
                <w:b/>
              </w:rPr>
            </w:pPr>
            <w:r w:rsidRPr="00DD701C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0C13916A4064130BAD967F9C72A936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DD701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2888EC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E707C83" w14:textId="1894798F" w:rsidR="00253B38" w:rsidRDefault="009426EF" w:rsidP="000C139A">
      <w:pPr>
        <w:rPr>
          <w:rFonts w:cs="Arial"/>
        </w:rPr>
      </w:pPr>
      <w:r>
        <w:rPr>
          <w:rFonts w:cs="Arial"/>
        </w:rPr>
        <w:t>A TWA of 0.5 ppm (2.7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is recommended </w:t>
      </w:r>
      <w:r w:rsidR="00DF47B4" w:rsidRPr="00DF47B4">
        <w:rPr>
          <w:rFonts w:cs="Arial"/>
        </w:rPr>
        <w:t>to protect for</w:t>
      </w:r>
      <w:r w:rsidR="00DF47B4">
        <w:rPr>
          <w:rFonts w:cs="Arial"/>
        </w:rPr>
        <w:t xml:space="preserve"> eye and throat irritation, and potential liver and kidney toxicity in </w:t>
      </w:r>
      <w:r w:rsidR="00DF47B4" w:rsidRPr="00DF47B4">
        <w:rPr>
          <w:rFonts w:cs="Arial"/>
        </w:rPr>
        <w:t>exposed workers.</w:t>
      </w:r>
      <w:r w:rsidR="00DF47B4">
        <w:rPr>
          <w:rFonts w:cs="Arial"/>
        </w:rPr>
        <w:t xml:space="preserve"> </w:t>
      </w:r>
    </w:p>
    <w:p w14:paraId="640A240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02D398CB" w14:textId="50D921E4" w:rsidR="00DD701C" w:rsidRDefault="00DF47B4" w:rsidP="009426EF">
      <w:r>
        <w:rPr>
          <w:rFonts w:cs="Arial"/>
        </w:rPr>
        <w:t>Dicyclopentadiene is used as an i</w:t>
      </w:r>
      <w:r w:rsidR="009426EF">
        <w:rPr>
          <w:rFonts w:cs="Arial"/>
        </w:rPr>
        <w:t>ntermediate in chemical manufacture of insecticides, e</w:t>
      </w:r>
      <w:r w:rsidR="00D63404">
        <w:rPr>
          <w:rFonts w:cs="Arial"/>
        </w:rPr>
        <w:t>lastomers, metallocenes, paints</w:t>
      </w:r>
      <w:r w:rsidR="009426EF">
        <w:rPr>
          <w:rFonts w:cs="Arial"/>
        </w:rPr>
        <w:t xml:space="preserve"> and plastics.</w:t>
      </w:r>
      <w:r>
        <w:rPr>
          <w:rFonts w:cs="Arial"/>
        </w:rPr>
        <w:t xml:space="preserve"> It is </w:t>
      </w:r>
      <w:r w:rsidR="009426EF">
        <w:t>produced during the carboni</w:t>
      </w:r>
      <w:r>
        <w:t>s</w:t>
      </w:r>
      <w:r w:rsidR="009426EF">
        <w:t xml:space="preserve">ation of coal, and as a by-product </w:t>
      </w:r>
      <w:r w:rsidR="005053DF">
        <w:t>when</w:t>
      </w:r>
      <w:r w:rsidR="009426EF">
        <w:t xml:space="preserve"> </w:t>
      </w:r>
      <w:r w:rsidR="005053DF">
        <w:t>steam-</w:t>
      </w:r>
      <w:r w:rsidR="009426EF">
        <w:t>cracking gas oil and na</w:t>
      </w:r>
      <w:r>
        <w:t xml:space="preserve">phtha (NTP, 1990). </w:t>
      </w:r>
    </w:p>
    <w:p w14:paraId="11F72342" w14:textId="0D860850" w:rsidR="00DD701C" w:rsidRDefault="00DF47B4" w:rsidP="006639B4">
      <w:r>
        <w:t>Critical effects of exposure are irritation of the mucous membranes of the eyes and upper respiratory tract (ACGIH, 2018).</w:t>
      </w:r>
      <w:r w:rsidR="00DD701C">
        <w:t xml:space="preserve"> </w:t>
      </w:r>
      <w:r>
        <w:t>Human and animal exposure data are limited</w:t>
      </w:r>
      <w:r w:rsidR="00DD701C">
        <w:t>.</w:t>
      </w:r>
      <w:r>
        <w:t xml:space="preserve"> </w:t>
      </w:r>
      <w:r w:rsidR="00DD701C">
        <w:t>A</w:t>
      </w:r>
      <w:r>
        <w:t>cute inhalation stud</w:t>
      </w:r>
      <w:r w:rsidR="005053DF">
        <w:t xml:space="preserve">ies </w:t>
      </w:r>
      <w:r w:rsidR="00DD701C">
        <w:t xml:space="preserve">in </w:t>
      </w:r>
      <w:r w:rsidR="005053DF">
        <w:t>volunteers reported</w:t>
      </w:r>
      <w:r>
        <w:t xml:space="preserve"> irritation at concentrations between 1</w:t>
      </w:r>
      <w:r w:rsidR="00257392">
        <w:t xml:space="preserve"> and</w:t>
      </w:r>
      <w:r w:rsidR="004871F5">
        <w:t xml:space="preserve"> </w:t>
      </w:r>
      <w:r>
        <w:t xml:space="preserve">5.5 ppm (ACGIH, 2018; DFG, 2000). </w:t>
      </w:r>
      <w:r w:rsidR="005053DF">
        <w:t>Despite evidence for potential acclimation in some exposed individuals, concentrations of 2.9</w:t>
      </w:r>
      <w:r w:rsidR="00594E83">
        <w:t xml:space="preserve"> to </w:t>
      </w:r>
      <w:r w:rsidR="005053DF">
        <w:t>5.</w:t>
      </w:r>
      <w:r w:rsidR="00CE0B72">
        <w:t>5 </w:t>
      </w:r>
      <w:r w:rsidR="005053DF">
        <w:t xml:space="preserve">ppm were described as nauseating (DFG, 2000). </w:t>
      </w:r>
      <w:r>
        <w:t xml:space="preserve">Chronic </w:t>
      </w:r>
      <w:r w:rsidR="005053DF">
        <w:t>animal exposure</w:t>
      </w:r>
      <w:r>
        <w:t xml:space="preserve"> studies (ACGIH, 2018; DFG, 2000) </w:t>
      </w:r>
      <w:r w:rsidR="00BE670B">
        <w:t>show</w:t>
      </w:r>
      <w:r>
        <w:t xml:space="preserve"> that higher concentrations</w:t>
      </w:r>
      <w:r w:rsidR="005053DF">
        <w:t xml:space="preserve"> cause</w:t>
      </w:r>
      <w:r>
        <w:t xml:space="preserve"> liver and kidney damage (</w:t>
      </w:r>
      <w:r w:rsidR="005053DF">
        <w:t xml:space="preserve">above </w:t>
      </w:r>
      <w:r>
        <w:t>35 ppm) and haemorrhaging of the lungs and gastrointestinal tract (</w:t>
      </w:r>
      <w:r w:rsidR="005053DF">
        <w:t>above</w:t>
      </w:r>
      <w:r>
        <w:t xml:space="preserve"> 332 ppm). </w:t>
      </w:r>
    </w:p>
    <w:p w14:paraId="741613CF" w14:textId="69C4E8A8" w:rsidR="006639B4" w:rsidRPr="00441907" w:rsidRDefault="00DF47B4" w:rsidP="006639B4">
      <w:pPr>
        <w:rPr>
          <w:rFonts w:cs="Arial"/>
        </w:rPr>
      </w:pPr>
      <w:r>
        <w:t xml:space="preserve">A TWA of 0.5 ppm is </w:t>
      </w:r>
      <w:r w:rsidR="00DD701C">
        <w:t xml:space="preserve">based </w:t>
      </w:r>
      <w:r w:rsidR="00CE0B72">
        <w:t xml:space="preserve">on </w:t>
      </w:r>
      <w:r w:rsidR="005053DF">
        <w:t xml:space="preserve">eye and throat </w:t>
      </w:r>
      <w:r>
        <w:t>irritation observed in acutely exposed</w:t>
      </w:r>
      <w:r w:rsidR="005053DF">
        <w:t xml:space="preserve"> volunteers at 1</w:t>
      </w:r>
      <w:r w:rsidR="00CE0B72">
        <w:t> </w:t>
      </w:r>
      <w:r w:rsidR="005053DF">
        <w:t xml:space="preserve">ppm (DFG, 2000). </w:t>
      </w:r>
      <w:r w:rsidR="00BE670B">
        <w:t>This</w:t>
      </w:r>
      <w:r w:rsidR="005053DF">
        <w:t xml:space="preserve"> value is also expected to </w:t>
      </w:r>
      <w:r w:rsidR="00BE670B">
        <w:t>protect for</w:t>
      </w:r>
      <w:r w:rsidR="005053DF">
        <w:t xml:space="preserve"> potential liver and kidney toxicity reported for animals exposed to higher concentrations.</w:t>
      </w:r>
      <w:r w:rsidR="00441907">
        <w:t xml:space="preserve"> </w:t>
      </w:r>
    </w:p>
    <w:p w14:paraId="0E02ED8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7EFC895B" w14:textId="78D122FF" w:rsidR="009426EF" w:rsidRDefault="009426EF">
      <w:pPr>
        <w:rPr>
          <w:rFonts w:cs="Arial"/>
        </w:rPr>
      </w:pPr>
      <w:r w:rsidRPr="009426EF">
        <w:rPr>
          <w:rFonts w:cs="Arial"/>
        </w:rPr>
        <w:t>Not classified as a carcinogen according to the Globally Harmonized System of Classification and Labelling of Chemicals (GHS).</w:t>
      </w:r>
      <w:r w:rsidR="00253B38">
        <w:rPr>
          <w:rFonts w:cs="Arial"/>
        </w:rPr>
        <w:t xml:space="preserve"> </w:t>
      </w:r>
    </w:p>
    <w:p w14:paraId="0E8EC459" w14:textId="28C6A01F" w:rsidR="009426EF" w:rsidRDefault="009426EF">
      <w:pPr>
        <w:rPr>
          <w:rFonts w:cs="Arial"/>
        </w:rPr>
      </w:pPr>
      <w:r w:rsidRPr="009426EF">
        <w:rPr>
          <w:rFonts w:cs="Arial"/>
        </w:rPr>
        <w:t xml:space="preserve">Not classified as a skin </w:t>
      </w:r>
      <w:r w:rsidR="00F23DCE" w:rsidRPr="009426EF">
        <w:rPr>
          <w:rFonts w:cs="Arial"/>
        </w:rPr>
        <w:t xml:space="preserve">sensitiser </w:t>
      </w:r>
      <w:r w:rsidRPr="009426EF">
        <w:rPr>
          <w:rFonts w:cs="Arial"/>
        </w:rPr>
        <w:t>or respiratory sensitiser according to the GHS.</w:t>
      </w:r>
    </w:p>
    <w:p w14:paraId="51B46141" w14:textId="026A0EC5" w:rsidR="009426EF" w:rsidRPr="004C23F4" w:rsidRDefault="009426EF">
      <w:pPr>
        <w:rPr>
          <w:rFonts w:cs="Arial"/>
        </w:rPr>
        <w:sectPr w:rsidR="009426EF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9426EF">
        <w:rPr>
          <w:rFonts w:cs="Arial"/>
        </w:rPr>
        <w:t xml:space="preserve">A skin notation is not </w:t>
      </w:r>
      <w:r w:rsidR="00DD701C">
        <w:rPr>
          <w:rFonts w:cs="Arial"/>
        </w:rPr>
        <w:t>recommended</w:t>
      </w:r>
      <w:r w:rsidR="00DD701C" w:rsidRPr="009426EF">
        <w:rPr>
          <w:rFonts w:cs="Arial"/>
        </w:rPr>
        <w:t xml:space="preserve"> </w:t>
      </w:r>
      <w:r w:rsidRPr="009426EF">
        <w:rPr>
          <w:rFonts w:cs="Arial"/>
        </w:rPr>
        <w:t>based on the available evidence.</w:t>
      </w:r>
    </w:p>
    <w:p w14:paraId="7130B1B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741DD61F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C4B142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7AC692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2435E6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750CFDF" w14:textId="5EFA3F9D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F86B1A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F86B1A">
                  <w:t>TWA: 5 ppm (27 mg/m</w:t>
                </w:r>
                <w:r w:rsidR="00F86B1A" w:rsidRPr="00F86B1A">
                  <w:rPr>
                    <w:vertAlign w:val="superscript"/>
                  </w:rPr>
                  <w:t>3</w:t>
                </w:r>
                <w:r w:rsidR="00F86B1A">
                  <w:t>)</w:t>
                </w:r>
              </w:sdtContent>
            </w:sdt>
          </w:p>
        </w:tc>
      </w:tr>
      <w:tr w:rsidR="00C978F0" w:rsidRPr="00DA352E" w14:paraId="346AF63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D8863D7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943D43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745DEC" w14:textId="31B9F4D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F86B1A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1178156127"/>
                    <w:placeholder>
                      <w:docPart w:val="CA9211DA9BB2401FABCBEFDB2C820D93"/>
                    </w:placeholder>
                  </w:sdtPr>
                  <w:sdtEndPr/>
                  <w:sdtContent>
                    <w:r w:rsidR="00F86B1A">
                      <w:t>TWA: 5 ppm (27 mg/m</w:t>
                    </w:r>
                    <w:r w:rsidR="00F86B1A" w:rsidRPr="00F86B1A">
                      <w:rPr>
                        <w:vertAlign w:val="superscript"/>
                      </w:rPr>
                      <w:t>3</w:t>
                    </w:r>
                    <w:r w:rsidR="00F86B1A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4A7DA80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60695E" w14:textId="3B34C790" w:rsidR="00DD701C" w:rsidRDefault="00332DAD" w:rsidP="003365A5">
            <w:pPr>
              <w:pStyle w:val="Tabletextprimarysource"/>
            </w:pPr>
            <w:r>
              <w:t>TLV-TWA intended to minimise potential for irritation to eyes and thr</w:t>
            </w:r>
            <w:r w:rsidR="0071453A">
              <w:t xml:space="preserve">oat, and potential adverse lung and </w:t>
            </w:r>
            <w:r w:rsidR="00AA06D9">
              <w:t>CNS</w:t>
            </w:r>
            <w:r w:rsidR="0071453A">
              <w:t xml:space="preserve"> </w:t>
            </w:r>
            <w:r>
              <w:t xml:space="preserve">effects. </w:t>
            </w:r>
          </w:p>
          <w:p w14:paraId="25A11E9B" w14:textId="175C8B80" w:rsidR="00C978F0" w:rsidRDefault="00332DAD" w:rsidP="003365A5">
            <w:pPr>
              <w:pStyle w:val="Tabletextprimarysource"/>
            </w:pPr>
            <w:r>
              <w:t>Insufficient data to recommend a STEL or notations for carcinogenicity, sensitisation, or skin absorption.</w:t>
            </w:r>
          </w:p>
          <w:p w14:paraId="2DDA1352" w14:textId="77777777" w:rsidR="00332DAD" w:rsidRDefault="00332DAD" w:rsidP="003365A5">
            <w:pPr>
              <w:pStyle w:val="Tabletextprimarysource"/>
            </w:pPr>
            <w:r>
              <w:t>Summary of data:</w:t>
            </w:r>
          </w:p>
          <w:p w14:paraId="770A6A9C" w14:textId="77777777" w:rsidR="00DD701C" w:rsidRDefault="00332DAD" w:rsidP="003365A5">
            <w:pPr>
              <w:pStyle w:val="Tabletextprimarysource"/>
            </w:pPr>
            <w:r>
              <w:t>Toxicological data for human exposure are limited to reports of accidental overexposure</w:t>
            </w:r>
            <w:r w:rsidR="0071453A">
              <w:t xml:space="preserve"> and a very small acute volunteer study</w:t>
            </w:r>
            <w:r>
              <w:t xml:space="preserve">. </w:t>
            </w:r>
            <w:r w:rsidR="0071453A">
              <w:t xml:space="preserve">No chronic human or animal exposure studies available for assessment. </w:t>
            </w:r>
          </w:p>
          <w:p w14:paraId="0C3C66BD" w14:textId="72D8B88D" w:rsidR="00332DAD" w:rsidRDefault="0071453A" w:rsidP="003365A5">
            <w:pPr>
              <w:pStyle w:val="Tabletextprimarysource"/>
            </w:pPr>
            <w:r>
              <w:t xml:space="preserve">TLV-TWA derivation is not discussed, but value is based on available animal exposure data and expected to minimise the potential for eye irritation, lung effects and </w:t>
            </w:r>
            <w:r w:rsidR="00DD701C">
              <w:t>CNS</w:t>
            </w:r>
            <w:r>
              <w:t xml:space="preserve"> responses in workers.</w:t>
            </w:r>
          </w:p>
          <w:p w14:paraId="1D096BF6" w14:textId="77777777" w:rsidR="00332DAD" w:rsidRDefault="00332DAD" w:rsidP="003365A5">
            <w:pPr>
              <w:pStyle w:val="Tabletextprimarysource"/>
            </w:pPr>
            <w:r>
              <w:t>Human data:</w:t>
            </w:r>
          </w:p>
          <w:p w14:paraId="04FF2D12" w14:textId="6306C7DC" w:rsidR="00332DAD" w:rsidRDefault="00332DAD" w:rsidP="00332DAD">
            <w:pPr>
              <w:pStyle w:val="Tabletextprimarysource"/>
              <w:numPr>
                <w:ilvl w:val="0"/>
                <w:numId w:val="1"/>
              </w:numPr>
            </w:pPr>
            <w:r>
              <w:t>Odour threshold: 0.003 ppm, irritation threshold: 10 ppm</w:t>
            </w:r>
          </w:p>
          <w:p w14:paraId="515EF9E7" w14:textId="1B9EA3B9" w:rsidR="000767BD" w:rsidRDefault="000767BD" w:rsidP="00332DAD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Volunteer acute inhalation study with exposures of 1 and 5.5 ppm </w:t>
            </w:r>
            <w:r w:rsidR="006137FE">
              <w:t>(</w:t>
            </w:r>
            <w:r>
              <w:t xml:space="preserve">30 min) </w:t>
            </w:r>
          </w:p>
          <w:p w14:paraId="162E1BB8" w14:textId="77956884" w:rsidR="000767BD" w:rsidRDefault="00F23DCE" w:rsidP="006C3317">
            <w:pPr>
              <w:pStyle w:val="Tabletextprimarysource"/>
              <w:numPr>
                <w:ilvl w:val="1"/>
                <w:numId w:val="1"/>
              </w:numPr>
              <w:ind w:left="1156" w:hanging="426"/>
            </w:pPr>
            <w:r>
              <w:t>m</w:t>
            </w:r>
            <w:r w:rsidR="000767BD">
              <w:t>ild eye and throat irritation in 1 subject at 1 ppm (</w:t>
            </w:r>
            <w:r w:rsidR="00AA06D9">
              <w:t>&gt;</w:t>
            </w:r>
            <w:r w:rsidR="000767BD">
              <w:t xml:space="preserve">7 min); olfactory fatigue </w:t>
            </w:r>
            <w:r w:rsidR="00AA06D9">
              <w:t>&gt;</w:t>
            </w:r>
            <w:r w:rsidR="000767BD">
              <w:t>24</w:t>
            </w:r>
            <w:r w:rsidR="00253B38">
              <w:t xml:space="preserve"> </w:t>
            </w:r>
            <w:r w:rsidR="000767BD">
              <w:t xml:space="preserve">min in </w:t>
            </w:r>
            <w:r w:rsidR="006137FE">
              <w:t>another</w:t>
            </w:r>
            <w:r w:rsidR="000767BD">
              <w:t xml:space="preserve"> subject</w:t>
            </w:r>
          </w:p>
          <w:p w14:paraId="23C89415" w14:textId="3A7F83F8" w:rsidR="000767BD" w:rsidRDefault="00F23DCE" w:rsidP="006C3317">
            <w:pPr>
              <w:pStyle w:val="Tabletextprimarysource"/>
              <w:numPr>
                <w:ilvl w:val="1"/>
                <w:numId w:val="1"/>
              </w:numPr>
              <w:ind w:left="1156" w:hanging="426"/>
            </w:pPr>
            <w:r>
              <w:t>n</w:t>
            </w:r>
            <w:r w:rsidR="000767BD">
              <w:t xml:space="preserve">o </w:t>
            </w:r>
            <w:r w:rsidR="00CE0B72">
              <w:t xml:space="preserve">olfactory </w:t>
            </w:r>
            <w:r w:rsidR="000767BD">
              <w:t>fatigue at 5.5 ppm</w:t>
            </w:r>
          </w:p>
          <w:p w14:paraId="30539E27" w14:textId="39D78F8F" w:rsidR="00D3505E" w:rsidRDefault="000767BD" w:rsidP="00DD701C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Potential acclimation indicated in study of accidentally exposed workers (concentrations and exposure periods not specified) who experienced headaches for 2 mo, but none during </w:t>
            </w:r>
            <w:r w:rsidR="0071453A">
              <w:t>following 3 mo</w:t>
            </w:r>
            <w:r w:rsidR="00D3505E">
              <w:t>.</w:t>
            </w:r>
          </w:p>
          <w:p w14:paraId="0435642A" w14:textId="77777777" w:rsidR="00332DAD" w:rsidRDefault="00332DAD" w:rsidP="00332DAD">
            <w:pPr>
              <w:pStyle w:val="Tabletextprimarysource"/>
            </w:pPr>
            <w:r>
              <w:t>Animal data:</w:t>
            </w:r>
          </w:p>
          <w:p w14:paraId="431232A0" w14:textId="06977166" w:rsidR="000E272A" w:rsidRDefault="000E272A" w:rsidP="000E272A">
            <w:pPr>
              <w:pStyle w:val="Tabletextprimarysource"/>
              <w:numPr>
                <w:ilvl w:val="0"/>
                <w:numId w:val="1"/>
              </w:numPr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660 ppm (rats, 4 h); 2,500 ppm lethal in 1 h</w:t>
            </w:r>
          </w:p>
          <w:p w14:paraId="7AE61691" w14:textId="1DAB2151" w:rsidR="000E272A" w:rsidRDefault="000E272A" w:rsidP="006C3317">
            <w:pPr>
              <w:pStyle w:val="Tabletextprimarysource"/>
              <w:numPr>
                <w:ilvl w:val="1"/>
                <w:numId w:val="1"/>
              </w:numPr>
              <w:ind w:left="1156"/>
            </w:pPr>
            <w:r>
              <w:t>3</w:t>
            </w:r>
            <w:r w:rsidR="00D3505E">
              <w:t>/</w:t>
            </w:r>
            <w:r>
              <w:t>4 rats survived at 250 ppm (6 h/d, 10 d); all survived at 100 ppm (6 h/d. 15 d)</w:t>
            </w:r>
          </w:p>
          <w:p w14:paraId="0927E55F" w14:textId="0B0A5541" w:rsidR="000E272A" w:rsidRDefault="000E272A" w:rsidP="000E272A">
            <w:pPr>
              <w:pStyle w:val="Tabletextprimarysource"/>
              <w:numPr>
                <w:ilvl w:val="0"/>
                <w:numId w:val="1"/>
              </w:numPr>
            </w:pPr>
            <w:r>
              <w:t>Sequence of critical effects in multiple test species (rats, mice, rabbits, guinea pigs, dogs) progressed from eye irritation, to loss of coordination, to lethal convulsions</w:t>
            </w:r>
          </w:p>
          <w:p w14:paraId="0206A6E8" w14:textId="557BE55D" w:rsidR="00D35407" w:rsidRDefault="00332DAD" w:rsidP="000E272A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342 mg/kg (rat</w:t>
            </w:r>
            <w:r w:rsidR="00D35407">
              <w:t>, oral</w:t>
            </w:r>
            <w:r w:rsidR="00D63404">
              <w:t>)</w:t>
            </w:r>
            <w:r w:rsidR="000E272A">
              <w:t xml:space="preserve"> </w:t>
            </w:r>
          </w:p>
          <w:p w14:paraId="09FAD080" w14:textId="527A2C84" w:rsidR="00332DAD" w:rsidRDefault="000E272A" w:rsidP="000E272A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303 mg/kg (rat</w:t>
            </w:r>
            <w:r w:rsidR="00D35407">
              <w:t>, intraperitoneal</w:t>
            </w:r>
            <w:r>
              <w:t>)</w:t>
            </w:r>
          </w:p>
          <w:p w14:paraId="01108469" w14:textId="71E80A7A" w:rsidR="000E272A" w:rsidRDefault="000E272A" w:rsidP="000E272A">
            <w:pPr>
              <w:pStyle w:val="Tabletextprimarysource"/>
              <w:numPr>
                <w:ilvl w:val="0"/>
                <w:numId w:val="1"/>
              </w:numPr>
            </w:pPr>
            <w:r>
              <w:t>Relatively low irritation from eye and skin exposure (species unspecified)</w:t>
            </w:r>
          </w:p>
          <w:p w14:paraId="6DE6DC49" w14:textId="2B88DDD3" w:rsidR="00420ADD" w:rsidRDefault="00420ADD" w:rsidP="000E272A">
            <w:pPr>
              <w:pStyle w:val="Tabletextprimarysource"/>
              <w:numPr>
                <w:ilvl w:val="0"/>
                <w:numId w:val="1"/>
              </w:numPr>
            </w:pPr>
            <w:r>
              <w:t>Haemorrhage of lungs and intestines in repeat inhalation study at 332 ppm (rats, 10 d, exposure duration not specified); all animals died at 332 ppm</w:t>
            </w:r>
            <w:r w:rsidR="00DD701C">
              <w:t xml:space="preserve"> and</w:t>
            </w:r>
            <w:r>
              <w:t xml:space="preserve"> not at 72 or 146 ppm for which no haemorrhages were reported</w:t>
            </w:r>
          </w:p>
          <w:p w14:paraId="124525BD" w14:textId="48F69277" w:rsidR="00843BDD" w:rsidRDefault="000E272A" w:rsidP="000E272A">
            <w:pPr>
              <w:pStyle w:val="Tabletextprimarysource"/>
              <w:numPr>
                <w:ilvl w:val="0"/>
                <w:numId w:val="1"/>
              </w:numPr>
            </w:pPr>
            <w:r>
              <w:t>Sub</w:t>
            </w:r>
            <w:r w:rsidR="00CE0B72">
              <w:t>-</w:t>
            </w:r>
            <w:r>
              <w:t>chronic inhalational stud</w:t>
            </w:r>
            <w:r w:rsidR="00D5731E">
              <w:t>y, treatment range: 19.7</w:t>
            </w:r>
            <w:r w:rsidR="00253B38">
              <w:t>–</w:t>
            </w:r>
            <w:r w:rsidR="00843BDD">
              <w:t>74 ppm (rats, 7</w:t>
            </w:r>
            <w:r w:rsidR="00253B38">
              <w:t xml:space="preserve"> </w:t>
            </w:r>
            <w:r w:rsidR="00843BDD">
              <w:t>h/d, 89</w:t>
            </w:r>
            <w:r w:rsidR="00253B38">
              <w:t xml:space="preserve"> </w:t>
            </w:r>
            <w:r w:rsidR="00843BDD">
              <w:t>d)</w:t>
            </w:r>
          </w:p>
          <w:p w14:paraId="22792F72" w14:textId="417E646D" w:rsidR="00843BDD" w:rsidRDefault="00843BDD" w:rsidP="006C3317">
            <w:pPr>
              <w:pStyle w:val="Tabletextprimarysource"/>
              <w:numPr>
                <w:ilvl w:val="1"/>
                <w:numId w:val="1"/>
              </w:numPr>
              <w:ind w:left="1156" w:hanging="426"/>
            </w:pPr>
            <w:r>
              <w:t xml:space="preserve">NOAEL </w:t>
            </w:r>
            <w:r w:rsidR="003439F4">
              <w:t>&lt;</w:t>
            </w:r>
            <w:r w:rsidR="00D5731E">
              <w:t>19.7 ppm</w:t>
            </w:r>
            <w:r>
              <w:t xml:space="preserve"> </w:t>
            </w:r>
          </w:p>
          <w:p w14:paraId="09D693EC" w14:textId="21B1CB99" w:rsidR="000E272A" w:rsidRDefault="00F23DCE" w:rsidP="006C3317">
            <w:pPr>
              <w:pStyle w:val="Tabletextprimarysource"/>
              <w:numPr>
                <w:ilvl w:val="1"/>
                <w:numId w:val="1"/>
              </w:numPr>
              <w:ind w:left="1156" w:hanging="426"/>
            </w:pPr>
            <w:r>
              <w:t>k</w:t>
            </w:r>
            <w:r w:rsidR="00843BDD">
              <w:t>idney damage and adverse lung effects</w:t>
            </w:r>
            <w:r w:rsidR="00D5731E">
              <w:t>, e.g. pneumonia,</w:t>
            </w:r>
            <w:r w:rsidR="00843BDD">
              <w:t xml:space="preserve"> in </w:t>
            </w:r>
            <w:r w:rsidR="00D5731E">
              <w:t>35 and 74</w:t>
            </w:r>
            <w:r w:rsidR="00253B38">
              <w:t xml:space="preserve"> </w:t>
            </w:r>
            <w:r w:rsidR="00843BDD">
              <w:t>ppm group</w:t>
            </w:r>
            <w:r w:rsidR="00D5731E">
              <w:t>s</w:t>
            </w:r>
          </w:p>
          <w:p w14:paraId="7A3125A2" w14:textId="674A475B" w:rsidR="00420ADD" w:rsidRPr="00DA352E" w:rsidRDefault="00F23DCE" w:rsidP="006C3317">
            <w:pPr>
              <w:pStyle w:val="Tabletextprimarysource"/>
              <w:numPr>
                <w:ilvl w:val="1"/>
                <w:numId w:val="1"/>
              </w:numPr>
              <w:ind w:left="1156" w:hanging="426"/>
            </w:pPr>
            <w:r>
              <w:t>d</w:t>
            </w:r>
            <w:r w:rsidR="00843BDD">
              <w:t>ogs exposed under similar conditions, treatment range: 9</w:t>
            </w:r>
            <w:r w:rsidR="00253B38">
              <w:t>–</w:t>
            </w:r>
            <w:r w:rsidR="00843BDD">
              <w:t xml:space="preserve">32 ppm, showed minimal changes in biochemical parameters and no </w:t>
            </w:r>
            <w:r w:rsidR="00D5731E">
              <w:t xml:space="preserve">dose-related </w:t>
            </w:r>
            <w:r w:rsidR="00843BDD">
              <w:t>changes to organs u</w:t>
            </w:r>
            <w:r w:rsidR="00420ADD">
              <w:t>pon examination</w:t>
            </w:r>
            <w:r w:rsidR="003439F4">
              <w:t>.</w:t>
            </w:r>
          </w:p>
        </w:tc>
      </w:tr>
      <w:tr w:rsidR="00C978F0" w:rsidRPr="00DA352E" w14:paraId="0D04C12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A39E82" w14:textId="79C36B3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86B1A">
                  <w:t>1991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781DC1">
                  <w:t>MAK</w:t>
                </w:r>
                <w:r w:rsidR="00F86B1A">
                  <w:t xml:space="preserve">: </w:t>
                </w:r>
                <w:r w:rsidR="00722607">
                  <w:t>0.5 ppm (2.7 mg/m</w:t>
                </w:r>
                <w:r w:rsidR="00722607" w:rsidRPr="00722607">
                  <w:rPr>
                    <w:vertAlign w:val="superscript"/>
                  </w:rPr>
                  <w:t>3</w:t>
                </w:r>
                <w:r w:rsidR="00722607">
                  <w:t>)</w:t>
                </w:r>
              </w:sdtContent>
            </w:sdt>
          </w:p>
        </w:tc>
      </w:tr>
      <w:tr w:rsidR="00C978F0" w:rsidRPr="00DA352E" w14:paraId="579D7B5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8503B2" w14:textId="229D1AED" w:rsidR="00AA06D9" w:rsidRDefault="00AA06D9" w:rsidP="00AA06D9">
            <w:pPr>
              <w:pStyle w:val="Tabletextprimarysource"/>
            </w:pPr>
            <w:r>
              <w:t xml:space="preserve">MAK value derived from limited acute volunteer studies, in which brief eye and throat irritation was reported at 1 ppm. MAK of 0.5 ppm is expected to protect for these irritation effects and objectionable odour experienced at 5.5 ppm. Agency notes that the occupational threshold of </w:t>
            </w:r>
            <w:r w:rsidR="00DD701C">
              <w:t>5 </w:t>
            </w:r>
            <w:r>
              <w:t>ppm used in other countries is insufficiently protective.</w:t>
            </w:r>
          </w:p>
          <w:p w14:paraId="2A0BAA4B" w14:textId="77777777" w:rsidR="00FB46BA" w:rsidRDefault="00FB46BA" w:rsidP="003365A5">
            <w:pPr>
              <w:pStyle w:val="Tabletextprimarysource"/>
            </w:pPr>
            <w:r>
              <w:t>Summary of additional data:</w:t>
            </w:r>
          </w:p>
          <w:p w14:paraId="35ED9143" w14:textId="055F21E0" w:rsidR="00FB46BA" w:rsidRDefault="00FB46BA" w:rsidP="003365A5">
            <w:pPr>
              <w:pStyle w:val="Tabletextprimarysource"/>
            </w:pPr>
            <w:r>
              <w:t>Human data:</w:t>
            </w:r>
          </w:p>
          <w:p w14:paraId="65C48895" w14:textId="59147569" w:rsidR="006137FE" w:rsidRDefault="006137FE" w:rsidP="006137FE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Several acute volunteer inhalation studies </w:t>
            </w:r>
            <w:r w:rsidR="00D5731E">
              <w:t>summarised as</w:t>
            </w:r>
            <w:r w:rsidR="00DE13D2">
              <w:t>:</w:t>
            </w:r>
          </w:p>
          <w:p w14:paraId="2DA34DB1" w14:textId="774E88DB" w:rsidR="006137FE" w:rsidRDefault="00F23DCE" w:rsidP="006C3317">
            <w:pPr>
              <w:pStyle w:val="Tabletextprimarysource"/>
              <w:numPr>
                <w:ilvl w:val="1"/>
                <w:numId w:val="1"/>
              </w:numPr>
              <w:ind w:left="1156" w:hanging="426"/>
            </w:pPr>
            <w:r>
              <w:t>o</w:t>
            </w:r>
            <w:r w:rsidR="006137FE">
              <w:t>dour threshold: 0.006</w:t>
            </w:r>
            <w:r w:rsidR="00253B38">
              <w:t>–</w:t>
            </w:r>
            <w:r w:rsidR="006137FE">
              <w:t>0.072 ppm; objectionable odour threshold: 0.18</w:t>
            </w:r>
            <w:r w:rsidR="00253B38">
              <w:t>–</w:t>
            </w:r>
            <w:r w:rsidR="006137FE">
              <w:t>1.35 ppm</w:t>
            </w:r>
            <w:r w:rsidR="00DE13D2">
              <w:t xml:space="preserve">; mild eye and throat irritation at 1 ppm in </w:t>
            </w:r>
            <w:r w:rsidR="00253B38">
              <w:t>1</w:t>
            </w:r>
            <w:r w:rsidR="00DE13D2">
              <w:t xml:space="preserve"> subject </w:t>
            </w:r>
          </w:p>
          <w:p w14:paraId="4352F86E" w14:textId="7ECC37CF" w:rsidR="006137FE" w:rsidRDefault="00F23DCE" w:rsidP="006C3317">
            <w:pPr>
              <w:pStyle w:val="Tabletextprimarysource"/>
              <w:numPr>
                <w:ilvl w:val="1"/>
                <w:numId w:val="1"/>
              </w:numPr>
              <w:ind w:left="1156" w:hanging="426"/>
            </w:pPr>
            <w:r>
              <w:t>n</w:t>
            </w:r>
            <w:r w:rsidR="006137FE">
              <w:t>auseating and unpleasant mouth sensation at 2.9</w:t>
            </w:r>
            <w:r w:rsidR="00253B38">
              <w:t>–</w:t>
            </w:r>
            <w:r w:rsidR="006137FE">
              <w:t>5.5 ppm</w:t>
            </w:r>
            <w:r w:rsidR="00DE13D2">
              <w:t>, but with indication of acclimation</w:t>
            </w:r>
            <w:r>
              <w:t>.</w:t>
            </w:r>
          </w:p>
          <w:p w14:paraId="4FD4AEA9" w14:textId="77777777" w:rsidR="00FB46BA" w:rsidRDefault="00FB46BA" w:rsidP="003365A5">
            <w:pPr>
              <w:pStyle w:val="Tabletextprimarysource"/>
            </w:pPr>
            <w:r>
              <w:t>Animal data:</w:t>
            </w:r>
          </w:p>
          <w:p w14:paraId="79203A75" w14:textId="70002C26" w:rsidR="003439F4" w:rsidRDefault="003439F4" w:rsidP="00FB46BA">
            <w:pPr>
              <w:pStyle w:val="Tabletextprimarysource"/>
              <w:numPr>
                <w:ilvl w:val="0"/>
                <w:numId w:val="1"/>
              </w:numPr>
            </w:pPr>
            <w:r>
              <w:t>4</w:t>
            </w:r>
            <w:r w:rsidR="00253B38">
              <w:t xml:space="preserve"> </w:t>
            </w:r>
            <w:r>
              <w:t>h LC</w:t>
            </w:r>
            <w:r>
              <w:rPr>
                <w:vertAlign w:val="subscript"/>
              </w:rPr>
              <w:t>50</w:t>
            </w:r>
            <w:r>
              <w:t>: 145 ppm (mice); 359</w:t>
            </w:r>
            <w:r w:rsidR="00D3505E">
              <w:t>–</w:t>
            </w:r>
            <w:r>
              <w:t>385 ppm (rats); 770 ppm (guinea pigs); 771 ppm (rabbits)</w:t>
            </w:r>
          </w:p>
          <w:p w14:paraId="5054D3DC" w14:textId="4743E172" w:rsidR="003439F4" w:rsidRDefault="003439F4" w:rsidP="00FB46BA">
            <w:pPr>
              <w:pStyle w:val="Tabletextprimarysource"/>
              <w:numPr>
                <w:ilvl w:val="0"/>
                <w:numId w:val="1"/>
              </w:numPr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5,065 mg/kg (rabbits</w:t>
            </w:r>
            <w:r w:rsidR="00D35407">
              <w:t>, dermal</w:t>
            </w:r>
            <w:r>
              <w:t>); mild erythema, but no signs of systemic toxicity after 24</w:t>
            </w:r>
            <w:r w:rsidR="001A37B8">
              <w:t xml:space="preserve"> </w:t>
            </w:r>
            <w:r>
              <w:t>h occlusive patch applied at 2 mg/kg (rabbits)</w:t>
            </w:r>
          </w:p>
          <w:p w14:paraId="1F65B411" w14:textId="122CB480" w:rsidR="00D5731E" w:rsidRDefault="00D5731E" w:rsidP="00FB46B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Accumulation in body fat, bile, gall bladder, and adrenals </w:t>
            </w:r>
            <w:r w:rsidR="00FE74BD">
              <w:t>after</w:t>
            </w:r>
            <w:r>
              <w:t xml:space="preserve"> oral absorption and excreted in urine in 24</w:t>
            </w:r>
            <w:r w:rsidR="001A37B8">
              <w:t>–</w:t>
            </w:r>
            <w:r>
              <w:t xml:space="preserve">96 h </w:t>
            </w:r>
          </w:p>
          <w:p w14:paraId="44931712" w14:textId="1FB533F0" w:rsidR="00FB46BA" w:rsidRDefault="003439F4" w:rsidP="00FB46BA">
            <w:pPr>
              <w:pStyle w:val="Tabletextprimarysource"/>
              <w:numPr>
                <w:ilvl w:val="0"/>
                <w:numId w:val="1"/>
              </w:numPr>
            </w:pPr>
            <w:r>
              <w:t>Negative result for guinea pig sensitisation test</w:t>
            </w:r>
          </w:p>
          <w:p w14:paraId="2F717FEE" w14:textId="41D448E2" w:rsidR="00FE74BD" w:rsidRDefault="00FE74BD" w:rsidP="00FE74BD">
            <w:pPr>
              <w:pStyle w:val="Tabletextprimarysource"/>
              <w:numPr>
                <w:ilvl w:val="0"/>
                <w:numId w:val="1"/>
              </w:numPr>
            </w:pPr>
            <w:r>
              <w:t>No adverse reproductive or teratogenic effects in daily feeding and reproductive study, treatment range: 24</w:t>
            </w:r>
            <w:r w:rsidR="001A37B8">
              <w:t>–</w:t>
            </w:r>
            <w:r>
              <w:t>85 mg/kg for males, 42</w:t>
            </w:r>
            <w:r w:rsidR="001A37B8">
              <w:t>–</w:t>
            </w:r>
            <w:r>
              <w:t>170 mg/kg for females (mink, 12 mo); significant bw reduction in neonates from exposed females</w:t>
            </w:r>
          </w:p>
          <w:p w14:paraId="7125230D" w14:textId="6424F8A9" w:rsidR="00FB46BA" w:rsidRDefault="00FB46BA" w:rsidP="00FB46BA">
            <w:pPr>
              <w:pStyle w:val="Tabletextprimarysource"/>
              <w:numPr>
                <w:ilvl w:val="0"/>
                <w:numId w:val="1"/>
              </w:numPr>
            </w:pPr>
            <w:r>
              <w:t>Non-mutagenic</w:t>
            </w:r>
            <w:r w:rsidR="002E7F59">
              <w:t xml:space="preserve"> in standardised bacterial mutagenicity assays</w:t>
            </w:r>
            <w:r>
              <w:t xml:space="preserve">, no </w:t>
            </w:r>
            <w:r>
              <w:rPr>
                <w:i/>
              </w:rPr>
              <w:t>in vivo</w:t>
            </w:r>
            <w:r>
              <w:t xml:space="preserve"> studies presented</w:t>
            </w:r>
          </w:p>
          <w:p w14:paraId="168A9315" w14:textId="77777777" w:rsidR="00FB46BA" w:rsidRDefault="002E7F59" w:rsidP="00FB46BA">
            <w:pPr>
              <w:pStyle w:val="Tabletextprimarysource"/>
              <w:numPr>
                <w:ilvl w:val="0"/>
                <w:numId w:val="1"/>
              </w:numPr>
            </w:pPr>
            <w:r>
              <w:t xml:space="preserve">Administration </w:t>
            </w:r>
            <w:r w:rsidRPr="00DD701C">
              <w:rPr>
                <w:i/>
              </w:rPr>
              <w:t>via</w:t>
            </w:r>
            <w:r>
              <w:t xml:space="preserve"> intramuscular injection yielded negative results in carcinogenicity study with rats (no further information provided).</w:t>
            </w:r>
          </w:p>
          <w:p w14:paraId="0A722260" w14:textId="10EAB0BA" w:rsidR="00DD701C" w:rsidRPr="00DA352E" w:rsidRDefault="00DD701C" w:rsidP="00DD701C">
            <w:pPr>
              <w:pStyle w:val="Tabletextprimarysource"/>
            </w:pPr>
          </w:p>
        </w:tc>
      </w:tr>
      <w:tr w:rsidR="00C978F0" w:rsidRPr="00DA352E" w14:paraId="43F9037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928B5B" w14:textId="2EFB383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226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722607">
                  <w:t>NA</w:t>
                </w:r>
              </w:sdtContent>
            </w:sdt>
          </w:p>
        </w:tc>
      </w:tr>
      <w:tr w:rsidR="00C978F0" w:rsidRPr="00DA352E" w14:paraId="76ACE96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06CB2A" w14:textId="35341B81" w:rsidR="00C978F0" w:rsidRPr="00DA352E" w:rsidRDefault="00722607" w:rsidP="003365A5">
            <w:pPr>
              <w:pStyle w:val="Tabletextprimarysource"/>
            </w:pPr>
            <w:r>
              <w:t>No report</w:t>
            </w:r>
            <w:r w:rsidR="00F23DCE">
              <w:t>.</w:t>
            </w:r>
          </w:p>
        </w:tc>
      </w:tr>
      <w:tr w:rsidR="00DA352E" w:rsidRPr="00DA352E" w14:paraId="692877D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2837B92" w14:textId="19BE4CC6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226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722607">
                  <w:t>NA</w:t>
                </w:r>
              </w:sdtContent>
            </w:sdt>
          </w:p>
        </w:tc>
      </w:tr>
      <w:tr w:rsidR="00DA352E" w:rsidRPr="00DA352E" w14:paraId="3FC2BB3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89565B" w14:textId="27DAFE57" w:rsidR="00DA352E" w:rsidRPr="00DA352E" w:rsidRDefault="00722607" w:rsidP="003365A5">
            <w:pPr>
              <w:pStyle w:val="Tabletextprimarysource"/>
            </w:pPr>
            <w:r>
              <w:t>No report</w:t>
            </w:r>
            <w:r w:rsidR="00F23DCE">
              <w:t>.</w:t>
            </w:r>
          </w:p>
        </w:tc>
      </w:tr>
      <w:tr w:rsidR="00DA352E" w:rsidRPr="00DA352E" w14:paraId="5268C1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945AB6" w14:textId="4F8D3FD5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2260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722607">
                  <w:t>NA</w:t>
                </w:r>
              </w:sdtContent>
            </w:sdt>
          </w:p>
        </w:tc>
      </w:tr>
      <w:tr w:rsidR="00DA352E" w:rsidRPr="00DA352E" w14:paraId="01C4CB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C1D2E8" w14:textId="3996EAC7" w:rsidR="00DA352E" w:rsidRPr="00DA352E" w:rsidRDefault="00722607" w:rsidP="003365A5">
            <w:pPr>
              <w:pStyle w:val="Tabletextprimarysource"/>
            </w:pPr>
            <w:r>
              <w:t>No report</w:t>
            </w:r>
            <w:r w:rsidR="00F23DCE">
              <w:t>.</w:t>
            </w:r>
          </w:p>
        </w:tc>
      </w:tr>
    </w:tbl>
    <w:p w14:paraId="75D0EF8F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9072" w:type="dxa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895"/>
        <w:gridCol w:w="374"/>
        <w:gridCol w:w="661"/>
        <w:gridCol w:w="7142"/>
      </w:tblGrid>
      <w:tr w:rsidR="004966BF" w:rsidRPr="00263255" w14:paraId="3D124156" w14:textId="77777777" w:rsidTr="006C3317">
        <w:trPr>
          <w:trHeight w:val="393"/>
          <w:tblHeader/>
        </w:trPr>
        <w:tc>
          <w:tcPr>
            <w:tcW w:w="895" w:type="dxa"/>
            <w:shd w:val="clear" w:color="auto" w:fill="BFBFBF" w:themeFill="background1" w:themeFillShade="BF"/>
            <w:vAlign w:val="center"/>
          </w:tcPr>
          <w:p w14:paraId="6B83295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374" w:type="dxa"/>
            <w:shd w:val="clear" w:color="auto" w:fill="BFBFBF" w:themeFill="background1" w:themeFillShade="BF"/>
            <w:vAlign w:val="center"/>
          </w:tcPr>
          <w:p w14:paraId="21D546F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E106EA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7142" w:type="dxa"/>
            <w:shd w:val="clear" w:color="auto" w:fill="BFBFBF" w:themeFill="background1" w:themeFillShade="BF"/>
            <w:vAlign w:val="center"/>
          </w:tcPr>
          <w:p w14:paraId="2771353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E687590" w14:textId="77777777" w:rsidTr="006C3317">
        <w:tc>
          <w:tcPr>
            <w:tcW w:w="895" w:type="dxa"/>
          </w:tcPr>
          <w:p w14:paraId="0061645A" w14:textId="77777777" w:rsidR="004966BF" w:rsidRPr="004C23F4" w:rsidRDefault="004966BF" w:rsidP="00224EE2">
            <w:pPr>
              <w:pStyle w:val="Tablefont"/>
            </w:pPr>
            <w:r>
              <w:t>HSE</w:t>
            </w:r>
          </w:p>
        </w:tc>
        <w:tc>
          <w:tcPr>
            <w:tcW w:w="374" w:type="dxa"/>
          </w:tcPr>
          <w:p w14:paraId="33537796" w14:textId="5D8F8B49" w:rsidR="004966BF" w:rsidRPr="00CE617F" w:rsidRDefault="00A038D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382551732"/>
                <w:placeholder>
                  <w:docPart w:val="8DD754E365844A4E82EC69A07E22962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40064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41F7363" w14:textId="043115DE" w:rsidR="004966BF" w:rsidRPr="004C23F4" w:rsidRDefault="0040064A" w:rsidP="00717D45">
            <w:pPr>
              <w:pStyle w:val="Tablefont"/>
            </w:pPr>
            <w:r>
              <w:t>2002</w:t>
            </w:r>
          </w:p>
        </w:tc>
        <w:tc>
          <w:tcPr>
            <w:tcW w:w="7142" w:type="dxa"/>
          </w:tcPr>
          <w:p w14:paraId="659A602C" w14:textId="3E0A733A" w:rsidR="004966BF" w:rsidRPr="004C23F4" w:rsidRDefault="0040064A" w:rsidP="00AA06D9">
            <w:pPr>
              <w:pStyle w:val="ListBullet"/>
              <w:ind w:firstLine="10"/>
            </w:pPr>
            <w:r>
              <w:t xml:space="preserve">TWA: </w:t>
            </w:r>
            <w:r w:rsidRPr="0040064A">
              <w:t>5 ppm (27 mg/m</w:t>
            </w:r>
            <w:r w:rsidRPr="005053DF">
              <w:rPr>
                <w:vertAlign w:val="superscript"/>
              </w:rPr>
              <w:t>3</w:t>
            </w:r>
            <w:r w:rsidRPr="0040064A">
              <w:t>)</w:t>
            </w:r>
            <w:r w:rsidR="00AA06D9">
              <w:t>.</w:t>
            </w:r>
          </w:p>
        </w:tc>
      </w:tr>
      <w:tr w:rsidR="004966BF" w:rsidRPr="004C23F4" w14:paraId="7B4EBCDA" w14:textId="77777777" w:rsidTr="006C3317">
        <w:tc>
          <w:tcPr>
            <w:tcW w:w="895" w:type="dxa"/>
          </w:tcPr>
          <w:p w14:paraId="471F4CDF" w14:textId="28ABE8D5" w:rsidR="004966BF" w:rsidRPr="004C23F4" w:rsidRDefault="004966BF" w:rsidP="00224EE2">
            <w:pPr>
              <w:pStyle w:val="Tablefont"/>
            </w:pPr>
            <w:r>
              <w:t>NTP</w:t>
            </w:r>
          </w:p>
        </w:tc>
        <w:tc>
          <w:tcPr>
            <w:tcW w:w="374" w:type="dxa"/>
          </w:tcPr>
          <w:p w14:paraId="16D4EB91" w14:textId="3364CAE5" w:rsidR="004966BF" w:rsidRPr="00CE617F" w:rsidRDefault="00A038D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0599BE4318CD4CC0836196E577CC292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9464A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15DEA61" w14:textId="4EA4C419" w:rsidR="004966BF" w:rsidRPr="004C23F4" w:rsidRDefault="009464A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1990</w:t>
            </w:r>
          </w:p>
        </w:tc>
        <w:tc>
          <w:tcPr>
            <w:tcW w:w="7142" w:type="dxa"/>
          </w:tcPr>
          <w:p w14:paraId="3C158C19" w14:textId="38C01611" w:rsidR="004966BF" w:rsidRDefault="0040064A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Structurally related dicyclopentadiene dioxide </w:t>
            </w:r>
            <w:r w:rsidR="00C5544A">
              <w:rPr>
                <w:rStyle w:val="checkbox"/>
                <w:rFonts w:ascii="Arial" w:hAnsi="Arial" w:cs="Arial"/>
              </w:rPr>
              <w:t>non-tumorigenic in skin painting study with mice</w:t>
            </w:r>
          </w:p>
          <w:p w14:paraId="005EA0D1" w14:textId="7FCBFA3E" w:rsidR="00C5544A" w:rsidRDefault="00B33FEC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Workplace exposure </w:t>
            </w:r>
            <w:r w:rsidR="005B3D20">
              <w:rPr>
                <w:rStyle w:val="checkbox"/>
                <w:rFonts w:ascii="Arial" w:hAnsi="Arial" w:cs="Arial"/>
              </w:rPr>
              <w:t>studies estimate 1,122 worker</w:t>
            </w:r>
            <w:r w:rsidR="00D35407">
              <w:rPr>
                <w:rStyle w:val="checkbox"/>
                <w:rFonts w:ascii="Arial" w:hAnsi="Arial" w:cs="Arial"/>
              </w:rPr>
              <w:t>s</w:t>
            </w:r>
            <w:r w:rsidR="005B3D20">
              <w:rPr>
                <w:rStyle w:val="checkbox"/>
                <w:rFonts w:ascii="Arial" w:hAnsi="Arial" w:cs="Arial"/>
              </w:rPr>
              <w:t xml:space="preserve"> (incl. 85 females) potentially exposed between 1981</w:t>
            </w:r>
            <w:r w:rsidR="001A37B8">
              <w:rPr>
                <w:rStyle w:val="checkbox"/>
                <w:rFonts w:ascii="Arial" w:hAnsi="Arial" w:cs="Arial"/>
              </w:rPr>
              <w:t>–</w:t>
            </w:r>
            <w:r w:rsidR="005B3D20">
              <w:rPr>
                <w:rStyle w:val="checkbox"/>
                <w:rFonts w:ascii="Arial" w:hAnsi="Arial" w:cs="Arial"/>
              </w:rPr>
              <w:t>1983 (no further information provided)</w:t>
            </w:r>
          </w:p>
          <w:p w14:paraId="757D4C0F" w14:textId="70A798D6" w:rsidR="00C5544A" w:rsidRDefault="00C5544A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Wildlife officers accidentally exposed to unknown concentration </w:t>
            </w:r>
            <w:r w:rsidR="00B50204">
              <w:rPr>
                <w:rStyle w:val="checkbox"/>
                <w:rFonts w:ascii="Arial" w:hAnsi="Arial" w:cs="Arial"/>
              </w:rPr>
              <w:t xml:space="preserve">experienced eye and </w:t>
            </w:r>
            <w:r>
              <w:rPr>
                <w:rStyle w:val="checkbox"/>
                <w:rFonts w:ascii="Arial" w:hAnsi="Arial" w:cs="Arial"/>
              </w:rPr>
              <w:t>throat irritation, and headaches</w:t>
            </w:r>
          </w:p>
          <w:p w14:paraId="1BA0EB06" w14:textId="2AF072C7" w:rsidR="00B33FEC" w:rsidRDefault="00B33FEC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Sub</w:t>
            </w:r>
            <w:r w:rsidR="00CC0033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 xml:space="preserve">chronic inhalation study with exposure groups 20, 47, and </w:t>
            </w:r>
            <w:r w:rsidR="00CC0033">
              <w:rPr>
                <w:rStyle w:val="checkbox"/>
                <w:rFonts w:ascii="Arial" w:hAnsi="Arial" w:cs="Arial"/>
              </w:rPr>
              <w:t>72 </w:t>
            </w:r>
            <w:r>
              <w:rPr>
                <w:rStyle w:val="checkbox"/>
                <w:rFonts w:ascii="Arial" w:hAnsi="Arial" w:cs="Arial"/>
              </w:rPr>
              <w:t>ppm (dogs, n=1/group, 89 d) reported:</w:t>
            </w:r>
          </w:p>
          <w:p w14:paraId="7D6DDF80" w14:textId="039B4669" w:rsidR="00B33FEC" w:rsidRDefault="00D50F40" w:rsidP="006C3317">
            <w:pPr>
              <w:pStyle w:val="Tabletextprimarysource"/>
              <w:numPr>
                <w:ilvl w:val="1"/>
                <w:numId w:val="1"/>
              </w:numPr>
              <w:ind w:left="1221" w:hanging="426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lastRenderedPageBreak/>
              <w:t>d</w:t>
            </w:r>
            <w:r w:rsidR="00D35407">
              <w:rPr>
                <w:rStyle w:val="checkbox"/>
                <w:rFonts w:ascii="Arial" w:hAnsi="Arial" w:cs="Arial"/>
              </w:rPr>
              <w:t>iarrhoea</w:t>
            </w:r>
            <w:r w:rsidR="00B33FEC">
              <w:rPr>
                <w:rStyle w:val="checkbox"/>
                <w:rFonts w:ascii="Arial" w:hAnsi="Arial" w:cs="Arial"/>
              </w:rPr>
              <w:t xml:space="preserve"> </w:t>
            </w:r>
            <w:r w:rsidR="00CC0033">
              <w:rPr>
                <w:rStyle w:val="checkbox"/>
                <w:rFonts w:ascii="Arial" w:hAnsi="Arial" w:cs="Arial"/>
              </w:rPr>
              <w:t xml:space="preserve">at </w:t>
            </w:r>
            <w:r w:rsidR="00B33FEC">
              <w:rPr>
                <w:rStyle w:val="checkbox"/>
                <w:rFonts w:ascii="Arial" w:hAnsi="Arial" w:cs="Arial"/>
              </w:rPr>
              <w:t>20</w:t>
            </w:r>
            <w:r w:rsidR="001A37B8">
              <w:rPr>
                <w:rStyle w:val="checkbox"/>
                <w:rFonts w:ascii="Arial" w:hAnsi="Arial" w:cs="Arial"/>
              </w:rPr>
              <w:t xml:space="preserve"> </w:t>
            </w:r>
            <w:r w:rsidR="00B33FEC">
              <w:rPr>
                <w:rStyle w:val="checkbox"/>
                <w:rFonts w:ascii="Arial" w:hAnsi="Arial" w:cs="Arial"/>
              </w:rPr>
              <w:t>ppm; diarrh</w:t>
            </w:r>
            <w:r w:rsidR="00D35407">
              <w:rPr>
                <w:rStyle w:val="checkbox"/>
                <w:rFonts w:ascii="Arial" w:hAnsi="Arial" w:cs="Arial"/>
              </w:rPr>
              <w:t>o</w:t>
            </w:r>
            <w:r w:rsidR="00B33FEC">
              <w:rPr>
                <w:rStyle w:val="checkbox"/>
                <w:rFonts w:ascii="Arial" w:hAnsi="Arial" w:cs="Arial"/>
              </w:rPr>
              <w:t>ea and salivation</w:t>
            </w:r>
            <w:r w:rsidR="006D4A45">
              <w:rPr>
                <w:rStyle w:val="checkbox"/>
                <w:rFonts w:ascii="Arial" w:hAnsi="Arial" w:cs="Arial"/>
              </w:rPr>
              <w:t xml:space="preserve"> at </w:t>
            </w:r>
            <w:r w:rsidR="00B33FEC">
              <w:rPr>
                <w:rStyle w:val="checkbox"/>
                <w:rFonts w:ascii="Arial" w:hAnsi="Arial" w:cs="Arial"/>
              </w:rPr>
              <w:t>47</w:t>
            </w:r>
            <w:r w:rsidR="001A37B8">
              <w:rPr>
                <w:rStyle w:val="checkbox"/>
                <w:rFonts w:ascii="Arial" w:hAnsi="Arial" w:cs="Arial"/>
              </w:rPr>
              <w:t xml:space="preserve"> </w:t>
            </w:r>
            <w:r w:rsidR="00B33FEC">
              <w:rPr>
                <w:rStyle w:val="checkbox"/>
                <w:rFonts w:ascii="Arial" w:hAnsi="Arial" w:cs="Arial"/>
              </w:rPr>
              <w:t xml:space="preserve">ppm </w:t>
            </w:r>
          </w:p>
          <w:p w14:paraId="02B145EC" w14:textId="608423CC" w:rsidR="00B33FEC" w:rsidRDefault="00D50F40" w:rsidP="006C3317">
            <w:pPr>
              <w:pStyle w:val="Tabletextprimarysource"/>
              <w:numPr>
                <w:ilvl w:val="1"/>
                <w:numId w:val="1"/>
              </w:numPr>
              <w:ind w:left="1221" w:hanging="426"/>
              <w:rPr>
                <w:rStyle w:val="checkbox"/>
                <w:rFonts w:ascii="Arial" w:hAnsi="Arial" w:cs="Arial"/>
              </w:rPr>
            </w:pPr>
            <w:r>
              <w:t>i</w:t>
            </w:r>
            <w:r w:rsidR="00B33FEC" w:rsidRPr="006C3317">
              <w:t>nactivity</w:t>
            </w:r>
            <w:r w:rsidR="00B33FEC">
              <w:rPr>
                <w:rStyle w:val="checkbox"/>
                <w:rFonts w:ascii="Arial" w:hAnsi="Arial" w:cs="Arial"/>
              </w:rPr>
              <w:t xml:space="preserve"> </w:t>
            </w:r>
            <w:r w:rsidR="00CC0033">
              <w:rPr>
                <w:rStyle w:val="checkbox"/>
                <w:rFonts w:ascii="Arial" w:hAnsi="Arial" w:cs="Arial"/>
              </w:rPr>
              <w:t>at</w:t>
            </w:r>
            <w:r w:rsidR="00B33FEC">
              <w:rPr>
                <w:rStyle w:val="checkbox"/>
                <w:rFonts w:ascii="Arial" w:hAnsi="Arial" w:cs="Arial"/>
              </w:rPr>
              <w:t xml:space="preserve"> 72-ppm </w:t>
            </w:r>
          </w:p>
          <w:p w14:paraId="0AF53068" w14:textId="3F40ED1B" w:rsidR="00B33FEC" w:rsidRPr="004C23F4" w:rsidRDefault="00B33FEC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NOAEL of 8.9</w:t>
            </w:r>
            <w:r w:rsidR="001A37B8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23.5 ppm for altered blood biochemical markers in sub</w:t>
            </w:r>
            <w:r w:rsidR="00CC0033">
              <w:rPr>
                <w:rStyle w:val="checkbox"/>
                <w:rFonts w:ascii="Arial" w:hAnsi="Arial" w:cs="Arial"/>
              </w:rPr>
              <w:t>-</w:t>
            </w:r>
            <w:r>
              <w:rPr>
                <w:rStyle w:val="checkbox"/>
                <w:rFonts w:ascii="Arial" w:hAnsi="Arial" w:cs="Arial"/>
              </w:rPr>
              <w:t>chronic inhalation study with dogs also cited in ACGIH (2018)</w:t>
            </w:r>
            <w:r w:rsidR="001A37B8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6398ED4A" w14:textId="77777777" w:rsidTr="006C3317">
        <w:tc>
          <w:tcPr>
            <w:tcW w:w="895" w:type="dxa"/>
          </w:tcPr>
          <w:p w14:paraId="38AB3076" w14:textId="58135B28" w:rsidR="004966BF" w:rsidRPr="004C23F4" w:rsidRDefault="004966BF" w:rsidP="00224EE2">
            <w:pPr>
              <w:pStyle w:val="Tablefont"/>
            </w:pPr>
            <w:r>
              <w:lastRenderedPageBreak/>
              <w:t>OECD</w:t>
            </w:r>
          </w:p>
        </w:tc>
        <w:tc>
          <w:tcPr>
            <w:tcW w:w="374" w:type="dxa"/>
          </w:tcPr>
          <w:p w14:paraId="1A6EF21D" w14:textId="353397A7" w:rsidR="004966BF" w:rsidRPr="00CE617F" w:rsidRDefault="00A038D3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387C7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D4B14CF" w14:textId="1C309A78" w:rsidR="004966BF" w:rsidRPr="004C23F4" w:rsidRDefault="00387C7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1998</w:t>
            </w:r>
          </w:p>
        </w:tc>
        <w:tc>
          <w:tcPr>
            <w:tcW w:w="7142" w:type="dxa"/>
          </w:tcPr>
          <w:p w14:paraId="6C39158F" w14:textId="326D4314" w:rsidR="00F439B4" w:rsidRDefault="00F439B4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Slight to moderate eye irritation estimated at exposure </w:t>
            </w:r>
            <w:r w:rsidR="00B50204">
              <w:rPr>
                <w:rStyle w:val="checkbox"/>
                <w:rFonts w:ascii="Arial" w:hAnsi="Arial" w:cs="Arial"/>
              </w:rPr>
              <w:t>(</w:t>
            </w:r>
            <w:r w:rsidR="001A37B8">
              <w:rPr>
                <w:rStyle w:val="checkbox"/>
                <w:rFonts w:ascii="Arial" w:hAnsi="Arial" w:cs="Arial"/>
              </w:rPr>
              <w:t xml:space="preserve">500 </w:t>
            </w:r>
            <w:r w:rsidR="00B50204">
              <w:rPr>
                <w:rStyle w:val="checkbox"/>
                <w:rFonts w:ascii="Arial" w:hAnsi="Arial" w:cs="Arial"/>
              </w:rPr>
              <w:t xml:space="preserve">mg, </w:t>
            </w:r>
            <w:r>
              <w:rPr>
                <w:rStyle w:val="checkbox"/>
                <w:rFonts w:ascii="Arial" w:hAnsi="Arial" w:cs="Arial"/>
              </w:rPr>
              <w:t>24</w:t>
            </w:r>
            <w:r w:rsidR="001A37B8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h</w:t>
            </w:r>
            <w:r w:rsidR="00D63404">
              <w:rPr>
                <w:rStyle w:val="checkbox"/>
                <w:rFonts w:ascii="Arial" w:hAnsi="Arial" w:cs="Arial"/>
              </w:rPr>
              <w:t xml:space="preserve">, humans; </w:t>
            </w:r>
            <w:r>
              <w:rPr>
                <w:rStyle w:val="checkbox"/>
                <w:rFonts w:ascii="Arial" w:hAnsi="Arial" w:cs="Arial"/>
              </w:rPr>
              <w:t>no further information provided)</w:t>
            </w:r>
          </w:p>
          <w:p w14:paraId="79A4F2E2" w14:textId="7598ABB8" w:rsidR="00387C7E" w:rsidRPr="00387C7E" w:rsidRDefault="00387C7E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Average atmospheric concentrations at two production plants was 2.3</w:t>
            </w:r>
            <w:r w:rsidR="00CC0033">
              <w:rPr>
                <w:rStyle w:val="checkbox"/>
                <w:rFonts w:ascii="Arial" w:hAnsi="Arial" w:cs="Arial"/>
              </w:rPr>
              <w:t> </w:t>
            </w:r>
            <w:r>
              <w:rPr>
                <w:rStyle w:val="checkbox"/>
                <w:rFonts w:ascii="Arial" w:hAnsi="Arial" w:cs="Arial"/>
              </w:rPr>
              <w:t>ppm (12.9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); workers estimated to be potentially exposed to 0.94 mg/kg/d intermittently over ≈1.5 h/d</w:t>
            </w:r>
            <w:r w:rsidRPr="00387C7E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</w:rPr>
              <w:t xml:space="preserve"> which was considered acceptable</w:t>
            </w:r>
          </w:p>
          <w:p w14:paraId="190290A1" w14:textId="39BF441E" w:rsidR="00F439B4" w:rsidRDefault="00F439B4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Combined repeat dose reproductive study with exposure groups of 4, 20, 100 mg/kg/d (rats, </w:t>
            </w:r>
            <w:r w:rsidR="00A24CAD">
              <w:rPr>
                <w:rStyle w:val="checkbox"/>
                <w:rFonts w:ascii="Arial" w:hAnsi="Arial" w:cs="Arial"/>
              </w:rPr>
              <w:t>duration not specified); exposure caused histopathological changes to livers and kidneys</w:t>
            </w:r>
          </w:p>
          <w:p w14:paraId="68D2E757" w14:textId="0507395C" w:rsidR="00A24CAD" w:rsidRDefault="00A24CAD" w:rsidP="006C3317">
            <w:pPr>
              <w:pStyle w:val="Tabletextprimarysource"/>
              <w:numPr>
                <w:ilvl w:val="1"/>
                <w:numId w:val="1"/>
              </w:numPr>
              <w:ind w:left="1221" w:hanging="426"/>
              <w:rPr>
                <w:rStyle w:val="checkbox"/>
                <w:rFonts w:ascii="Arial" w:hAnsi="Arial" w:cs="Arial"/>
              </w:rPr>
            </w:pPr>
            <w:r w:rsidRPr="006C3317">
              <w:t>NOEL</w:t>
            </w:r>
            <w:r>
              <w:rPr>
                <w:rStyle w:val="checkbox"/>
                <w:rFonts w:ascii="Arial" w:hAnsi="Arial" w:cs="Arial"/>
              </w:rPr>
              <w:t>: 4 mg/kg/d (males), 20 mg/kg/d (females)</w:t>
            </w:r>
          </w:p>
          <w:p w14:paraId="571DC1DA" w14:textId="7A418835" w:rsidR="00A24CAD" w:rsidRDefault="00A24CAD" w:rsidP="006C3317">
            <w:pPr>
              <w:pStyle w:val="Tabletextprimarysource"/>
              <w:numPr>
                <w:ilvl w:val="1"/>
                <w:numId w:val="1"/>
              </w:numPr>
              <w:ind w:left="1221" w:hanging="426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LOEL: </w:t>
            </w:r>
            <w:r w:rsidRPr="006C3317">
              <w:t>20</w:t>
            </w:r>
            <w:r>
              <w:rPr>
                <w:rStyle w:val="checkbox"/>
                <w:rFonts w:ascii="Arial" w:hAnsi="Arial" w:cs="Arial"/>
              </w:rPr>
              <w:t xml:space="preserve"> mg/kg/d (males), 100 mg/kg/d (females)</w:t>
            </w:r>
          </w:p>
          <w:p w14:paraId="319085FF" w14:textId="59B5BB68" w:rsidR="004671F1" w:rsidRDefault="00CC0033" w:rsidP="006C3317">
            <w:pPr>
              <w:pStyle w:val="Tablefont"/>
              <w:numPr>
                <w:ilvl w:val="0"/>
                <w:numId w:val="1"/>
              </w:numPr>
              <w:spacing w:before="60" w:after="60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="00A24CAD">
              <w:rPr>
                <w:rStyle w:val="checkbox"/>
                <w:rFonts w:ascii="Arial" w:hAnsi="Arial" w:cs="Arial"/>
              </w:rPr>
              <w:t xml:space="preserve">imilar toxic endpoints </w:t>
            </w:r>
            <w:r w:rsidR="006D4A45">
              <w:rPr>
                <w:rStyle w:val="checkbox"/>
                <w:rFonts w:ascii="Arial" w:hAnsi="Arial" w:cs="Arial"/>
              </w:rPr>
              <w:t>was r</w:t>
            </w:r>
            <w:r w:rsidRPr="006D4A45">
              <w:rPr>
                <w:rStyle w:val="checkbox"/>
                <w:rFonts w:ascii="Arial" w:hAnsi="Arial" w:cs="Arial"/>
              </w:rPr>
              <w:t>eported</w:t>
            </w:r>
            <w:r w:rsidR="006D4A45">
              <w:rPr>
                <w:rStyle w:val="checkbox"/>
                <w:rFonts w:ascii="Arial" w:hAnsi="Arial" w:cs="Arial"/>
              </w:rPr>
              <w:t xml:space="preserve"> in an </w:t>
            </w:r>
            <w:r w:rsidRPr="006D4A45">
              <w:rPr>
                <w:rStyle w:val="checkbox"/>
                <w:rFonts w:ascii="Arial" w:hAnsi="Arial" w:cs="Arial"/>
              </w:rPr>
              <w:t>inhalational study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="00A24CAD">
              <w:rPr>
                <w:rStyle w:val="checkbox"/>
                <w:rFonts w:ascii="Arial" w:hAnsi="Arial" w:cs="Arial"/>
              </w:rPr>
              <w:t>(rats, 6</w:t>
            </w:r>
            <w:r w:rsidR="00D63404">
              <w:rPr>
                <w:rStyle w:val="checkbox"/>
                <w:rFonts w:ascii="Arial" w:hAnsi="Arial" w:cs="Arial"/>
              </w:rPr>
              <w:t> </w:t>
            </w:r>
            <w:r w:rsidR="00A24CAD">
              <w:rPr>
                <w:rStyle w:val="checkbox"/>
                <w:rFonts w:ascii="Arial" w:hAnsi="Arial" w:cs="Arial"/>
              </w:rPr>
              <w:t xml:space="preserve">h/d, 13 wk); kidney toxicity results from rat-specific metabolism </w:t>
            </w:r>
          </w:p>
          <w:p w14:paraId="346A0D9C" w14:textId="7D4E5F03" w:rsidR="004671F1" w:rsidRPr="00387C7E" w:rsidRDefault="00A24CAD" w:rsidP="006C3317">
            <w:pPr>
              <w:pStyle w:val="Tabletextprimarysource"/>
              <w:numPr>
                <w:ilvl w:val="1"/>
                <w:numId w:val="1"/>
              </w:numPr>
              <w:ind w:left="1221" w:hanging="426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NOAEL: 50 ppm</w:t>
            </w:r>
            <w:r w:rsidR="00387C7E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2F9A827A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7BDAC30E" w14:textId="77777777" w:rsidTr="009464A9">
        <w:trPr>
          <w:trHeight w:val="454"/>
          <w:tblHeader/>
        </w:trPr>
        <w:tc>
          <w:tcPr>
            <w:tcW w:w="6597" w:type="dxa"/>
            <w:vAlign w:val="center"/>
          </w:tcPr>
          <w:p w14:paraId="558C4DC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2907B67" w14:textId="5D7B2BF8" w:rsidR="002E0D61" w:rsidRDefault="009464A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79C8D17" w14:textId="77777777" w:rsidTr="009464A9">
        <w:trPr>
          <w:trHeight w:val="454"/>
        </w:trPr>
        <w:tc>
          <w:tcPr>
            <w:tcW w:w="6597" w:type="dxa"/>
            <w:vAlign w:val="center"/>
          </w:tcPr>
          <w:p w14:paraId="1279E97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9FE9B66" w14:textId="2541DD69" w:rsidR="008A36CF" w:rsidRDefault="009464A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DD701C" w14:paraId="5E2B16AD" w14:textId="77777777" w:rsidTr="009A0F3E">
        <w:trPr>
          <w:trHeight w:val="454"/>
        </w:trPr>
        <w:sdt>
          <w:sdtPr>
            <w:rPr>
              <w:b/>
            </w:rPr>
            <w:id w:val="1830936485"/>
            <w:placeholder>
              <w:docPart w:val="51201496489F41EC8CD1BB7C423012C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007330FD" w14:textId="6C9C7E0E" w:rsidR="00DD701C" w:rsidRDefault="00DD701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24C5D5C1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3B9F06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4A6126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21D93C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3A010D4" w14:textId="77777777" w:rsidTr="00812887">
        <w:trPr>
          <w:cantSplit/>
        </w:trPr>
        <w:tc>
          <w:tcPr>
            <w:tcW w:w="3227" w:type="dxa"/>
          </w:tcPr>
          <w:p w14:paraId="4F48C6C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5FFDBCD" w14:textId="686CB1A8" w:rsidR="00687890" w:rsidRPr="00DD2F9B" w:rsidRDefault="00DD611E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51AF758E" w14:textId="77777777" w:rsidTr="00812887">
        <w:trPr>
          <w:cantSplit/>
        </w:trPr>
        <w:tc>
          <w:tcPr>
            <w:tcW w:w="3227" w:type="dxa"/>
          </w:tcPr>
          <w:p w14:paraId="1EB2683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D53C4BE" w14:textId="442E48F2" w:rsidR="007925F0" w:rsidRPr="00DD2F9B" w:rsidRDefault="00DD611E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A422715" w14:textId="77777777" w:rsidTr="00812887">
        <w:trPr>
          <w:cantSplit/>
        </w:trPr>
        <w:tc>
          <w:tcPr>
            <w:tcW w:w="3227" w:type="dxa"/>
          </w:tcPr>
          <w:p w14:paraId="533D9BD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D900CA6" w14:textId="72DF5E13" w:rsidR="00AF483F" w:rsidRPr="00DD2F9B" w:rsidRDefault="00FF2C13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4EE8CA0A" w14:textId="77777777" w:rsidTr="00812887">
        <w:trPr>
          <w:cantSplit/>
        </w:trPr>
        <w:tc>
          <w:tcPr>
            <w:tcW w:w="3227" w:type="dxa"/>
          </w:tcPr>
          <w:p w14:paraId="76E1FDF5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56D89C16" w14:textId="4BBEC5E5" w:rsidR="00687890" w:rsidRPr="00DD2F9B" w:rsidRDefault="0072260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C3627AC" w14:textId="77777777" w:rsidTr="00812887">
        <w:trPr>
          <w:cantSplit/>
        </w:trPr>
        <w:tc>
          <w:tcPr>
            <w:tcW w:w="3227" w:type="dxa"/>
          </w:tcPr>
          <w:p w14:paraId="539BB78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17DB897C" w14:textId="2380F5DA" w:rsidR="00E41A26" w:rsidRPr="00DD2F9B" w:rsidRDefault="0072260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4785FC" w14:textId="77777777" w:rsidTr="00812887">
        <w:trPr>
          <w:cantSplit/>
        </w:trPr>
        <w:tc>
          <w:tcPr>
            <w:tcW w:w="3227" w:type="dxa"/>
          </w:tcPr>
          <w:p w14:paraId="249CD23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F3974ED" w14:textId="3B3CA6C3" w:rsidR="002E0D61" w:rsidRPr="00DD2F9B" w:rsidRDefault="00DD611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1FF303D" w14:textId="77777777" w:rsidTr="00812887">
        <w:trPr>
          <w:cantSplit/>
        </w:trPr>
        <w:tc>
          <w:tcPr>
            <w:tcW w:w="3227" w:type="dxa"/>
          </w:tcPr>
          <w:p w14:paraId="34EBDEE0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57D21868" w14:textId="763CAC4A" w:rsidR="002E0D61" w:rsidRPr="00DD2F9B" w:rsidRDefault="00DD611E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3E724106" w14:textId="77777777" w:rsidTr="00812887">
        <w:trPr>
          <w:cantSplit/>
        </w:trPr>
        <w:tc>
          <w:tcPr>
            <w:tcW w:w="3227" w:type="dxa"/>
          </w:tcPr>
          <w:p w14:paraId="25EA619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BAD9D24" w14:textId="7839EB2D" w:rsidR="002E0D61" w:rsidRPr="00DD2F9B" w:rsidRDefault="00DD611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1DC6888" w14:textId="77777777" w:rsidTr="00812887">
        <w:trPr>
          <w:cantSplit/>
        </w:trPr>
        <w:tc>
          <w:tcPr>
            <w:tcW w:w="3227" w:type="dxa"/>
          </w:tcPr>
          <w:p w14:paraId="40355FF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AAE7571" w14:textId="1C34D09E" w:rsidR="002E0D61" w:rsidRPr="00DD2F9B" w:rsidRDefault="00DD611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50FCFDC" w14:textId="77777777" w:rsidTr="00812887">
        <w:trPr>
          <w:cantSplit/>
        </w:trPr>
        <w:tc>
          <w:tcPr>
            <w:tcW w:w="3227" w:type="dxa"/>
          </w:tcPr>
          <w:p w14:paraId="2FA32C9B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1F3123F" w14:textId="79271152" w:rsidR="00386093" w:rsidRPr="00DD2F9B" w:rsidRDefault="00DD611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049B560F" w14:textId="77777777" w:rsidTr="00812887">
        <w:trPr>
          <w:cantSplit/>
        </w:trPr>
        <w:tc>
          <w:tcPr>
            <w:tcW w:w="3227" w:type="dxa"/>
          </w:tcPr>
          <w:p w14:paraId="4AA5DDA6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8350205" w14:textId="5E0B64C0" w:rsidR="00386093" w:rsidRPr="00DD2F9B" w:rsidRDefault="00DD611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6412190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BB18049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EE71EA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393246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BD6B89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251" w:type="dxa"/>
              <w:tblLook w:val="04A0" w:firstRow="1" w:lastRow="0" w:firstColumn="1" w:lastColumn="0" w:noHBand="0" w:noVBand="1"/>
            </w:tblPr>
            <w:tblGrid>
              <w:gridCol w:w="3658"/>
              <w:gridCol w:w="1085"/>
              <w:gridCol w:w="1085"/>
              <w:gridCol w:w="2982"/>
            </w:tblGrid>
            <w:tr w:rsidR="009426EF" w:rsidRPr="009426EF" w14:paraId="6CA23669" w14:textId="77777777" w:rsidTr="009426EF">
              <w:trPr>
                <w:trHeight w:val="224"/>
              </w:trPr>
              <w:tc>
                <w:tcPr>
                  <w:tcW w:w="3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AD643A" w14:textId="77777777" w:rsidR="009426EF" w:rsidRPr="009426EF" w:rsidRDefault="009426EF" w:rsidP="009426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EAF4CA" w14:textId="77777777" w:rsidR="009426EF" w:rsidRPr="009426EF" w:rsidRDefault="009426EF" w:rsidP="009426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BDC82C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B4EAD8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26EF" w:rsidRPr="009426EF" w14:paraId="14E2FD6A" w14:textId="77777777" w:rsidTr="009426EF">
              <w:trPr>
                <w:trHeight w:val="224"/>
              </w:trPr>
              <w:tc>
                <w:tcPr>
                  <w:tcW w:w="3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0E4119" w14:textId="77777777" w:rsidR="009426EF" w:rsidRPr="009426EF" w:rsidRDefault="009426EF" w:rsidP="009426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E425BD" w14:textId="77777777" w:rsidR="009426EF" w:rsidRPr="009426EF" w:rsidRDefault="009426EF" w:rsidP="009426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888C57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CC6C9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26EF" w:rsidRPr="009426EF" w14:paraId="3ABCC976" w14:textId="77777777" w:rsidTr="009426EF">
              <w:trPr>
                <w:trHeight w:val="224"/>
              </w:trPr>
              <w:tc>
                <w:tcPr>
                  <w:tcW w:w="3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2090AA" w14:textId="77777777" w:rsidR="009426EF" w:rsidRPr="009426EF" w:rsidRDefault="009426EF" w:rsidP="009426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5ABCB2" w14:textId="77777777" w:rsidR="009426EF" w:rsidRPr="009426EF" w:rsidRDefault="009426EF" w:rsidP="009426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05EAED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128674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26EF" w:rsidRPr="009426EF" w14:paraId="6E9AC2BD" w14:textId="77777777" w:rsidTr="009426EF">
              <w:trPr>
                <w:trHeight w:val="224"/>
              </w:trPr>
              <w:tc>
                <w:tcPr>
                  <w:tcW w:w="3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898BFB" w14:textId="77777777" w:rsidR="009426EF" w:rsidRPr="009426EF" w:rsidRDefault="009426EF" w:rsidP="009426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CC0D66" w14:textId="77777777" w:rsidR="009426EF" w:rsidRPr="009426EF" w:rsidRDefault="009426EF" w:rsidP="009426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2AED94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E9136B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26EF" w:rsidRPr="009426EF" w14:paraId="74A45C66" w14:textId="77777777" w:rsidTr="009426EF">
              <w:trPr>
                <w:trHeight w:val="224"/>
              </w:trPr>
              <w:tc>
                <w:tcPr>
                  <w:tcW w:w="3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2DC8D1" w14:textId="77777777" w:rsidR="009426EF" w:rsidRPr="009426EF" w:rsidRDefault="009426EF" w:rsidP="009426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7DD303" w14:textId="77777777" w:rsidR="009426EF" w:rsidRPr="009426EF" w:rsidRDefault="009426EF" w:rsidP="009426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15192C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7362DB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26EF" w:rsidRPr="009426EF" w14:paraId="533F9EFE" w14:textId="77777777" w:rsidTr="009426EF">
              <w:trPr>
                <w:trHeight w:val="224"/>
              </w:trPr>
              <w:tc>
                <w:tcPr>
                  <w:tcW w:w="3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079BB06" w14:textId="77777777" w:rsidR="009426EF" w:rsidRPr="009426EF" w:rsidRDefault="009426EF" w:rsidP="009426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08CCB1" w14:textId="77777777" w:rsidR="009426EF" w:rsidRPr="009426EF" w:rsidRDefault="009426EF" w:rsidP="009426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A17147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837581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9426EF" w:rsidRPr="009426EF" w14:paraId="439D8682" w14:textId="77777777" w:rsidTr="009426EF">
              <w:trPr>
                <w:trHeight w:val="224"/>
              </w:trPr>
              <w:tc>
                <w:tcPr>
                  <w:tcW w:w="38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C35AE7" w14:textId="77777777" w:rsidR="009426EF" w:rsidRPr="009426EF" w:rsidRDefault="009426EF" w:rsidP="009426E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832796" w14:textId="77777777" w:rsidR="009426EF" w:rsidRPr="009426EF" w:rsidRDefault="009426EF" w:rsidP="009426E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926CE7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1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68915E" w14:textId="77777777" w:rsidR="009426EF" w:rsidRPr="009426EF" w:rsidRDefault="009426EF" w:rsidP="009426E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9426EF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</w:tbl>
          <w:p w14:paraId="4390248B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7747FBA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AEC32F0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B54DA9C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1537CEB" w14:textId="7325B47B" w:rsidR="00EB3D1B" w:rsidRDefault="00DD611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26B0CC9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ECCDAC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FD64E9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B90D874" w14:textId="26C5FA59" w:rsidR="001B79E5" w:rsidRDefault="00DD611E" w:rsidP="001B79E5">
                <w:pPr>
                  <w:pStyle w:val="Tablefont"/>
                </w:pPr>
                <w:r w:rsidRPr="00DD611E">
                  <w:t>132.2</w:t>
                </w:r>
                <w:r>
                  <w:t>0</w:t>
                </w:r>
              </w:p>
            </w:tc>
          </w:sdtContent>
        </w:sdt>
      </w:tr>
      <w:tr w:rsidR="00A31D99" w:rsidRPr="004C23F4" w14:paraId="635A8A6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3F272F2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7304F30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69D69EA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37D54F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A31214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14E24B" w14:textId="77777777" w:rsidTr="00EA6243">
        <w:trPr>
          <w:cantSplit/>
        </w:trPr>
        <w:tc>
          <w:tcPr>
            <w:tcW w:w="4077" w:type="dxa"/>
            <w:vAlign w:val="center"/>
          </w:tcPr>
          <w:p w14:paraId="69920C51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2EF657B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58FAC5C" w14:textId="77777777" w:rsidTr="00EA6243">
        <w:trPr>
          <w:cantSplit/>
        </w:trPr>
        <w:tc>
          <w:tcPr>
            <w:tcW w:w="4077" w:type="dxa"/>
            <w:vAlign w:val="center"/>
          </w:tcPr>
          <w:p w14:paraId="1D3A437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F3A2AFA" w14:textId="77F1748B" w:rsidR="00687890" w:rsidRPr="004C23F4" w:rsidRDefault="00D71A8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65199673" w14:textId="77777777" w:rsidTr="00EA6243">
        <w:trPr>
          <w:cantSplit/>
        </w:trPr>
        <w:tc>
          <w:tcPr>
            <w:tcW w:w="4077" w:type="dxa"/>
            <w:vAlign w:val="center"/>
          </w:tcPr>
          <w:p w14:paraId="03D422B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C44590F" w14:textId="77777777" w:rsidR="00E06F40" w:rsidRPr="00A006A0" w:rsidRDefault="00A038D3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1AD995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7C65D19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BDF5C3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2E2899E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0F5DE91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FEE54BB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535832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13682158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CD3D715" w14:textId="7155D32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D0E0795" w14:textId="09A0B195" w:rsidR="00D55BE3" w:rsidRDefault="00D55BE3" w:rsidP="00DD611E">
      <w:r w:rsidRPr="002022B6">
        <w:t>Deutsche Forschungsgemeinschaft (DFG)</w:t>
      </w:r>
      <w:r>
        <w:t xml:space="preserve"> (1991) Dicyclopentadien – MAK value documentation, German language edition.</w:t>
      </w:r>
    </w:p>
    <w:p w14:paraId="04918EA1" w14:textId="49A1ACA7" w:rsidR="00DD611E" w:rsidRDefault="00DD611E" w:rsidP="00DD611E">
      <w:r w:rsidRPr="002022B6">
        <w:t>Deutsche Forschungsgemeinschaft (DFG)</w:t>
      </w:r>
      <w:r w:rsidR="009426EF">
        <w:t xml:space="preserve"> (2000)</w:t>
      </w:r>
      <w:r w:rsidR="00D55BE3">
        <w:t xml:space="preserve"> Dicyclopentadien</w:t>
      </w:r>
      <w:r>
        <w:t xml:space="preserve"> – MAK value documentation</w:t>
      </w:r>
      <w:r w:rsidR="009426EF">
        <w:t>, German language edition</w:t>
      </w:r>
      <w:r>
        <w:t>.</w:t>
      </w:r>
    </w:p>
    <w:p w14:paraId="35C0F718" w14:textId="7EC3F1AA" w:rsidR="00D55BE3" w:rsidRDefault="00D55BE3" w:rsidP="00DD611E">
      <w:r w:rsidRPr="009426EF">
        <w:t>National Toxicology Program (NTP) (</w:t>
      </w:r>
      <w:r>
        <w:t>1990</w:t>
      </w:r>
      <w:r w:rsidRPr="009426EF">
        <w:t xml:space="preserve">) Toxicity Studies of Chitosan (CASRN </w:t>
      </w:r>
      <w:r>
        <w:t>77-73-6</w:t>
      </w:r>
      <w:r w:rsidRPr="009426EF">
        <w:t xml:space="preserve">) </w:t>
      </w:r>
      <w:r>
        <w:t>Executive Summary o</w:t>
      </w:r>
      <w:r w:rsidRPr="009426EF">
        <w:t xml:space="preserve">f Safety </w:t>
      </w:r>
      <w:r>
        <w:t>a</w:t>
      </w:r>
      <w:r w:rsidRPr="009426EF">
        <w:t>nd Toxicity Information Dicyclopentadiene</w:t>
      </w:r>
      <w:r>
        <w:t>.</w:t>
      </w:r>
    </w:p>
    <w:p w14:paraId="29EAD37A" w14:textId="7239FD8D" w:rsidR="009426EF" w:rsidRDefault="009426EF" w:rsidP="00DD611E">
      <w:r w:rsidRPr="009426EF">
        <w:t>Organisation for Economic Cooperation and Development (OECD) (</w:t>
      </w:r>
      <w:r>
        <w:t>1998</w:t>
      </w:r>
      <w:r w:rsidRPr="009426EF">
        <w:t xml:space="preserve">) SIDS initial assessment profile – </w:t>
      </w:r>
      <w:r>
        <w:t>Dicyclopentadiene</w:t>
      </w:r>
      <w:r w:rsidRPr="009426EF">
        <w:t>.</w:t>
      </w:r>
    </w:p>
    <w:p w14:paraId="22D1E87F" w14:textId="26D87317" w:rsidR="00D35407" w:rsidRDefault="00D35407" w:rsidP="00D35407">
      <w:r w:rsidRPr="00D86E03">
        <w:t>UK Health and Safety Executive</w:t>
      </w:r>
      <w:r>
        <w:t xml:space="preserve"> (HSE) (2002) </w:t>
      </w:r>
      <w:r w:rsidRPr="00485AE6">
        <w:t>EH40/2005 Workplace exposure limits</w:t>
      </w:r>
      <w:r>
        <w:t>.</w:t>
      </w:r>
    </w:p>
    <w:p w14:paraId="18BB32CE" w14:textId="50BDE03E" w:rsidR="00387C7E" w:rsidRPr="00351FE0" w:rsidRDefault="00387C7E" w:rsidP="00DD611E"/>
    <w:sectPr w:rsidR="00387C7E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29328" w14:textId="77777777" w:rsidR="005F75E5" w:rsidRDefault="005F75E5" w:rsidP="00F43AD5">
      <w:pPr>
        <w:spacing w:after="0" w:line="240" w:lineRule="auto"/>
      </w:pPr>
      <w:r>
        <w:separator/>
      </w:r>
    </w:p>
  </w:endnote>
  <w:endnote w:type="continuationSeparator" w:id="0">
    <w:p w14:paraId="386DDE90" w14:textId="77777777" w:rsidR="005F75E5" w:rsidRDefault="005F75E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999F7" w14:textId="77777777" w:rsidR="00E812CB" w:rsidRDefault="00E812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6B69670" w14:textId="48B64268" w:rsidR="008A36CF" w:rsidRDefault="002D4860" w:rsidP="0034744C">
        <w:pPr>
          <w:pStyle w:val="Footer"/>
          <w:rPr>
            <w:sz w:val="18"/>
            <w:szCs w:val="18"/>
          </w:rPr>
        </w:pPr>
        <w:r w:rsidRPr="002D4860">
          <w:rPr>
            <w:b/>
            <w:sz w:val="18"/>
            <w:szCs w:val="18"/>
          </w:rPr>
          <w:t>Dicyclopentadiene</w:t>
        </w:r>
        <w:r w:rsidR="008A36CF">
          <w:rPr>
            <w:b/>
            <w:sz w:val="18"/>
            <w:szCs w:val="18"/>
          </w:rPr>
          <w:t xml:space="preserve"> (</w:t>
        </w:r>
        <w:r w:rsidRPr="002D4860">
          <w:rPr>
            <w:b/>
            <w:sz w:val="18"/>
            <w:szCs w:val="18"/>
          </w:rPr>
          <w:t>77-73-6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5B5FD02" w14:textId="4000CEC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E812C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38B4" w14:textId="77777777" w:rsidR="00E812CB" w:rsidRDefault="00E812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C9C111" w14:textId="77777777" w:rsidR="005F75E5" w:rsidRDefault="005F75E5" w:rsidP="00F43AD5">
      <w:pPr>
        <w:spacing w:after="0" w:line="240" w:lineRule="auto"/>
      </w:pPr>
      <w:r>
        <w:separator/>
      </w:r>
    </w:p>
  </w:footnote>
  <w:footnote w:type="continuationSeparator" w:id="0">
    <w:p w14:paraId="65619120" w14:textId="77777777" w:rsidR="005F75E5" w:rsidRDefault="005F75E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CE749" w14:textId="307DA111" w:rsidR="002D4860" w:rsidRDefault="002D486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39FEBB" w14:textId="5E98D2E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719E7" w14:textId="3987F98E" w:rsidR="002D4860" w:rsidRDefault="002D486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98015" w14:textId="5251D085" w:rsidR="006A06B5" w:rsidRDefault="006A06B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3C0D" w14:textId="27B96F16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7CF61" w14:textId="27DFDDEF" w:rsidR="006A06B5" w:rsidRDefault="006A06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50CBF9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2341C9"/>
    <w:multiLevelType w:val="hybridMultilevel"/>
    <w:tmpl w:val="BA409BBA"/>
    <w:lvl w:ilvl="0" w:tplc="B7C21980">
      <w:start w:val="7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1500870">
    <w:abstractNumId w:val="1"/>
  </w:num>
  <w:num w:numId="2" w16cid:durableId="2130783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767BD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272A"/>
    <w:rsid w:val="000E5A54"/>
    <w:rsid w:val="000E63D3"/>
    <w:rsid w:val="000E67CF"/>
    <w:rsid w:val="000F3B31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7B8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3B38"/>
    <w:rsid w:val="0025734A"/>
    <w:rsid w:val="00257392"/>
    <w:rsid w:val="00263255"/>
    <w:rsid w:val="00276494"/>
    <w:rsid w:val="00277B0C"/>
    <w:rsid w:val="002A36E5"/>
    <w:rsid w:val="002B1A2C"/>
    <w:rsid w:val="002C34F2"/>
    <w:rsid w:val="002C58FF"/>
    <w:rsid w:val="002C7AFE"/>
    <w:rsid w:val="002D05D2"/>
    <w:rsid w:val="002D4860"/>
    <w:rsid w:val="002E0D61"/>
    <w:rsid w:val="002E4C7B"/>
    <w:rsid w:val="002E7F59"/>
    <w:rsid w:val="0030740C"/>
    <w:rsid w:val="00315833"/>
    <w:rsid w:val="003215EE"/>
    <w:rsid w:val="003224BF"/>
    <w:rsid w:val="003241A8"/>
    <w:rsid w:val="003253F0"/>
    <w:rsid w:val="00332DAD"/>
    <w:rsid w:val="003337DA"/>
    <w:rsid w:val="00334EFB"/>
    <w:rsid w:val="00335CDE"/>
    <w:rsid w:val="003365A5"/>
    <w:rsid w:val="003439F4"/>
    <w:rsid w:val="00347192"/>
    <w:rsid w:val="0034744C"/>
    <w:rsid w:val="00351FE0"/>
    <w:rsid w:val="00352615"/>
    <w:rsid w:val="0035412B"/>
    <w:rsid w:val="003567A8"/>
    <w:rsid w:val="00362895"/>
    <w:rsid w:val="00370DBF"/>
    <w:rsid w:val="00382A6A"/>
    <w:rsid w:val="00386093"/>
    <w:rsid w:val="00387C7E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064A"/>
    <w:rsid w:val="004030BC"/>
    <w:rsid w:val="00403F7D"/>
    <w:rsid w:val="00406785"/>
    <w:rsid w:val="004079B4"/>
    <w:rsid w:val="00417A56"/>
    <w:rsid w:val="00420957"/>
    <w:rsid w:val="00420ADD"/>
    <w:rsid w:val="00422A10"/>
    <w:rsid w:val="00430179"/>
    <w:rsid w:val="004414B5"/>
    <w:rsid w:val="00441907"/>
    <w:rsid w:val="00444482"/>
    <w:rsid w:val="00444B42"/>
    <w:rsid w:val="00445E44"/>
    <w:rsid w:val="004509E2"/>
    <w:rsid w:val="004515EE"/>
    <w:rsid w:val="004529F0"/>
    <w:rsid w:val="00460A03"/>
    <w:rsid w:val="004671F1"/>
    <w:rsid w:val="00472A11"/>
    <w:rsid w:val="00472AAD"/>
    <w:rsid w:val="00474E33"/>
    <w:rsid w:val="00476803"/>
    <w:rsid w:val="00485BFD"/>
    <w:rsid w:val="004867A2"/>
    <w:rsid w:val="004871F5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3DF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64F3B"/>
    <w:rsid w:val="00581055"/>
    <w:rsid w:val="00591E38"/>
    <w:rsid w:val="00594E83"/>
    <w:rsid w:val="005A19C5"/>
    <w:rsid w:val="005A3034"/>
    <w:rsid w:val="005A462D"/>
    <w:rsid w:val="005B253B"/>
    <w:rsid w:val="005B3D20"/>
    <w:rsid w:val="005B771D"/>
    <w:rsid w:val="005C5D16"/>
    <w:rsid w:val="005D3193"/>
    <w:rsid w:val="005D4A6E"/>
    <w:rsid w:val="005E6979"/>
    <w:rsid w:val="005E75CB"/>
    <w:rsid w:val="005F3BF6"/>
    <w:rsid w:val="005F75E5"/>
    <w:rsid w:val="006013C1"/>
    <w:rsid w:val="0060669E"/>
    <w:rsid w:val="00610F2E"/>
    <w:rsid w:val="00611399"/>
    <w:rsid w:val="006137FE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06B5"/>
    <w:rsid w:val="006B160A"/>
    <w:rsid w:val="006B4E6C"/>
    <w:rsid w:val="006B50B6"/>
    <w:rsid w:val="006C3317"/>
    <w:rsid w:val="006D4A45"/>
    <w:rsid w:val="006D79EA"/>
    <w:rsid w:val="006E5D05"/>
    <w:rsid w:val="006F2E13"/>
    <w:rsid w:val="00701053"/>
    <w:rsid w:val="00701507"/>
    <w:rsid w:val="00714021"/>
    <w:rsid w:val="0071453A"/>
    <w:rsid w:val="00716A0F"/>
    <w:rsid w:val="00717D45"/>
    <w:rsid w:val="007208F7"/>
    <w:rsid w:val="007218AF"/>
    <w:rsid w:val="00722607"/>
    <w:rsid w:val="007365D1"/>
    <w:rsid w:val="00740E0E"/>
    <w:rsid w:val="00750212"/>
    <w:rsid w:val="00754779"/>
    <w:rsid w:val="0075716D"/>
    <w:rsid w:val="00765F14"/>
    <w:rsid w:val="00770E31"/>
    <w:rsid w:val="007770F1"/>
    <w:rsid w:val="00781DC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BDD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26EF"/>
    <w:rsid w:val="00946044"/>
    <w:rsid w:val="009464A9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38D3"/>
    <w:rsid w:val="00A0643F"/>
    <w:rsid w:val="00A067EE"/>
    <w:rsid w:val="00A10FCE"/>
    <w:rsid w:val="00A16D91"/>
    <w:rsid w:val="00A174CC"/>
    <w:rsid w:val="00A2073D"/>
    <w:rsid w:val="00A20751"/>
    <w:rsid w:val="00A24CAD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A06D9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FEC"/>
    <w:rsid w:val="00B40C60"/>
    <w:rsid w:val="00B479A9"/>
    <w:rsid w:val="00B50204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670B"/>
    <w:rsid w:val="00BF2406"/>
    <w:rsid w:val="00C06E43"/>
    <w:rsid w:val="00C16315"/>
    <w:rsid w:val="00C3091E"/>
    <w:rsid w:val="00C40FF1"/>
    <w:rsid w:val="00C419E2"/>
    <w:rsid w:val="00C425F4"/>
    <w:rsid w:val="00C5020E"/>
    <w:rsid w:val="00C5544A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0033"/>
    <w:rsid w:val="00CC1A68"/>
    <w:rsid w:val="00CC2123"/>
    <w:rsid w:val="00CD2BFD"/>
    <w:rsid w:val="00CE0B72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505E"/>
    <w:rsid w:val="00D35407"/>
    <w:rsid w:val="00D44C89"/>
    <w:rsid w:val="00D50F40"/>
    <w:rsid w:val="00D516CD"/>
    <w:rsid w:val="00D55BE3"/>
    <w:rsid w:val="00D5731E"/>
    <w:rsid w:val="00D63404"/>
    <w:rsid w:val="00D668E6"/>
    <w:rsid w:val="00D70670"/>
    <w:rsid w:val="00D71A8E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611E"/>
    <w:rsid w:val="00DD701C"/>
    <w:rsid w:val="00DE13D2"/>
    <w:rsid w:val="00DE2513"/>
    <w:rsid w:val="00DE26E8"/>
    <w:rsid w:val="00DF47B4"/>
    <w:rsid w:val="00DF6F36"/>
    <w:rsid w:val="00E0084C"/>
    <w:rsid w:val="00E025AB"/>
    <w:rsid w:val="00E02B23"/>
    <w:rsid w:val="00E03AC9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12CB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D6EE5"/>
    <w:rsid w:val="00EF233A"/>
    <w:rsid w:val="00EF303E"/>
    <w:rsid w:val="00EF3A40"/>
    <w:rsid w:val="00EF7F78"/>
    <w:rsid w:val="00F01B08"/>
    <w:rsid w:val="00F01C4D"/>
    <w:rsid w:val="00F053FA"/>
    <w:rsid w:val="00F068EB"/>
    <w:rsid w:val="00F10C97"/>
    <w:rsid w:val="00F11C71"/>
    <w:rsid w:val="00F16019"/>
    <w:rsid w:val="00F20E68"/>
    <w:rsid w:val="00F22093"/>
    <w:rsid w:val="00F236DF"/>
    <w:rsid w:val="00F23DCE"/>
    <w:rsid w:val="00F439B4"/>
    <w:rsid w:val="00F43AD5"/>
    <w:rsid w:val="00F4402E"/>
    <w:rsid w:val="00F56DD0"/>
    <w:rsid w:val="00F6491C"/>
    <w:rsid w:val="00F67BBB"/>
    <w:rsid w:val="00F86B1A"/>
    <w:rsid w:val="00F87D92"/>
    <w:rsid w:val="00F90AA7"/>
    <w:rsid w:val="00F92498"/>
    <w:rsid w:val="00F9496B"/>
    <w:rsid w:val="00F970C9"/>
    <w:rsid w:val="00FA06A8"/>
    <w:rsid w:val="00FA3DF5"/>
    <w:rsid w:val="00FA741F"/>
    <w:rsid w:val="00FB46BA"/>
    <w:rsid w:val="00FB4E07"/>
    <w:rsid w:val="00FB755A"/>
    <w:rsid w:val="00FC60A2"/>
    <w:rsid w:val="00FD1871"/>
    <w:rsid w:val="00FD3110"/>
    <w:rsid w:val="00FE74BD"/>
    <w:rsid w:val="00FF2C1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A06D9"/>
    <w:pPr>
      <w:numPr>
        <w:numId w:val="2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64F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4F3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4F3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4F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4F3B"/>
    <w:rPr>
      <w:b/>
      <w:bCs/>
      <w:szCs w:val="20"/>
    </w:rPr>
  </w:style>
  <w:style w:type="paragraph" w:styleId="Revision">
    <w:name w:val="Revision"/>
    <w:hidden/>
    <w:uiPriority w:val="99"/>
    <w:semiHidden/>
    <w:rsid w:val="00594E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77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DD754E365844A4E82EC69A07E2296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4DDB53-9FC4-45A7-A37C-FDECC7AE23CB}"/>
      </w:docPartPr>
      <w:docPartBody>
        <w:p w:rsidR="00D21A9F" w:rsidRDefault="00D21A9F">
          <w:pPr>
            <w:pStyle w:val="8DD754E365844A4E82EC69A07E22962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599BE4318CD4CC0836196E577CC29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FA569F-48FE-4FF8-8C03-2D2A8FB34A20}"/>
      </w:docPartPr>
      <w:docPartBody>
        <w:p w:rsidR="00D21A9F" w:rsidRDefault="00D21A9F">
          <w:pPr>
            <w:pStyle w:val="0599BE4318CD4CC0836196E577CC292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CA9211DA9BB2401FABCBEFDB2C820D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C574CF-DDDF-4930-90D0-6ABF4C84FFE7}"/>
      </w:docPartPr>
      <w:docPartBody>
        <w:p w:rsidR="002D3FAC" w:rsidRDefault="00F676FC" w:rsidP="00F676FC">
          <w:pPr>
            <w:pStyle w:val="CA9211DA9BB2401FABCBEFDB2C820D93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0C13916A4064130BAD967F9C72A9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9AB2DB-F243-47A4-829C-F1F8F6151F05}"/>
      </w:docPartPr>
      <w:docPartBody>
        <w:p w:rsidR="00E26BD4" w:rsidRDefault="007D6CB9" w:rsidP="007D6CB9">
          <w:pPr>
            <w:pStyle w:val="50C13916A4064130BAD967F9C72A9369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51201496489F41EC8CD1BB7C423012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BD96D5-53BC-49FB-80EB-2B69486A0EF4}"/>
      </w:docPartPr>
      <w:docPartBody>
        <w:p w:rsidR="0056229E" w:rsidRDefault="00633A7D" w:rsidP="00633A7D">
          <w:pPr>
            <w:pStyle w:val="51201496489F41EC8CD1BB7C423012C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B48C9"/>
    <w:rsid w:val="002D3FAC"/>
    <w:rsid w:val="00382A6A"/>
    <w:rsid w:val="004E7333"/>
    <w:rsid w:val="0056229E"/>
    <w:rsid w:val="005A2B60"/>
    <w:rsid w:val="00633A7D"/>
    <w:rsid w:val="007D6CB9"/>
    <w:rsid w:val="00D21A9F"/>
    <w:rsid w:val="00E26BD4"/>
    <w:rsid w:val="00F6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3A7D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8DD754E365844A4E82EC69A07E229629">
    <w:name w:val="8DD754E365844A4E82EC69A07E229629"/>
  </w:style>
  <w:style w:type="paragraph" w:customStyle="1" w:styleId="0599BE4318CD4CC0836196E577CC2921">
    <w:name w:val="0599BE4318CD4CC0836196E577CC2921"/>
  </w:style>
  <w:style w:type="paragraph" w:customStyle="1" w:styleId="320A77D155374054996F168A20882C28">
    <w:name w:val="320A77D155374054996F168A20882C28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CA9211DA9BB2401FABCBEFDB2C820D93">
    <w:name w:val="CA9211DA9BB2401FABCBEFDB2C820D93"/>
    <w:rsid w:val="00F676FC"/>
  </w:style>
  <w:style w:type="paragraph" w:customStyle="1" w:styleId="50C13916A4064130BAD967F9C72A9369">
    <w:name w:val="50C13916A4064130BAD967F9C72A9369"/>
    <w:rsid w:val="007D6CB9"/>
  </w:style>
  <w:style w:type="paragraph" w:customStyle="1" w:styleId="51201496489F41EC8CD1BB7C423012C4">
    <w:name w:val="51201496489F41EC8CD1BB7C423012C4"/>
    <w:rsid w:val="00633A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A638A1-9BF7-4FE0-97BB-12ED7CCF4A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BB0E500-0816-4B7F-9BF0-4DAA6EC44296}"/>
</file>

<file path=customXml/itemProps4.xml><?xml version="1.0" encoding="utf-8"?>
<ds:datastoreItem xmlns:ds="http://schemas.openxmlformats.org/officeDocument/2006/customXml" ds:itemID="{B26FD3B4-E5FF-44D0-A85D-1656AEB7AF7B}">
  <ds:schemaRefs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5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32</cp:revision>
  <cp:lastPrinted>2018-10-22T22:41:00Z</cp:lastPrinted>
  <dcterms:created xsi:type="dcterms:W3CDTF">2019-08-13T05:21:00Z</dcterms:created>
  <dcterms:modified xsi:type="dcterms:W3CDTF">2025-12-22T03:50:00Z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2025-12-22T03:49:57Z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4962b66d-e541-4fa4-87ae-06b35e6732f3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