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F3F1E14" w14:textId="381A98F0" w:rsidR="00BD499F" w:rsidRPr="004C23F4" w:rsidRDefault="005A304E" w:rsidP="00B40C60">
          <w:pPr>
            <w:pStyle w:val="Heading1"/>
            <w:jc w:val="center"/>
            <w:rPr>
              <w:rFonts w:ascii="Arial" w:hAnsi="Arial" w:cs="Arial"/>
            </w:rPr>
          </w:pPr>
          <w:r w:rsidRPr="005A304E">
            <w:rPr>
              <w:rFonts w:ascii="Arial" w:hAnsi="Arial" w:cs="Arial"/>
            </w:rPr>
            <w:t>Dichlorotetrafluoroethane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3"/>
        <w:gridCol w:w="5043"/>
      </w:tblGrid>
      <w:tr w:rsidR="00F43AD5" w:rsidRPr="004C23F4" w14:paraId="6572A41E" w14:textId="77777777" w:rsidTr="00B76A41">
        <w:trPr>
          <w:cantSplit/>
          <w:tblHeader/>
        </w:trPr>
        <w:tc>
          <w:tcPr>
            <w:tcW w:w="4077" w:type="dxa"/>
          </w:tcPr>
          <w:p w14:paraId="53719B7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4864FE0A" w14:textId="5098E5F2" w:rsidR="00F43AD5" w:rsidRPr="00717D45" w:rsidRDefault="005A304E" w:rsidP="00B76A41">
            <w:pPr>
              <w:pStyle w:val="Tablefont"/>
            </w:pPr>
            <w:r w:rsidRPr="005A304E">
              <w:t>76-14-2</w:t>
            </w:r>
          </w:p>
        </w:tc>
      </w:tr>
      <w:tr w:rsidR="00F43AD5" w:rsidRPr="00443A12" w14:paraId="47374D9C" w14:textId="77777777" w:rsidTr="00B76A41">
        <w:trPr>
          <w:cantSplit/>
        </w:trPr>
        <w:tc>
          <w:tcPr>
            <w:tcW w:w="4077" w:type="dxa"/>
          </w:tcPr>
          <w:p w14:paraId="7A0EEE9C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29E4BD1A" w14:textId="6E806039" w:rsidR="00F43AD5" w:rsidRPr="0026677C" w:rsidRDefault="00147A40" w:rsidP="00B76A41">
            <w:pPr>
              <w:pStyle w:val="Tablefont"/>
              <w:rPr>
                <w:lang w:val="it-IT"/>
              </w:rPr>
            </w:pPr>
            <w:r w:rsidRPr="0026677C">
              <w:rPr>
                <w:lang w:val="it-IT"/>
              </w:rPr>
              <w:t>CFC-114, c</w:t>
            </w:r>
            <w:r w:rsidR="00BA07BF" w:rsidRPr="0026677C">
              <w:rPr>
                <w:lang w:val="it-IT"/>
              </w:rPr>
              <w:t xml:space="preserve">ryofluorane, </w:t>
            </w:r>
            <w:r w:rsidR="008A7B75" w:rsidRPr="0026677C">
              <w:rPr>
                <w:lang w:val="it-IT"/>
              </w:rPr>
              <w:t xml:space="preserve">fluorocarbon </w:t>
            </w:r>
            <w:r w:rsidR="00BA07BF" w:rsidRPr="0026677C">
              <w:rPr>
                <w:lang w:val="it-IT"/>
              </w:rPr>
              <w:t>114 (</w:t>
            </w:r>
            <w:r w:rsidR="008A7B75" w:rsidRPr="0026677C">
              <w:rPr>
                <w:lang w:val="it-IT"/>
              </w:rPr>
              <w:t xml:space="preserve">freon </w:t>
            </w:r>
            <w:r w:rsidR="00BA07BF" w:rsidRPr="0026677C">
              <w:rPr>
                <w:lang w:val="it-IT"/>
              </w:rPr>
              <w:t xml:space="preserve">114), R-114, </w:t>
            </w:r>
            <w:r w:rsidR="008A7B75" w:rsidRPr="0026677C">
              <w:rPr>
                <w:lang w:val="it-IT"/>
              </w:rPr>
              <w:t xml:space="preserve">tetrafluoro </w:t>
            </w:r>
            <w:r w:rsidR="005A304E" w:rsidRPr="0026677C">
              <w:rPr>
                <w:lang w:val="it-IT"/>
              </w:rPr>
              <w:t>dichloroethane</w:t>
            </w:r>
          </w:p>
        </w:tc>
      </w:tr>
      <w:tr w:rsidR="00F43AD5" w:rsidRPr="004C23F4" w14:paraId="4DC6C4D7" w14:textId="77777777" w:rsidTr="00B76A41">
        <w:trPr>
          <w:cantSplit/>
        </w:trPr>
        <w:tc>
          <w:tcPr>
            <w:tcW w:w="4077" w:type="dxa"/>
          </w:tcPr>
          <w:p w14:paraId="2FA9383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9DF121E" w14:textId="237B5F15" w:rsidR="00F43AD5" w:rsidRPr="00717D45" w:rsidRDefault="005A304E" w:rsidP="00B76A41">
            <w:pPr>
              <w:pStyle w:val="Tablefont"/>
            </w:pPr>
            <w:r>
              <w:t>C</w:t>
            </w:r>
            <w:r w:rsidR="00315CAE">
              <w:rPr>
                <w:vertAlign w:val="subscript"/>
              </w:rPr>
              <w:t>2</w:t>
            </w:r>
            <w:r>
              <w:t>Cl</w:t>
            </w:r>
            <w:r w:rsidRPr="005A304E">
              <w:rPr>
                <w:vertAlign w:val="subscript"/>
              </w:rPr>
              <w:t>2</w:t>
            </w:r>
            <w:r>
              <w:t>F</w:t>
            </w:r>
            <w:r w:rsidRPr="005A304E">
              <w:rPr>
                <w:vertAlign w:val="subscript"/>
              </w:rPr>
              <w:t>4</w:t>
            </w:r>
          </w:p>
        </w:tc>
      </w:tr>
      <w:tr w:rsidR="00F43AD5" w:rsidRPr="004C23F4" w14:paraId="56095063" w14:textId="77777777" w:rsidTr="00B76A41">
        <w:trPr>
          <w:cantSplit/>
        </w:trPr>
        <w:tc>
          <w:tcPr>
            <w:tcW w:w="4077" w:type="dxa"/>
          </w:tcPr>
          <w:p w14:paraId="5D7A51EE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38A611E5" w14:textId="2D5916B6" w:rsidR="00F43AD5" w:rsidRPr="00B40C60" w:rsidRDefault="00876EE2" w:rsidP="00B76A41">
            <w:pPr>
              <w:pStyle w:val="Tablerowheading"/>
              <w:rPr>
                <w:b w:val="0"/>
              </w:rPr>
            </w:pPr>
            <w:r w:rsidRPr="00C21075">
              <w:rPr>
                <w:b w:val="0"/>
              </w:rPr>
              <w:t>ClF</w:t>
            </w:r>
            <w:r w:rsidRPr="00C21075">
              <w:rPr>
                <w:b w:val="0"/>
                <w:vertAlign w:val="subscript"/>
              </w:rPr>
              <w:t>2</w:t>
            </w:r>
            <w:r w:rsidRPr="00C21075">
              <w:rPr>
                <w:b w:val="0"/>
              </w:rPr>
              <w:t>C–CClF</w:t>
            </w:r>
            <w:r w:rsidRPr="00C21075">
              <w:rPr>
                <w:b w:val="0"/>
                <w:vertAlign w:val="subscript"/>
              </w:rPr>
              <w:t>2</w:t>
            </w:r>
          </w:p>
        </w:tc>
      </w:tr>
    </w:tbl>
    <w:p w14:paraId="3E5DC9C5" w14:textId="7B41954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5A304E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14A9597" w14:textId="77777777" w:rsidTr="0081472A">
        <w:trPr>
          <w:cantSplit/>
          <w:tblHeader/>
        </w:trPr>
        <w:tc>
          <w:tcPr>
            <w:tcW w:w="4005" w:type="dxa"/>
            <w:vAlign w:val="center"/>
          </w:tcPr>
          <w:p w14:paraId="2F12624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F523F12" w14:textId="2D638486" w:rsidR="002C7AFE" w:rsidRPr="005A304E" w:rsidRDefault="005A304E" w:rsidP="00017C82">
            <w:pPr>
              <w:pStyle w:val="Tablefont"/>
              <w:rPr>
                <w:b/>
              </w:rPr>
            </w:pPr>
            <w:r w:rsidRPr="005A304E">
              <w:rPr>
                <w:b/>
              </w:rPr>
              <w:t>1</w:t>
            </w:r>
            <w:r w:rsidR="00112758">
              <w:rPr>
                <w:b/>
              </w:rPr>
              <w:t>,</w:t>
            </w:r>
            <w:r w:rsidRPr="005A304E">
              <w:rPr>
                <w:b/>
              </w:rPr>
              <w:t>000</w:t>
            </w:r>
            <w:r>
              <w:rPr>
                <w:b/>
              </w:rPr>
              <w:t xml:space="preserve"> ppm (</w:t>
            </w:r>
            <w:r w:rsidRPr="005A304E">
              <w:rPr>
                <w:b/>
              </w:rPr>
              <w:t>6</w:t>
            </w:r>
            <w:r w:rsidR="00CE554E">
              <w:rPr>
                <w:b/>
              </w:rPr>
              <w:t>,</w:t>
            </w:r>
            <w:r w:rsidRPr="005A304E">
              <w:rPr>
                <w:b/>
              </w:rPr>
              <w:t>990</w:t>
            </w:r>
            <w:r>
              <w:rPr>
                <w:b/>
              </w:rPr>
              <w:t xml:space="preserve"> mg/m</w:t>
            </w:r>
            <w:r w:rsidRPr="005A304E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1CE661CC" w14:textId="77777777" w:rsidTr="0081472A">
        <w:trPr>
          <w:cantSplit/>
        </w:trPr>
        <w:tc>
          <w:tcPr>
            <w:tcW w:w="4005" w:type="dxa"/>
            <w:vAlign w:val="center"/>
          </w:tcPr>
          <w:p w14:paraId="6559AC07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3C297125" w14:textId="70F4A8DA" w:rsidR="002C7AFE" w:rsidRPr="008A7B75" w:rsidRDefault="005A304E" w:rsidP="00017C82">
            <w:pPr>
              <w:pStyle w:val="Tablefont"/>
              <w:rPr>
                <w:b/>
              </w:rPr>
            </w:pPr>
            <w:r w:rsidRPr="00147A40">
              <w:rPr>
                <w:b/>
              </w:rPr>
              <w:t>—</w:t>
            </w:r>
          </w:p>
        </w:tc>
      </w:tr>
      <w:tr w:rsidR="002C7AFE" w:rsidRPr="004C23F4" w14:paraId="2BB8CA66" w14:textId="77777777" w:rsidTr="0081472A">
        <w:trPr>
          <w:cantSplit/>
        </w:trPr>
        <w:tc>
          <w:tcPr>
            <w:tcW w:w="4005" w:type="dxa"/>
            <w:vAlign w:val="center"/>
          </w:tcPr>
          <w:p w14:paraId="4D42A247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0586F76" w14:textId="2237D1AD" w:rsidR="002C7AFE" w:rsidRPr="008A7B75" w:rsidRDefault="005A304E" w:rsidP="00017C82">
            <w:pPr>
              <w:pStyle w:val="Tablefont"/>
              <w:rPr>
                <w:b/>
              </w:rPr>
            </w:pPr>
            <w:r w:rsidRPr="00147A40">
              <w:rPr>
                <w:b/>
              </w:rPr>
              <w:t>—</w:t>
            </w:r>
          </w:p>
        </w:tc>
      </w:tr>
      <w:tr w:rsidR="002C7AFE" w:rsidRPr="004C23F4" w14:paraId="34C18F72" w14:textId="77777777" w:rsidTr="0081472A">
        <w:trPr>
          <w:cantSplit/>
        </w:trPr>
        <w:tc>
          <w:tcPr>
            <w:tcW w:w="4005" w:type="dxa"/>
          </w:tcPr>
          <w:p w14:paraId="6B397E4C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17AF223F" w14:textId="370ED04A" w:rsidR="002C7AFE" w:rsidRPr="008A7B75" w:rsidRDefault="005A304E" w:rsidP="008A36CF">
            <w:pPr>
              <w:pStyle w:val="Tablefont"/>
              <w:rPr>
                <w:b/>
              </w:rPr>
            </w:pPr>
            <w:r w:rsidRPr="00147A40">
              <w:rPr>
                <w:b/>
              </w:rPr>
              <w:t>—</w:t>
            </w:r>
          </w:p>
        </w:tc>
      </w:tr>
      <w:tr w:rsidR="002C7AFE" w:rsidRPr="004C23F4" w14:paraId="7B4BC9A5" w14:textId="77777777" w:rsidTr="0081472A">
        <w:trPr>
          <w:cantSplit/>
        </w:trPr>
        <w:tc>
          <w:tcPr>
            <w:tcW w:w="4005" w:type="dxa"/>
            <w:vAlign w:val="center"/>
          </w:tcPr>
          <w:p w14:paraId="00A8E9F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6B24BBF6" w14:textId="6D285CAA" w:rsidR="002C7AFE" w:rsidRPr="00EB3D1B" w:rsidRDefault="005A304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15</w:t>
            </w:r>
            <w:r w:rsidR="008A7B75">
              <w:rPr>
                <w:b/>
              </w:rPr>
              <w:t>,</w:t>
            </w:r>
            <w:r>
              <w:rPr>
                <w:b/>
              </w:rPr>
              <w:t>000 ppm</w:t>
            </w:r>
          </w:p>
        </w:tc>
      </w:tr>
      <w:tr w:rsidR="0081472A" w:rsidRPr="004C23F4" w14:paraId="408EA594" w14:textId="77777777" w:rsidTr="00167F16">
        <w:trPr>
          <w:cantSplit/>
        </w:trPr>
        <w:tc>
          <w:tcPr>
            <w:tcW w:w="9026" w:type="dxa"/>
            <w:gridSpan w:val="2"/>
            <w:vAlign w:val="center"/>
          </w:tcPr>
          <w:p w14:paraId="4A4E7FEE" w14:textId="64DEAA44" w:rsidR="0081472A" w:rsidRPr="00EB3D1B" w:rsidRDefault="0081472A" w:rsidP="00017C82">
            <w:pPr>
              <w:pStyle w:val="Tablefont"/>
              <w:rPr>
                <w:b/>
              </w:rPr>
            </w:pPr>
            <w:r w:rsidRPr="008E2207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7A6BBCF902B468080B1FEABD6912E41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8E2207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  <w:r w:rsidDel="0081472A">
              <w:t xml:space="preserve"> </w:t>
            </w:r>
          </w:p>
        </w:tc>
      </w:tr>
    </w:tbl>
    <w:p w14:paraId="3B72E99F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D08FF2C" w14:textId="4A41F22C" w:rsidR="008B1626" w:rsidRPr="00C82341" w:rsidRDefault="009B1697" w:rsidP="009B1697">
      <w:r>
        <w:rPr>
          <w:rFonts w:cs="Arial"/>
        </w:rPr>
        <w:t xml:space="preserve">The current </w:t>
      </w:r>
      <w:r w:rsidR="008B1626" w:rsidRPr="007F4851">
        <w:rPr>
          <w:rFonts w:cs="Arial"/>
        </w:rPr>
        <w:t xml:space="preserve">TWA of </w:t>
      </w:r>
      <w:r w:rsidR="00011F50" w:rsidRPr="007F4851">
        <w:rPr>
          <w:rFonts w:cs="Arial"/>
        </w:rPr>
        <w:t>1</w:t>
      </w:r>
      <w:r w:rsidR="002663DE">
        <w:rPr>
          <w:rFonts w:cs="Arial"/>
        </w:rPr>
        <w:t>,</w:t>
      </w:r>
      <w:r w:rsidR="00011F50" w:rsidRPr="007F4851">
        <w:rPr>
          <w:rFonts w:cs="Arial"/>
        </w:rPr>
        <w:t>000</w:t>
      </w:r>
      <w:r w:rsidR="008B1626" w:rsidRPr="007F4851">
        <w:rPr>
          <w:rFonts w:cs="Arial"/>
        </w:rPr>
        <w:t xml:space="preserve"> </w:t>
      </w:r>
      <w:r w:rsidR="00011F50" w:rsidRPr="007F4851">
        <w:rPr>
          <w:rFonts w:cs="Arial"/>
        </w:rPr>
        <w:t>ppm (6</w:t>
      </w:r>
      <w:r w:rsidR="00B00935">
        <w:rPr>
          <w:rFonts w:cs="Arial"/>
        </w:rPr>
        <w:t>,</w:t>
      </w:r>
      <w:r w:rsidR="00011F50" w:rsidRPr="007F4851">
        <w:rPr>
          <w:rFonts w:cs="Arial"/>
        </w:rPr>
        <w:t>990</w:t>
      </w:r>
      <w:r w:rsidR="008B1626" w:rsidRPr="007F4851">
        <w:rPr>
          <w:rFonts w:cs="Arial"/>
        </w:rPr>
        <w:t xml:space="preserve"> mg/m</w:t>
      </w:r>
      <w:r w:rsidR="008B1626" w:rsidRPr="008379FC">
        <w:rPr>
          <w:rFonts w:cs="Arial"/>
          <w:vertAlign w:val="superscript"/>
        </w:rPr>
        <w:t>3</w:t>
      </w:r>
      <w:r w:rsidR="008B1626" w:rsidRPr="007F4851">
        <w:rPr>
          <w:rFonts w:cs="Arial"/>
        </w:rPr>
        <w:t xml:space="preserve">) </w:t>
      </w:r>
      <w:r w:rsidRPr="007F4851">
        <w:rPr>
          <w:rFonts w:cs="Arial"/>
        </w:rPr>
        <w:t xml:space="preserve">is </w:t>
      </w:r>
      <w:r>
        <w:rPr>
          <w:rFonts w:cs="Arial"/>
        </w:rPr>
        <w:t xml:space="preserve">recommended to </w:t>
      </w:r>
      <w:r w:rsidR="00336079">
        <w:rPr>
          <w:rFonts w:cs="Arial"/>
        </w:rPr>
        <w:t xml:space="preserve">to protect for </w:t>
      </w:r>
      <w:r w:rsidR="00C82341">
        <w:t>narcosis and asphyxia and potential cardiac sensitisation in exposed workers.</w:t>
      </w:r>
      <w:r w:rsidR="008B1626" w:rsidRPr="007F4851">
        <w:rPr>
          <w:rFonts w:cs="Arial"/>
        </w:rPr>
        <w:t xml:space="preserve"> </w:t>
      </w:r>
    </w:p>
    <w:p w14:paraId="4046737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79BDE45" w14:textId="3087A347" w:rsidR="00EE7BF2" w:rsidRDefault="00011F50" w:rsidP="00C82341">
      <w:pPr>
        <w:rPr>
          <w:rFonts w:cs="Arial"/>
        </w:rPr>
      </w:pPr>
      <w:r w:rsidRPr="00EE7BF2">
        <w:rPr>
          <w:rFonts w:cs="Arial"/>
        </w:rPr>
        <w:t>Dichlorotetrafluoroethane (</w:t>
      </w:r>
      <w:r>
        <w:rPr>
          <w:rFonts w:cs="Arial"/>
        </w:rPr>
        <w:t xml:space="preserve">CFC-114) </w:t>
      </w:r>
      <w:r w:rsidR="002463B3">
        <w:rPr>
          <w:rFonts w:cs="Arial"/>
        </w:rPr>
        <w:t>was</w:t>
      </w:r>
      <w:r w:rsidR="00881937">
        <w:rPr>
          <w:rFonts w:cs="Arial"/>
        </w:rPr>
        <w:t xml:space="preserve"> </w:t>
      </w:r>
      <w:r w:rsidR="002463B3">
        <w:rPr>
          <w:rFonts w:cs="Arial"/>
        </w:rPr>
        <w:t>previously</w:t>
      </w:r>
      <w:r w:rsidR="002463B3" w:rsidRPr="00634B7B">
        <w:rPr>
          <w:rFonts w:cs="Arial"/>
        </w:rPr>
        <w:t xml:space="preserve"> </w:t>
      </w:r>
      <w:r>
        <w:rPr>
          <w:rFonts w:cs="Arial"/>
        </w:rPr>
        <w:t xml:space="preserve">used </w:t>
      </w:r>
      <w:r w:rsidRPr="00634B7B">
        <w:rPr>
          <w:rFonts w:cs="Arial"/>
        </w:rPr>
        <w:t>as an aerosol propellant, refrigerant, solvent, fire extinguisher, blowing agent and dielectric fluid.</w:t>
      </w:r>
      <w:r>
        <w:rPr>
          <w:rFonts w:cs="Arial"/>
        </w:rPr>
        <w:t xml:space="preserve"> It is an </w:t>
      </w:r>
      <w:r w:rsidRPr="00634B7B">
        <w:rPr>
          <w:rFonts w:cs="Arial"/>
        </w:rPr>
        <w:t>ozone-depleting chlorofluorocarbon</w:t>
      </w:r>
      <w:r w:rsidR="008B1626">
        <w:rPr>
          <w:rFonts w:cs="Arial"/>
        </w:rPr>
        <w:t xml:space="preserve">. </w:t>
      </w:r>
      <w:r w:rsidR="009B1697">
        <w:rPr>
          <w:rFonts w:cs="Arial"/>
        </w:rPr>
        <w:t xml:space="preserve">Adverse </w:t>
      </w:r>
      <w:r w:rsidR="0058218A">
        <w:rPr>
          <w:rFonts w:cs="Arial"/>
        </w:rPr>
        <w:t xml:space="preserve">effects include </w:t>
      </w:r>
      <w:r w:rsidR="00C82341">
        <w:rPr>
          <w:rFonts w:cs="Arial"/>
        </w:rPr>
        <w:t>narcosis, asphyxia and cardiac sensitisation.</w:t>
      </w:r>
    </w:p>
    <w:p w14:paraId="0A686886" w14:textId="4A078156" w:rsidR="006601A5" w:rsidRDefault="009B1697" w:rsidP="00D53AD5">
      <w:pPr>
        <w:rPr>
          <w:rFonts w:cs="Arial"/>
        </w:rPr>
      </w:pPr>
      <w:r>
        <w:t>Human data are limited in the primary sources</w:t>
      </w:r>
      <w:r w:rsidR="00D53AD5">
        <w:t xml:space="preserve">. </w:t>
      </w:r>
      <w:r w:rsidR="002463B3">
        <w:t>Volunteers exposed to individual CFC-114 and a mixture of CFC-12 and CFC-114 of 16</w:t>
      </w:r>
      <w:r w:rsidR="00D13F8F">
        <w:softHyphen/>
      </w:r>
      <w:r w:rsidR="0026677C">
        <w:t xml:space="preserve"> to </w:t>
      </w:r>
      <w:r w:rsidR="002463B3">
        <w:t>150 g/m</w:t>
      </w:r>
      <w:r w:rsidR="002463B3">
        <w:rPr>
          <w:vertAlign w:val="superscript"/>
        </w:rPr>
        <w:t>3</w:t>
      </w:r>
      <w:r w:rsidR="002463B3">
        <w:t xml:space="preserve"> reported respiratory effects and changes to heartrate. </w:t>
      </w:r>
      <w:r w:rsidR="00D53AD5">
        <w:t>R</w:t>
      </w:r>
      <w:r w:rsidR="00874970" w:rsidRPr="00874970">
        <w:t xml:space="preserve">abbits and rats exposed for up to </w:t>
      </w:r>
      <w:r w:rsidR="00112758">
        <w:t>nine</w:t>
      </w:r>
      <w:r w:rsidR="00874970" w:rsidRPr="00874970">
        <w:t xml:space="preserve"> months at 10,000</w:t>
      </w:r>
      <w:r w:rsidR="00336079">
        <w:t> </w:t>
      </w:r>
      <w:r w:rsidR="00874970" w:rsidRPr="00874970">
        <w:t xml:space="preserve">ppm showed no </w:t>
      </w:r>
      <w:r w:rsidR="00D53AD5" w:rsidRPr="00D53AD5">
        <w:t>signif</w:t>
      </w:r>
      <w:r w:rsidR="00D53AD5">
        <w:t>icant clinical, h</w:t>
      </w:r>
      <w:r w:rsidR="00B00935">
        <w:t>a</w:t>
      </w:r>
      <w:r w:rsidR="00D53AD5">
        <w:t xml:space="preserve">ematologic, or </w:t>
      </w:r>
      <w:r w:rsidR="00D53AD5" w:rsidRPr="00D53AD5">
        <w:t>histopathologic change</w:t>
      </w:r>
      <w:r w:rsidR="006601A5">
        <w:t>. Dogs exposed to</w:t>
      </w:r>
      <w:r w:rsidR="00013425">
        <w:t xml:space="preserve"> between</w:t>
      </w:r>
      <w:r w:rsidR="006601A5">
        <w:t xml:space="preserve"> 142,000 </w:t>
      </w:r>
      <w:r w:rsidR="00013425">
        <w:t xml:space="preserve">and </w:t>
      </w:r>
      <w:r w:rsidR="008A3CAF">
        <w:t>150,000 </w:t>
      </w:r>
      <w:r w:rsidR="006601A5">
        <w:t xml:space="preserve">ppm for </w:t>
      </w:r>
      <w:r w:rsidR="00B00935">
        <w:t>eight</w:t>
      </w:r>
      <w:r w:rsidR="006601A5">
        <w:t xml:space="preserve"> hours, </w:t>
      </w:r>
      <w:r w:rsidR="00B00935">
        <w:t>twenty-one</w:t>
      </w:r>
      <w:r w:rsidR="006601A5">
        <w:t xml:space="preserve"> times, showed blood changes and symptoms ranging from incoordination to occasional convulsions. No reported symptoms in dogs, cats, guinea pigs and rats exposed at 100,000 ppm for 3.5</w:t>
      </w:r>
      <w:r w:rsidR="00B00935">
        <w:t xml:space="preserve"> hours</w:t>
      </w:r>
      <w:r w:rsidR="006601A5">
        <w:t xml:space="preserve"> a day for </w:t>
      </w:r>
      <w:r w:rsidR="00881937">
        <w:t xml:space="preserve">twenty </w:t>
      </w:r>
      <w:r w:rsidR="006601A5">
        <w:t>days</w:t>
      </w:r>
      <w:r w:rsidR="0036366F">
        <w:t xml:space="preserve"> </w:t>
      </w:r>
      <w:r w:rsidR="008B1626">
        <w:rPr>
          <w:rFonts w:cs="Arial"/>
        </w:rPr>
        <w:t xml:space="preserve">(ACGIH, </w:t>
      </w:r>
      <w:r w:rsidR="00874970">
        <w:rPr>
          <w:rFonts w:cs="Arial"/>
        </w:rPr>
        <w:t>20</w:t>
      </w:r>
      <w:r w:rsidR="002463B3">
        <w:rPr>
          <w:rFonts w:cs="Arial"/>
        </w:rPr>
        <w:t>18</w:t>
      </w:r>
      <w:r w:rsidR="00881937">
        <w:rPr>
          <w:rFonts w:cs="Arial"/>
        </w:rPr>
        <w:t>)</w:t>
      </w:r>
      <w:r w:rsidR="008B1626">
        <w:rPr>
          <w:rFonts w:cs="Arial"/>
        </w:rPr>
        <w:t>.</w:t>
      </w:r>
    </w:p>
    <w:p w14:paraId="45033268" w14:textId="7EA67A5E" w:rsidR="00C82341" w:rsidRDefault="000C7BA3" w:rsidP="00D53AD5">
      <w:pPr>
        <w:rPr>
          <w:rFonts w:cs="Arial"/>
        </w:rPr>
      </w:pPr>
      <w:r>
        <w:t xml:space="preserve">It is recommended that the </w:t>
      </w:r>
      <w:r w:rsidR="008901ED">
        <w:t xml:space="preserve">current </w:t>
      </w:r>
      <w:r w:rsidR="00C82341">
        <w:t xml:space="preserve">TWA of 1,000 ppm </w:t>
      </w:r>
      <w:r w:rsidR="008901ED">
        <w:t xml:space="preserve">adopted from ACGIH (2018) </w:t>
      </w:r>
      <w:r w:rsidR="00C82341">
        <w:t xml:space="preserve">is </w:t>
      </w:r>
      <w:r>
        <w:t>retained</w:t>
      </w:r>
      <w:r w:rsidR="00C82341">
        <w:t xml:space="preserve">. This TWA </w:t>
      </w:r>
      <w:r w:rsidR="002463B3">
        <w:t>provides a suitable margin of safety to reduce</w:t>
      </w:r>
      <w:r w:rsidR="00C82341">
        <w:t xml:space="preserve"> the potential for systemic toxicity and cardiac sensitisation potential in exposed workers.</w:t>
      </w:r>
    </w:p>
    <w:p w14:paraId="266F6072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7F59372" w14:textId="1933986A" w:rsidR="008B1626" w:rsidRPr="00B666A1" w:rsidRDefault="008B1626" w:rsidP="008B1626">
      <w:pPr>
        <w:rPr>
          <w:rFonts w:cs="Arial"/>
        </w:rPr>
      </w:pPr>
      <w:r w:rsidRPr="00B666A1">
        <w:rPr>
          <w:rFonts w:cs="Arial"/>
        </w:rPr>
        <w:t>Not classified as a carcinogen according to the Globally Harmonized System of Classification and Labelling of Chemicals (GHS).</w:t>
      </w:r>
    </w:p>
    <w:p w14:paraId="639EA450" w14:textId="4BB0EBF7" w:rsidR="00B666A1" w:rsidRPr="00B666A1" w:rsidRDefault="008B1626" w:rsidP="008B1626">
      <w:pPr>
        <w:rPr>
          <w:rFonts w:cs="Arial"/>
        </w:rPr>
      </w:pPr>
      <w:r w:rsidRPr="00B666A1">
        <w:rPr>
          <w:rFonts w:cs="Arial"/>
        </w:rPr>
        <w:t>Not classified as a skin</w:t>
      </w:r>
      <w:r w:rsidR="00336079">
        <w:rPr>
          <w:rFonts w:cs="Arial"/>
        </w:rPr>
        <w:t xml:space="preserve"> sensitiser</w:t>
      </w:r>
      <w:r w:rsidRPr="00B666A1">
        <w:rPr>
          <w:rFonts w:cs="Arial"/>
        </w:rPr>
        <w:t xml:space="preserve"> or respiratory sensitiser according to the GHS. </w:t>
      </w:r>
    </w:p>
    <w:p w14:paraId="685C207D" w14:textId="2FBF9407" w:rsidR="0025734A" w:rsidRPr="004C23F4" w:rsidRDefault="008B1626" w:rsidP="008B1626">
      <w:pPr>
        <w:rPr>
          <w:rFonts w:cs="Arial"/>
        </w:rPr>
      </w:pPr>
      <w:r w:rsidRPr="00B666A1">
        <w:rPr>
          <w:rFonts w:cs="Arial"/>
        </w:rPr>
        <w:lastRenderedPageBreak/>
        <w:t>A skin notation is not warranted based on the available evidence.</w:t>
      </w:r>
    </w:p>
    <w:p w14:paraId="32DE2882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FC4CFF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C6AA8F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0CB7FAA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2E1858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710D011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9ED7E3E" w14:textId="307D45F6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315CAE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315CAE">
                  <w:t xml:space="preserve">TWA: </w:t>
                </w:r>
              </w:sdtContent>
            </w:sdt>
            <w:r w:rsidR="00315CAE" w:rsidRPr="00315CAE">
              <w:t>1</w:t>
            </w:r>
            <w:r w:rsidR="00112758">
              <w:t>,</w:t>
            </w:r>
            <w:r w:rsidR="00315CAE" w:rsidRPr="00315CAE">
              <w:t>000 ppm (6</w:t>
            </w:r>
            <w:r w:rsidR="00872A38">
              <w:t>,</w:t>
            </w:r>
            <w:r w:rsidR="00315CAE" w:rsidRPr="00315CAE">
              <w:t>990 mg/m</w:t>
            </w:r>
            <w:r w:rsidR="00315CAE" w:rsidRPr="00315CAE">
              <w:rPr>
                <w:vertAlign w:val="superscript"/>
              </w:rPr>
              <w:t>3</w:t>
            </w:r>
            <w:r w:rsidR="00315CAE" w:rsidRPr="00315CAE">
              <w:t>)</w:t>
            </w:r>
          </w:p>
        </w:tc>
      </w:tr>
      <w:tr w:rsidR="00C978F0" w:rsidRPr="00DA352E" w14:paraId="68FB094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B0AD0D9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F0D84D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19F8066" w14:textId="655D06B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315CAE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315CAE">
                  <w:t>TLV-TWA: 1</w:t>
                </w:r>
                <w:r w:rsidR="00112758">
                  <w:t>,</w:t>
                </w:r>
                <w:r w:rsidR="00315CAE">
                  <w:t>000 ppm (6</w:t>
                </w:r>
                <w:r w:rsidR="00872A38">
                  <w:t>,</w:t>
                </w:r>
                <w:r w:rsidR="00315CAE">
                  <w:t>990 mg/m</w:t>
                </w:r>
                <w:r w:rsidR="00315CAE" w:rsidRPr="00315CAE">
                  <w:rPr>
                    <w:vertAlign w:val="superscript"/>
                  </w:rPr>
                  <w:t>3</w:t>
                </w:r>
                <w:r w:rsidR="00315CAE">
                  <w:t>)</w:t>
                </w:r>
              </w:sdtContent>
            </w:sdt>
          </w:p>
        </w:tc>
      </w:tr>
      <w:tr w:rsidR="00C978F0" w:rsidRPr="00DA352E" w14:paraId="4E5BB0F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0B6763" w14:textId="003AB7E6" w:rsidR="00876EE2" w:rsidRDefault="00876EE2" w:rsidP="00876EE2">
            <w:pPr>
              <w:pStyle w:val="Tabletextprimarysource"/>
            </w:pPr>
            <w:r>
              <w:t>TLV-TWA recommended to minimise</w:t>
            </w:r>
            <w:r w:rsidR="00C82341">
              <w:t xml:space="preserve"> the potential for reduction of ventilatory lung capacity, arrhythmia/cardiac sensitisation and at extremely high concentrations, narcosis and asphyxia. </w:t>
            </w:r>
          </w:p>
          <w:p w14:paraId="258A249F" w14:textId="77777777" w:rsidR="00876EE2" w:rsidRDefault="00876EE2" w:rsidP="00876EE2">
            <w:pPr>
              <w:pStyle w:val="Tabletextprimarysource"/>
            </w:pPr>
            <w:r>
              <w:t>Summary of data:</w:t>
            </w:r>
          </w:p>
          <w:p w14:paraId="38C7DE4B" w14:textId="77777777" w:rsidR="00876EE2" w:rsidRDefault="00876EE2" w:rsidP="00876EE2">
            <w:pPr>
              <w:pStyle w:val="Tabletextprimarysource"/>
            </w:pPr>
            <w:r>
              <w:t>Human data:</w:t>
            </w:r>
          </w:p>
          <w:p w14:paraId="4BEB4837" w14:textId="0CEF6543" w:rsidR="00876EE2" w:rsidRDefault="00876EE2" w:rsidP="00424AC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Inhalation exposure of between 16</w:t>
            </w:r>
            <w:r w:rsidR="00872A38">
              <w:t>–</w:t>
            </w:r>
            <w:r>
              <w:t>150 g/m</w:t>
            </w:r>
            <w:r w:rsidRPr="00634B7B">
              <w:rPr>
                <w:vertAlign w:val="superscript"/>
              </w:rPr>
              <w:t>3</w:t>
            </w:r>
            <w:r>
              <w:t xml:space="preserve"> to </w:t>
            </w:r>
            <w:r w:rsidR="00067785">
              <w:t xml:space="preserve">CFC-114 and a </w:t>
            </w:r>
            <w:r>
              <w:t xml:space="preserve">mixture of CFC-12 and CFC-114 on 10 subjects for 15, 45, or 60 sec </w:t>
            </w:r>
            <w:r w:rsidR="008901ED">
              <w:t xml:space="preserve">caused </w:t>
            </w:r>
            <w:r>
              <w:t>significant acute reduction of ventilatory lung capacity, bradycardia and increased variability in heart rate and atrioventricular block</w:t>
            </w:r>
            <w:r w:rsidR="002463B3">
              <w:t xml:space="preserve">; mixtures </w:t>
            </w:r>
            <w:r w:rsidR="00680B68">
              <w:t xml:space="preserve">considered to </w:t>
            </w:r>
            <w:r w:rsidR="002463B3">
              <w:t>exert stronger respiratory effects.</w:t>
            </w:r>
          </w:p>
          <w:p w14:paraId="10337C9C" w14:textId="77777777" w:rsidR="002D176E" w:rsidRDefault="002D176E" w:rsidP="008379FC">
            <w:pPr>
              <w:pStyle w:val="Tabletextprimarysource"/>
            </w:pPr>
          </w:p>
          <w:p w14:paraId="1C3E4A76" w14:textId="603945B1" w:rsidR="00876EE2" w:rsidRDefault="00876EE2" w:rsidP="008379FC">
            <w:pPr>
              <w:pStyle w:val="Tabletextprimarysource"/>
            </w:pPr>
            <w:r>
              <w:t>Animal data</w:t>
            </w:r>
          </w:p>
          <w:p w14:paraId="3349AB75" w14:textId="7C3B34B7" w:rsidR="00593886" w:rsidRDefault="00593886" w:rsidP="0059388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Considered a moderate cardiac sensitiser</w:t>
            </w:r>
          </w:p>
          <w:p w14:paraId="475E79B0" w14:textId="47232864" w:rsidR="00876EE2" w:rsidRDefault="00876EE2" w:rsidP="00424AC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</w:t>
            </w:r>
            <w:r w:rsidR="00147A40">
              <w:t xml:space="preserve">at </w:t>
            </w:r>
            <w:r>
              <w:t>8</w:t>
            </w:r>
            <w:r w:rsidR="00112758">
              <w:t>,</w:t>
            </w:r>
            <w:r>
              <w:t>000</w:t>
            </w:r>
            <w:r w:rsidR="00872A38">
              <w:t>–</w:t>
            </w:r>
            <w:r>
              <w:t>47,000 ppm (guinea pigs, 2</w:t>
            </w:r>
            <w:r w:rsidR="00112758">
              <w:t xml:space="preserve"> </w:t>
            </w:r>
            <w:r>
              <w:t xml:space="preserve">h) </w:t>
            </w:r>
            <w:r w:rsidR="008901ED">
              <w:t xml:space="preserve">caused </w:t>
            </w:r>
            <w:r>
              <w:t>irregular breathing but ‘no toxic action’</w:t>
            </w:r>
          </w:p>
          <w:p w14:paraId="0E6F22B7" w14:textId="2AD15B2C" w:rsidR="00876EE2" w:rsidRDefault="00876EE2" w:rsidP="00424AC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</w:t>
            </w:r>
            <w:r w:rsidR="00147A40">
              <w:t xml:space="preserve">at </w:t>
            </w:r>
            <w:r>
              <w:t>10,000</w:t>
            </w:r>
            <w:r w:rsidR="00112758">
              <w:t xml:space="preserve"> </w:t>
            </w:r>
            <w:r>
              <w:t>ppm (mice, 24</w:t>
            </w:r>
            <w:r w:rsidR="00112758">
              <w:t xml:space="preserve"> </w:t>
            </w:r>
            <w:r>
              <w:t xml:space="preserve">h) </w:t>
            </w:r>
            <w:r w:rsidR="008901ED">
              <w:t xml:space="preserve">caused </w:t>
            </w:r>
            <w:r>
              <w:t>lung haemorrhage but no clinical effects</w:t>
            </w:r>
          </w:p>
          <w:p w14:paraId="5B319220" w14:textId="71F82C96" w:rsidR="00876EE2" w:rsidRDefault="00876EE2" w:rsidP="00424AC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Based on circulatory/respiratory effects at concentrations &gt;25,000 ppm CFC-114 is classed as an intermediate aerosol propellant in acute toxicity and act</w:t>
            </w:r>
            <w:r w:rsidR="00923C32">
              <w:t>s</w:t>
            </w:r>
            <w:r>
              <w:t xml:space="preserve"> as a </w:t>
            </w:r>
            <w:r w:rsidR="00923C32">
              <w:t>b</w:t>
            </w:r>
            <w:r w:rsidR="006F0AE0">
              <w:t>roncho</w:t>
            </w:r>
            <w:r>
              <w:t>constrictor</w:t>
            </w:r>
          </w:p>
          <w:p w14:paraId="17BFBB4E" w14:textId="3CA36E77" w:rsidR="00876EE2" w:rsidRDefault="00876EE2" w:rsidP="00424AC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Repeated spraying on skin (rat) and mucous membrane (rabbit eyes) </w:t>
            </w:r>
            <w:r w:rsidR="008901ED">
              <w:t xml:space="preserve">caused </w:t>
            </w:r>
            <w:r>
              <w:t>local inflammation</w:t>
            </w:r>
          </w:p>
          <w:p w14:paraId="31816578" w14:textId="64D1B002" w:rsidR="00876EE2" w:rsidRDefault="00112758" w:rsidP="00424AC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</w:t>
            </w:r>
            <w:r w:rsidR="00876EE2">
              <w:t>xposures over 21, 8</w:t>
            </w:r>
            <w:r>
              <w:t xml:space="preserve"> </w:t>
            </w:r>
            <w:r w:rsidR="00876EE2">
              <w:t>h shifts at 142,000</w:t>
            </w:r>
            <w:r w:rsidR="00872A38">
              <w:t>–</w:t>
            </w:r>
            <w:r w:rsidR="00876EE2">
              <w:t xml:space="preserve">150,000 ppm (dogs) </w:t>
            </w:r>
            <w:r w:rsidR="008901ED">
              <w:t xml:space="preserve">caused </w:t>
            </w:r>
            <w:r w:rsidR="00876EE2">
              <w:t xml:space="preserve">slight blood changes and </w:t>
            </w:r>
            <w:r w:rsidR="008901ED">
              <w:t xml:space="preserve">neurological </w:t>
            </w:r>
            <w:r w:rsidR="00876EE2">
              <w:t>symptoms ranging from incoordination to occasional convulsions</w:t>
            </w:r>
          </w:p>
          <w:p w14:paraId="4C1E8708" w14:textId="5B5A2254" w:rsidR="00876EE2" w:rsidRDefault="00876EE2" w:rsidP="00424AC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at 2</w:t>
            </w:r>
            <w:r w:rsidR="006601A5">
              <w:t>0</w:t>
            </w:r>
            <w:r>
              <w:t>0,000</w:t>
            </w:r>
            <w:r w:rsidR="00112758">
              <w:t xml:space="preserve"> </w:t>
            </w:r>
            <w:r>
              <w:t>ppm, (2.5 h/d,</w:t>
            </w:r>
            <w:r w:rsidR="00104681">
              <w:t xml:space="preserve"> </w:t>
            </w:r>
            <w:r>
              <w:t>5</w:t>
            </w:r>
            <w:r w:rsidR="00112758">
              <w:t xml:space="preserve"> </w:t>
            </w:r>
            <w:r>
              <w:t>d/w</w:t>
            </w:r>
            <w:r w:rsidR="00112758">
              <w:t>k</w:t>
            </w:r>
            <w:r>
              <w:t xml:space="preserve"> over 2</w:t>
            </w:r>
            <w:r w:rsidR="00112758">
              <w:t xml:space="preserve"> </w:t>
            </w:r>
            <w:r>
              <w:t>w</w:t>
            </w:r>
            <w:r w:rsidR="00112758">
              <w:t>k</w:t>
            </w:r>
            <w:r>
              <w:t xml:space="preserve">) </w:t>
            </w:r>
            <w:r w:rsidR="008901ED">
              <w:t>caused</w:t>
            </w:r>
            <w:r>
              <w:t xml:space="preserve"> a decreased growth rate and some pulmonary and h</w:t>
            </w:r>
            <w:r w:rsidR="00147A40">
              <w:t>a</w:t>
            </w:r>
            <w:r>
              <w:t>ematologic effects</w:t>
            </w:r>
          </w:p>
          <w:p w14:paraId="4A2F20F6" w14:textId="514F4D54" w:rsidR="00876EE2" w:rsidRDefault="00D53AD5" w:rsidP="00424AC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Rats and rabbits </w:t>
            </w:r>
            <w:r w:rsidR="006601A5">
              <w:t>exposed at</w:t>
            </w:r>
            <w:r w:rsidR="00876EE2">
              <w:t xml:space="preserve"> 10,000</w:t>
            </w:r>
            <w:r w:rsidR="00112758">
              <w:t xml:space="preserve"> </w:t>
            </w:r>
            <w:r w:rsidR="00876EE2">
              <w:t>ppm, (2 h/d,</w:t>
            </w:r>
            <w:r w:rsidR="00DA001C">
              <w:t xml:space="preserve"> </w:t>
            </w:r>
            <w:r w:rsidR="00876EE2">
              <w:t>5</w:t>
            </w:r>
            <w:r w:rsidR="00112758">
              <w:t xml:space="preserve"> </w:t>
            </w:r>
            <w:r w:rsidR="00876EE2">
              <w:t>d/w</w:t>
            </w:r>
            <w:r w:rsidR="00112758">
              <w:t>k</w:t>
            </w:r>
            <w:r w:rsidR="00104681">
              <w:t>, 8-9 mo</w:t>
            </w:r>
            <w:r w:rsidR="00876EE2">
              <w:t xml:space="preserve">) </w:t>
            </w:r>
            <w:r w:rsidR="00EC7953">
              <w:t>no significant clinical, h</w:t>
            </w:r>
            <w:r w:rsidR="0058218A">
              <w:t>a</w:t>
            </w:r>
            <w:r w:rsidR="00EC7953">
              <w:t>ematologic, or histopathologic change</w:t>
            </w:r>
          </w:p>
          <w:p w14:paraId="023DFC65" w14:textId="2BE3D60C" w:rsidR="00C978F0" w:rsidRDefault="00876EE2" w:rsidP="00424AC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at 100,000</w:t>
            </w:r>
            <w:r w:rsidR="00112758">
              <w:t xml:space="preserve"> </w:t>
            </w:r>
            <w:r>
              <w:t>ppm (20</w:t>
            </w:r>
            <w:r w:rsidR="00DA001C">
              <w:t xml:space="preserve"> </w:t>
            </w:r>
            <w:r>
              <w:t>x</w:t>
            </w:r>
            <w:r w:rsidR="00DA001C">
              <w:t xml:space="preserve"> </w:t>
            </w:r>
            <w:r>
              <w:t>3.5</w:t>
            </w:r>
            <w:r w:rsidR="00112758">
              <w:t xml:space="preserve"> </w:t>
            </w:r>
            <w:r>
              <w:t xml:space="preserve">h, </w:t>
            </w:r>
            <w:r w:rsidR="004B58B4">
              <w:t xml:space="preserve">over </w:t>
            </w:r>
            <w:r>
              <w:t>4</w:t>
            </w:r>
            <w:r w:rsidR="00112758">
              <w:t xml:space="preserve"> </w:t>
            </w:r>
            <w:r>
              <w:t>w</w:t>
            </w:r>
            <w:r w:rsidR="00112758">
              <w:t>k</w:t>
            </w:r>
            <w:r>
              <w:t xml:space="preserve">) did not report </w:t>
            </w:r>
            <w:r w:rsidR="008901ED">
              <w:t>affect</w:t>
            </w:r>
            <w:r>
              <w:t xml:space="preserve"> dogs, cats, guinea pigs and rats</w:t>
            </w:r>
            <w:r w:rsidR="00112758">
              <w:t>.</w:t>
            </w:r>
          </w:p>
          <w:p w14:paraId="76A06A56" w14:textId="58061257" w:rsidR="004B58B4" w:rsidRDefault="004B58B4" w:rsidP="008E220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Ins</w:t>
            </w:r>
            <w:r w:rsidRPr="004B58B4">
              <w:t>ufficient data available to recommend Skin or SEN notations or a TLV–STEL.</w:t>
            </w:r>
          </w:p>
          <w:p w14:paraId="24AE50BA" w14:textId="4FF84363" w:rsidR="002D176E" w:rsidRPr="00DA352E" w:rsidRDefault="002D176E" w:rsidP="00424ACD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04445CF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EA17CFA" w14:textId="58C6A4E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315CAE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315CAE">
                  <w:t>MAK: 1</w:t>
                </w:r>
                <w:r w:rsidR="00E506F7">
                  <w:t>,</w:t>
                </w:r>
                <w:r w:rsidR="00315CAE">
                  <w:t>000 ppm (7</w:t>
                </w:r>
                <w:r w:rsidR="00872A38">
                  <w:t>,</w:t>
                </w:r>
                <w:r w:rsidR="00315CAE">
                  <w:t>100 mg/m</w:t>
                </w:r>
                <w:r w:rsidR="00315CAE" w:rsidRPr="00315CAE">
                  <w:rPr>
                    <w:vertAlign w:val="superscript"/>
                  </w:rPr>
                  <w:t>3</w:t>
                </w:r>
                <w:r w:rsidR="00315CAE">
                  <w:t>)</w:t>
                </w:r>
              </w:sdtContent>
            </w:sdt>
          </w:p>
        </w:tc>
      </w:tr>
      <w:tr w:rsidR="00C978F0" w:rsidRPr="00DA352E" w14:paraId="501ABA2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AF108C" w14:textId="6AD78ACE" w:rsidR="00C978F0" w:rsidRPr="00DA352E" w:rsidRDefault="00876EE2" w:rsidP="003365A5">
            <w:pPr>
              <w:pStyle w:val="Tabletextprimarysource"/>
            </w:pPr>
            <w:r w:rsidRPr="002137A9">
              <w:t>No report</w:t>
            </w:r>
            <w:r w:rsidR="002D176E">
              <w:t>.</w:t>
            </w:r>
          </w:p>
        </w:tc>
      </w:tr>
      <w:tr w:rsidR="00C978F0" w:rsidRPr="00DA352E" w14:paraId="798F512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C6353B7" w14:textId="592FCC8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137A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2137A9">
                  <w:t>NA</w:t>
                </w:r>
              </w:sdtContent>
            </w:sdt>
          </w:p>
        </w:tc>
      </w:tr>
      <w:tr w:rsidR="00C978F0" w:rsidRPr="00DA352E" w14:paraId="5DE9658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A28E517" w14:textId="4CDDBC53" w:rsidR="00C978F0" w:rsidRPr="00DA352E" w:rsidRDefault="002137A9" w:rsidP="003365A5">
            <w:pPr>
              <w:pStyle w:val="Tabletextprimarysource"/>
            </w:pPr>
            <w:r w:rsidRPr="002137A9">
              <w:t>No report</w:t>
            </w:r>
            <w:r w:rsidR="002D176E">
              <w:t>.</w:t>
            </w:r>
          </w:p>
        </w:tc>
      </w:tr>
      <w:tr w:rsidR="00DA352E" w:rsidRPr="00DA352E" w14:paraId="36F90DA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DE861B4" w14:textId="0492DB0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137A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2137A9">
                  <w:t>NA</w:t>
                </w:r>
              </w:sdtContent>
            </w:sdt>
          </w:p>
        </w:tc>
      </w:tr>
      <w:tr w:rsidR="00DA352E" w:rsidRPr="00DA352E" w14:paraId="7E08C9E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B8EBD82" w14:textId="01D82A7E" w:rsidR="00DA352E" w:rsidRPr="00DA352E" w:rsidRDefault="002137A9" w:rsidP="003365A5">
            <w:pPr>
              <w:pStyle w:val="Tabletextprimarysource"/>
            </w:pPr>
            <w:r w:rsidRPr="002137A9">
              <w:t>No report</w:t>
            </w:r>
            <w:r w:rsidR="002D176E">
              <w:t>.</w:t>
            </w:r>
          </w:p>
        </w:tc>
      </w:tr>
      <w:tr w:rsidR="00DA352E" w:rsidRPr="00DA352E" w14:paraId="02B5B17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236FDDC" w14:textId="670D67E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137A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2137A9">
                  <w:t>NA</w:t>
                </w:r>
              </w:sdtContent>
            </w:sdt>
          </w:p>
        </w:tc>
      </w:tr>
      <w:tr w:rsidR="00DA352E" w:rsidRPr="00DA352E" w14:paraId="5DC7DC8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F662C8D" w14:textId="1B8A1D7C" w:rsidR="00DA352E" w:rsidRPr="00DA352E" w:rsidRDefault="002137A9" w:rsidP="003365A5">
            <w:pPr>
              <w:pStyle w:val="Tabletextprimarysource"/>
            </w:pPr>
            <w:r w:rsidRPr="002137A9">
              <w:t>No report</w:t>
            </w:r>
            <w:r w:rsidR="002D176E">
              <w:t>.</w:t>
            </w:r>
          </w:p>
        </w:tc>
      </w:tr>
    </w:tbl>
    <w:p w14:paraId="57647744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258"/>
        <w:gridCol w:w="539"/>
        <w:gridCol w:w="661"/>
        <w:gridCol w:w="6568"/>
      </w:tblGrid>
      <w:tr w:rsidR="004966BF" w:rsidRPr="00263255" w14:paraId="0857AE69" w14:textId="77777777" w:rsidTr="008379FC">
        <w:trPr>
          <w:cantSplit/>
          <w:trHeight w:val="393"/>
          <w:tblHeader/>
        </w:trPr>
        <w:tc>
          <w:tcPr>
            <w:tcW w:w="1258" w:type="dxa"/>
            <w:shd w:val="clear" w:color="auto" w:fill="BFBFBF" w:themeFill="background1" w:themeFillShade="BF"/>
            <w:vAlign w:val="center"/>
          </w:tcPr>
          <w:p w14:paraId="44406370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539" w:type="dxa"/>
            <w:shd w:val="clear" w:color="auto" w:fill="BFBFBF" w:themeFill="background1" w:themeFillShade="BF"/>
            <w:vAlign w:val="center"/>
          </w:tcPr>
          <w:p w14:paraId="7533A390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916D062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568" w:type="dxa"/>
            <w:shd w:val="clear" w:color="auto" w:fill="BFBFBF" w:themeFill="background1" w:themeFillShade="BF"/>
            <w:vAlign w:val="center"/>
          </w:tcPr>
          <w:p w14:paraId="5B453038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7AC8237" w14:textId="77777777" w:rsidTr="008379FC">
        <w:trPr>
          <w:cantSplit/>
        </w:trPr>
        <w:tc>
          <w:tcPr>
            <w:tcW w:w="1258" w:type="dxa"/>
          </w:tcPr>
          <w:p w14:paraId="1A62A34C" w14:textId="77777777" w:rsidR="004966BF" w:rsidRDefault="004966BF" w:rsidP="00224EE2">
            <w:pPr>
              <w:pStyle w:val="Tablefont"/>
            </w:pPr>
            <w:r>
              <w:t>US NIOSH</w:t>
            </w:r>
          </w:p>
        </w:tc>
        <w:tc>
          <w:tcPr>
            <w:tcW w:w="539" w:type="dxa"/>
          </w:tcPr>
          <w:p w14:paraId="551F483D" w14:textId="5DEB22A9" w:rsidR="004966BF" w:rsidRDefault="00C329FA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EA51C8540A4D4F0A9062F5B1698DCBB0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477E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C233DC1" w14:textId="6040CB86" w:rsidR="004966BF" w:rsidRPr="004C23F4" w:rsidRDefault="00DD6162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568" w:type="dxa"/>
          </w:tcPr>
          <w:p w14:paraId="181814C7" w14:textId="469245B3" w:rsidR="00011F50" w:rsidRDefault="00011F50" w:rsidP="00424ACD">
            <w:pPr>
              <w:pStyle w:val="Tabletextprimarysource"/>
              <w:numPr>
                <w:ilvl w:val="0"/>
                <w:numId w:val="2"/>
              </w:numPr>
            </w:pPr>
            <w:r w:rsidRPr="00011F50">
              <w:t>The revised IDLH of 15,000 ppm based on acute inhalation toxicity data in animals</w:t>
            </w:r>
            <w:r>
              <w:t>.</w:t>
            </w:r>
          </w:p>
          <w:p w14:paraId="7F84EAC7" w14:textId="78A18996" w:rsidR="00D201E6" w:rsidRPr="008E2207" w:rsidRDefault="00D201E6" w:rsidP="00424ACD">
            <w:pPr>
              <w:pStyle w:val="Tabletextprimarysource"/>
              <w:numPr>
                <w:ilvl w:val="0"/>
                <w:numId w:val="2"/>
              </w:numPr>
            </w:pPr>
            <w:r w:rsidRPr="008E2207">
              <w:t>1</w:t>
            </w:r>
            <w:r w:rsidR="00112758" w:rsidRPr="008E2207">
              <w:t xml:space="preserve"> </w:t>
            </w:r>
            <w:r w:rsidRPr="008E2207">
              <w:t>h EEGL: 10,000 ppm</w:t>
            </w:r>
          </w:p>
          <w:p w14:paraId="60C1F97F" w14:textId="6C5113B3" w:rsidR="00D201E6" w:rsidRPr="008E2207" w:rsidRDefault="00D201E6" w:rsidP="00424ACD">
            <w:pPr>
              <w:pStyle w:val="Tabletextprimarysource"/>
              <w:numPr>
                <w:ilvl w:val="0"/>
                <w:numId w:val="2"/>
              </w:numPr>
            </w:pPr>
            <w:r w:rsidRPr="008E2207">
              <w:t>24</w:t>
            </w:r>
            <w:r w:rsidR="00112758" w:rsidRPr="008E2207">
              <w:t xml:space="preserve"> </w:t>
            </w:r>
            <w:r w:rsidRPr="008E2207">
              <w:t>h EEGL: 1,000 ppm</w:t>
            </w:r>
          </w:p>
          <w:p w14:paraId="0A77DAED" w14:textId="68B1E8DF" w:rsidR="003B3539" w:rsidRPr="00D201E6" w:rsidRDefault="003B3539" w:rsidP="00424ACD">
            <w:pPr>
              <w:pStyle w:val="Tabletextprimarysource"/>
              <w:numPr>
                <w:ilvl w:val="0"/>
                <w:numId w:val="4"/>
              </w:numPr>
            </w:pPr>
            <w:r>
              <w:t>Animal data:</w:t>
            </w:r>
          </w:p>
          <w:p w14:paraId="75D2A5F0" w14:textId="5F551052" w:rsidR="00D201E6" w:rsidRDefault="00D201E6" w:rsidP="00424ACD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 w:rsidRPr="004E1ABD">
              <w:t>L</w:t>
            </w:r>
            <w:r>
              <w:t>C</w:t>
            </w:r>
            <w:r w:rsidRPr="008379FC">
              <w:rPr>
                <w:vertAlign w:val="subscript"/>
              </w:rPr>
              <w:t>50</w:t>
            </w:r>
            <w:r w:rsidRPr="004E1ABD">
              <w:t xml:space="preserve">: </w:t>
            </w:r>
            <w:r>
              <w:t>72,000ppm</w:t>
            </w:r>
            <w:r w:rsidRPr="004E1ABD">
              <w:t xml:space="preserve"> (</w:t>
            </w:r>
            <w:r>
              <w:t>rat, 30</w:t>
            </w:r>
            <w:r w:rsidR="00112758">
              <w:t xml:space="preserve"> </w:t>
            </w:r>
            <w:r>
              <w:t>m</w:t>
            </w:r>
            <w:r w:rsidR="00147A40">
              <w:t>in</w:t>
            </w:r>
            <w:r>
              <w:t>)</w:t>
            </w:r>
          </w:p>
          <w:p w14:paraId="0468B325" w14:textId="757248BD" w:rsidR="00D201E6" w:rsidRDefault="00D201E6" w:rsidP="00424ACD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 w:rsidRPr="004E1ABD">
              <w:t>L</w:t>
            </w:r>
            <w:r>
              <w:t>C</w:t>
            </w:r>
            <w:r w:rsidRPr="008379FC">
              <w:rPr>
                <w:vertAlign w:val="subscript"/>
              </w:rPr>
              <w:t>50</w:t>
            </w:r>
            <w:r w:rsidRPr="004E1ABD">
              <w:t xml:space="preserve">: </w:t>
            </w:r>
            <w:r>
              <w:t>70,000ppm</w:t>
            </w:r>
            <w:r w:rsidRPr="004E1ABD">
              <w:t xml:space="preserve"> (</w:t>
            </w:r>
            <w:r>
              <w:t>mouse, 30</w:t>
            </w:r>
            <w:r w:rsidR="00112758">
              <w:t xml:space="preserve"> </w:t>
            </w:r>
            <w:r>
              <w:t>m</w:t>
            </w:r>
            <w:r w:rsidR="00147A40">
              <w:t>in</w:t>
            </w:r>
            <w:r>
              <w:t>)</w:t>
            </w:r>
          </w:p>
          <w:p w14:paraId="5F04D6AD" w14:textId="28010C71" w:rsidR="00D201E6" w:rsidRPr="00011F50" w:rsidRDefault="00D201E6" w:rsidP="00424ACD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 w:rsidRPr="004E1ABD">
              <w:t>L</w:t>
            </w:r>
            <w:r>
              <w:t>C</w:t>
            </w:r>
            <w:r w:rsidRPr="008379FC">
              <w:rPr>
                <w:vertAlign w:val="subscript"/>
              </w:rPr>
              <w:t>50</w:t>
            </w:r>
            <w:r w:rsidRPr="004E1ABD">
              <w:t xml:space="preserve">: </w:t>
            </w:r>
            <w:r>
              <w:t>75,000ppm</w:t>
            </w:r>
            <w:r w:rsidRPr="004E1ABD">
              <w:t xml:space="preserve"> (</w:t>
            </w:r>
            <w:r>
              <w:t>rabbit, 30</w:t>
            </w:r>
            <w:r w:rsidR="00112758">
              <w:t xml:space="preserve"> </w:t>
            </w:r>
            <w:r>
              <w:t>m</w:t>
            </w:r>
            <w:r w:rsidR="00147A40">
              <w:t>in</w:t>
            </w:r>
            <w:r>
              <w:t>)</w:t>
            </w:r>
            <w:r w:rsidR="008E2207">
              <w:t>.</w:t>
            </w:r>
          </w:p>
        </w:tc>
      </w:tr>
    </w:tbl>
    <w:bookmarkEnd w:id="0"/>
    <w:p w14:paraId="427B04AB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3F56C08" w14:textId="77777777" w:rsidTr="00B666A1">
        <w:trPr>
          <w:trHeight w:val="454"/>
          <w:tblHeader/>
        </w:trPr>
        <w:tc>
          <w:tcPr>
            <w:tcW w:w="6597" w:type="dxa"/>
            <w:vAlign w:val="center"/>
          </w:tcPr>
          <w:p w14:paraId="046EFC5A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0D3AF36" w14:textId="52D34806" w:rsidR="002E0D61" w:rsidRDefault="00B666A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EB517C8" w14:textId="77777777" w:rsidTr="00B666A1">
        <w:trPr>
          <w:trHeight w:val="454"/>
        </w:trPr>
        <w:tc>
          <w:tcPr>
            <w:tcW w:w="6597" w:type="dxa"/>
            <w:vAlign w:val="center"/>
          </w:tcPr>
          <w:p w14:paraId="393E385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3041562" w14:textId="140B0630" w:rsidR="008A36CF" w:rsidRDefault="00147A40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147A40" w14:paraId="391A48A2" w14:textId="77777777" w:rsidTr="00B666A1">
        <w:trPr>
          <w:trHeight w:val="454"/>
        </w:trPr>
        <w:sdt>
          <w:sdtPr>
            <w:rPr>
              <w:b/>
            </w:rPr>
            <w:id w:val="1830936485"/>
            <w:placeholder>
              <w:docPart w:val="FD9C53973FE54789A83F10A72452DFDC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597" w:type="dxa"/>
                <w:vAlign w:val="center"/>
              </w:tcPr>
              <w:p w14:paraId="6888482B" w14:textId="303E75CC" w:rsidR="00147A40" w:rsidRDefault="00147A40" w:rsidP="00147A40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9" w:type="dxa"/>
            <w:vAlign w:val="center"/>
          </w:tcPr>
          <w:p w14:paraId="4F45855E" w14:textId="6150FB4E" w:rsidR="00147A40" w:rsidRDefault="00147A40" w:rsidP="00147A40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31B9C34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04"/>
        <w:gridCol w:w="5922"/>
      </w:tblGrid>
      <w:tr w:rsidR="00923C32" w:rsidRPr="004C23F4" w14:paraId="1EAEA567" w14:textId="77777777" w:rsidTr="00923C32">
        <w:trPr>
          <w:cantSplit/>
          <w:tblHeader/>
        </w:trPr>
        <w:tc>
          <w:tcPr>
            <w:tcW w:w="3119" w:type="dxa"/>
            <w:shd w:val="clear" w:color="auto" w:fill="BFBFBF" w:themeFill="background1" w:themeFillShade="BF"/>
            <w:vAlign w:val="center"/>
          </w:tcPr>
          <w:p w14:paraId="3E85B24B" w14:textId="77777777" w:rsidR="00923C32" w:rsidRPr="004C23F4" w:rsidRDefault="00923C32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5953" w:type="dxa"/>
            <w:shd w:val="clear" w:color="auto" w:fill="BFBFBF" w:themeFill="background1" w:themeFillShade="BF"/>
            <w:vAlign w:val="center"/>
          </w:tcPr>
          <w:p w14:paraId="2A15BADE" w14:textId="7469E562" w:rsidR="00923C32" w:rsidRPr="004C23F4" w:rsidRDefault="00923C32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>
              <w:tab/>
            </w:r>
          </w:p>
        </w:tc>
      </w:tr>
      <w:tr w:rsidR="00923C32" w:rsidRPr="004C23F4" w14:paraId="5460F808" w14:textId="77777777" w:rsidTr="00923C32">
        <w:trPr>
          <w:cantSplit/>
        </w:trPr>
        <w:tc>
          <w:tcPr>
            <w:tcW w:w="3119" w:type="dxa"/>
          </w:tcPr>
          <w:p w14:paraId="2D0C1039" w14:textId="77777777" w:rsidR="00923C32" w:rsidRPr="004C23F4" w:rsidRDefault="00923C32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5953" w:type="dxa"/>
          </w:tcPr>
          <w:p w14:paraId="42D73033" w14:textId="00FCAA11" w:rsidR="00923C32" w:rsidRPr="00DD2F9B" w:rsidRDefault="00923C32" w:rsidP="00DD2F9B">
            <w:pPr>
              <w:pStyle w:val="Tablefont"/>
            </w:pPr>
            <w:r>
              <w:t>—</w:t>
            </w:r>
          </w:p>
        </w:tc>
      </w:tr>
      <w:tr w:rsidR="00923C32" w:rsidRPr="004C23F4" w14:paraId="3F39BD98" w14:textId="77777777" w:rsidTr="00923C32">
        <w:trPr>
          <w:cantSplit/>
        </w:trPr>
        <w:tc>
          <w:tcPr>
            <w:tcW w:w="3119" w:type="dxa"/>
          </w:tcPr>
          <w:p w14:paraId="27182D24" w14:textId="77777777" w:rsidR="00923C32" w:rsidRPr="004C23F4" w:rsidRDefault="00923C32" w:rsidP="00F4402E">
            <w:pPr>
              <w:pStyle w:val="Tablefont"/>
            </w:pPr>
            <w:r>
              <w:t>HCIS</w:t>
            </w:r>
          </w:p>
        </w:tc>
        <w:tc>
          <w:tcPr>
            <w:tcW w:w="5953" w:type="dxa"/>
          </w:tcPr>
          <w:p w14:paraId="65887692" w14:textId="58325DBF" w:rsidR="00923C32" w:rsidRPr="00DD2F9B" w:rsidRDefault="00923C32" w:rsidP="00DD2F9B">
            <w:pPr>
              <w:pStyle w:val="Tablefont"/>
            </w:pPr>
            <w:r>
              <w:t>—</w:t>
            </w:r>
          </w:p>
        </w:tc>
      </w:tr>
      <w:tr w:rsidR="00923C32" w:rsidRPr="004C23F4" w14:paraId="6F418359" w14:textId="77777777" w:rsidTr="00923C32">
        <w:trPr>
          <w:cantSplit/>
        </w:trPr>
        <w:tc>
          <w:tcPr>
            <w:tcW w:w="3119" w:type="dxa"/>
          </w:tcPr>
          <w:p w14:paraId="252B420B" w14:textId="77777777" w:rsidR="00923C32" w:rsidRPr="004C23F4" w:rsidRDefault="00923C32" w:rsidP="00F4402E">
            <w:pPr>
              <w:pStyle w:val="Tablefont"/>
            </w:pPr>
            <w:r>
              <w:t>NICNAS</w:t>
            </w:r>
          </w:p>
        </w:tc>
        <w:tc>
          <w:tcPr>
            <w:tcW w:w="5953" w:type="dxa"/>
          </w:tcPr>
          <w:p w14:paraId="079160F6" w14:textId="73E2EAA2" w:rsidR="00923C32" w:rsidRPr="00DD2F9B" w:rsidRDefault="00923C32" w:rsidP="00DD2F9B">
            <w:pPr>
              <w:pStyle w:val="Tablefont"/>
            </w:pPr>
            <w:r>
              <w:t>NA</w:t>
            </w:r>
          </w:p>
        </w:tc>
      </w:tr>
      <w:tr w:rsidR="00923C32" w:rsidRPr="004C23F4" w14:paraId="734971C5" w14:textId="77777777" w:rsidTr="00923C32">
        <w:trPr>
          <w:cantSplit/>
        </w:trPr>
        <w:tc>
          <w:tcPr>
            <w:tcW w:w="3119" w:type="dxa"/>
          </w:tcPr>
          <w:p w14:paraId="3F58E033" w14:textId="77777777" w:rsidR="00923C32" w:rsidRPr="004C23F4" w:rsidRDefault="00923C32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5953" w:type="dxa"/>
          </w:tcPr>
          <w:p w14:paraId="4F9DC989" w14:textId="19C4B333" w:rsidR="00923C32" w:rsidRPr="00DD2F9B" w:rsidRDefault="00923C32" w:rsidP="00DD2F9B">
            <w:pPr>
              <w:pStyle w:val="Tablefont"/>
            </w:pPr>
            <w:r>
              <w:t>NA</w:t>
            </w:r>
          </w:p>
        </w:tc>
      </w:tr>
      <w:tr w:rsidR="00923C32" w:rsidRPr="004C23F4" w14:paraId="3CC7AABB" w14:textId="77777777" w:rsidTr="00923C32">
        <w:trPr>
          <w:cantSplit/>
        </w:trPr>
        <w:tc>
          <w:tcPr>
            <w:tcW w:w="3119" w:type="dxa"/>
          </w:tcPr>
          <w:p w14:paraId="639E8D13" w14:textId="77777777" w:rsidR="00923C32" w:rsidRDefault="00923C32" w:rsidP="00F4402E">
            <w:pPr>
              <w:pStyle w:val="Tablefont"/>
            </w:pPr>
            <w:r>
              <w:t>ECHA</w:t>
            </w:r>
          </w:p>
        </w:tc>
        <w:tc>
          <w:tcPr>
            <w:tcW w:w="5953" w:type="dxa"/>
          </w:tcPr>
          <w:p w14:paraId="5496EB24" w14:textId="76E1DD7D" w:rsidR="00923C32" w:rsidRPr="00DD2F9B" w:rsidRDefault="00923C32" w:rsidP="00DD2F9B">
            <w:pPr>
              <w:pStyle w:val="Tablefont"/>
            </w:pPr>
            <w:r>
              <w:t>NA</w:t>
            </w:r>
          </w:p>
        </w:tc>
      </w:tr>
      <w:tr w:rsidR="00923C32" w:rsidRPr="004C23F4" w14:paraId="5A1D7BDD" w14:textId="77777777" w:rsidTr="00923C32">
        <w:trPr>
          <w:cantSplit/>
        </w:trPr>
        <w:tc>
          <w:tcPr>
            <w:tcW w:w="3119" w:type="dxa"/>
          </w:tcPr>
          <w:p w14:paraId="52ED9BED" w14:textId="77777777" w:rsidR="00923C32" w:rsidRPr="004C23F4" w:rsidRDefault="00923C32" w:rsidP="00F4402E">
            <w:pPr>
              <w:pStyle w:val="Tablefont"/>
            </w:pPr>
            <w:r>
              <w:t>ACGIH</w:t>
            </w:r>
          </w:p>
        </w:tc>
        <w:tc>
          <w:tcPr>
            <w:tcW w:w="5953" w:type="dxa"/>
          </w:tcPr>
          <w:p w14:paraId="0083C4B1" w14:textId="1ACE0947" w:rsidR="00923C32" w:rsidRPr="00DD2F9B" w:rsidRDefault="00923C32" w:rsidP="00E506F7">
            <w:pPr>
              <w:pStyle w:val="Tablefont"/>
            </w:pPr>
            <w:r>
              <w:t>Not classifie</w:t>
            </w:r>
            <w:r w:rsidR="00E506F7">
              <w:t>d</w:t>
            </w:r>
            <w:r>
              <w:t xml:space="preserve"> as carcinogen</w:t>
            </w:r>
            <w:r w:rsidRPr="00D26C5D">
              <w:t xml:space="preserve"> – A4</w:t>
            </w:r>
          </w:p>
        </w:tc>
      </w:tr>
      <w:tr w:rsidR="00923C32" w:rsidRPr="004C23F4" w14:paraId="534B8AD2" w14:textId="77777777" w:rsidTr="00923C32">
        <w:trPr>
          <w:cantSplit/>
        </w:trPr>
        <w:tc>
          <w:tcPr>
            <w:tcW w:w="3119" w:type="dxa"/>
          </w:tcPr>
          <w:p w14:paraId="3825A4A7" w14:textId="77777777" w:rsidR="00923C32" w:rsidRPr="004C23F4" w:rsidRDefault="00923C32" w:rsidP="00F4402E">
            <w:pPr>
              <w:pStyle w:val="Tablefont"/>
            </w:pPr>
            <w:r>
              <w:t>DFG</w:t>
            </w:r>
          </w:p>
        </w:tc>
        <w:tc>
          <w:tcPr>
            <w:tcW w:w="5953" w:type="dxa"/>
          </w:tcPr>
          <w:p w14:paraId="172A7808" w14:textId="431B817D" w:rsidR="00923C32" w:rsidRPr="00DD2F9B" w:rsidRDefault="00923C32" w:rsidP="00DD2F9B">
            <w:pPr>
              <w:pStyle w:val="Tablefont"/>
            </w:pPr>
            <w:r>
              <w:t>—</w:t>
            </w:r>
          </w:p>
        </w:tc>
      </w:tr>
      <w:tr w:rsidR="00923C32" w:rsidRPr="004C23F4" w14:paraId="57A5452C" w14:textId="77777777" w:rsidTr="00923C32">
        <w:trPr>
          <w:cantSplit/>
        </w:trPr>
        <w:tc>
          <w:tcPr>
            <w:tcW w:w="3119" w:type="dxa"/>
          </w:tcPr>
          <w:p w14:paraId="141971CF" w14:textId="77777777" w:rsidR="00923C32" w:rsidRPr="004C23F4" w:rsidRDefault="00923C32" w:rsidP="00F4402E">
            <w:pPr>
              <w:pStyle w:val="Tablefont"/>
            </w:pPr>
            <w:r>
              <w:t>SCOEL</w:t>
            </w:r>
          </w:p>
        </w:tc>
        <w:tc>
          <w:tcPr>
            <w:tcW w:w="5953" w:type="dxa"/>
          </w:tcPr>
          <w:p w14:paraId="2F2FCBAC" w14:textId="651B008E" w:rsidR="00923C32" w:rsidRPr="00DD2F9B" w:rsidRDefault="00923C32" w:rsidP="00DD2F9B">
            <w:pPr>
              <w:pStyle w:val="Tablefont"/>
            </w:pPr>
            <w:r>
              <w:t>NA</w:t>
            </w:r>
          </w:p>
        </w:tc>
      </w:tr>
      <w:tr w:rsidR="00923C32" w:rsidRPr="004C23F4" w14:paraId="35409975" w14:textId="77777777" w:rsidTr="00923C32">
        <w:trPr>
          <w:cantSplit/>
        </w:trPr>
        <w:tc>
          <w:tcPr>
            <w:tcW w:w="3119" w:type="dxa"/>
          </w:tcPr>
          <w:p w14:paraId="7A5B91F5" w14:textId="77777777" w:rsidR="00923C32" w:rsidRDefault="00923C32" w:rsidP="00F4402E">
            <w:pPr>
              <w:pStyle w:val="Tablefont"/>
            </w:pPr>
            <w:r>
              <w:t>HCOTN</w:t>
            </w:r>
          </w:p>
        </w:tc>
        <w:tc>
          <w:tcPr>
            <w:tcW w:w="5953" w:type="dxa"/>
          </w:tcPr>
          <w:p w14:paraId="25FB5034" w14:textId="5CD4F3A4" w:rsidR="00923C32" w:rsidRPr="00DD2F9B" w:rsidRDefault="00923C32" w:rsidP="00DD2F9B">
            <w:pPr>
              <w:pStyle w:val="Tablefont"/>
            </w:pPr>
            <w:r>
              <w:t>NA</w:t>
            </w:r>
          </w:p>
        </w:tc>
      </w:tr>
      <w:tr w:rsidR="00923C32" w:rsidRPr="004C23F4" w14:paraId="7741D171" w14:textId="77777777" w:rsidTr="00923C32">
        <w:trPr>
          <w:cantSplit/>
        </w:trPr>
        <w:tc>
          <w:tcPr>
            <w:tcW w:w="3119" w:type="dxa"/>
          </w:tcPr>
          <w:p w14:paraId="0A4BEAAF" w14:textId="77777777" w:rsidR="00923C32" w:rsidRDefault="00923C32" w:rsidP="00F4402E">
            <w:pPr>
              <w:pStyle w:val="Tablefont"/>
            </w:pPr>
            <w:r>
              <w:t>IARC</w:t>
            </w:r>
          </w:p>
        </w:tc>
        <w:tc>
          <w:tcPr>
            <w:tcW w:w="5953" w:type="dxa"/>
          </w:tcPr>
          <w:p w14:paraId="1D76F280" w14:textId="70ECD6F7" w:rsidR="00923C32" w:rsidRPr="00DD2F9B" w:rsidRDefault="00923C32" w:rsidP="00DD2F9B">
            <w:pPr>
              <w:pStyle w:val="Tablefont"/>
            </w:pPr>
            <w:r>
              <w:t>NA</w:t>
            </w:r>
          </w:p>
        </w:tc>
      </w:tr>
      <w:tr w:rsidR="00923C32" w:rsidRPr="004C23F4" w14:paraId="59A54628" w14:textId="77777777" w:rsidTr="00923C32">
        <w:trPr>
          <w:cantSplit/>
        </w:trPr>
        <w:tc>
          <w:tcPr>
            <w:tcW w:w="3119" w:type="dxa"/>
          </w:tcPr>
          <w:p w14:paraId="330CDE0D" w14:textId="77777777" w:rsidR="00923C32" w:rsidRDefault="00923C32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5953" w:type="dxa"/>
          </w:tcPr>
          <w:p w14:paraId="0FAF7842" w14:textId="176C37D0" w:rsidR="00923C32" w:rsidRPr="00DD2F9B" w:rsidRDefault="00923C32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34813FA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C612B71" w14:textId="77777777" w:rsidR="006F0AE0" w:rsidRDefault="006F0AE0" w:rsidP="006F0AE0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6F0AE0" w14:paraId="681CA5A1" w14:textId="77777777" w:rsidTr="006F0AE0">
        <w:trPr>
          <w:cantSplit/>
          <w:tblHeader/>
        </w:trPr>
        <w:tc>
          <w:tcPr>
            <w:tcW w:w="5000" w:type="pct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6CC566F" w14:textId="77777777" w:rsidR="006F0AE0" w:rsidRDefault="006F0AE0">
            <w:pPr>
              <w:pStyle w:val="Tableheader"/>
              <w:keepNext/>
              <w:tabs>
                <w:tab w:val="right" w:pos="8800"/>
              </w:tabs>
            </w:pPr>
            <w:r>
              <w:t>Calculation</w:t>
            </w:r>
            <w:r>
              <w:tab/>
            </w:r>
          </w:p>
        </w:tc>
      </w:tr>
      <w:tr w:rsidR="006F0AE0" w14:paraId="46A745C4" w14:textId="77777777" w:rsidTr="006F0AE0">
        <w:trPr>
          <w:cantSplit/>
          <w:tblHeader/>
        </w:trPr>
        <w:tc>
          <w:tcPr>
            <w:tcW w:w="5000" w:type="pct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</w:tcPr>
          <w:tbl>
            <w:tblPr>
              <w:tblpPr w:leftFromText="180" w:rightFromText="180" w:horzAnchor="margin" w:tblpY="-795"/>
              <w:tblOverlap w:val="never"/>
              <w:tblW w:w="9099" w:type="dxa"/>
              <w:tblLook w:val="04A0" w:firstRow="1" w:lastRow="0" w:firstColumn="1" w:lastColumn="0" w:noHBand="0" w:noVBand="1"/>
            </w:tblPr>
            <w:tblGrid>
              <w:gridCol w:w="3901"/>
              <w:gridCol w:w="1227"/>
              <w:gridCol w:w="472"/>
              <w:gridCol w:w="1980"/>
              <w:gridCol w:w="1230"/>
            </w:tblGrid>
            <w:tr w:rsidR="006F0AE0" w:rsidRPr="008E2207" w14:paraId="324D0ADA" w14:textId="77777777" w:rsidTr="006F0AE0">
              <w:trPr>
                <w:trHeight w:val="358"/>
              </w:trPr>
              <w:tc>
                <w:tcPr>
                  <w:tcW w:w="40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D6D554" w14:textId="77777777" w:rsidR="006F0AE0" w:rsidRPr="008E2207" w:rsidRDefault="006F0AE0" w:rsidP="006F0A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C2BEDA" w14:textId="77777777" w:rsidR="006F0AE0" w:rsidRPr="008E2207" w:rsidRDefault="006F0AE0" w:rsidP="006F0A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2061AD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44FF154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EA084B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0AE0" w:rsidRPr="008E2207" w14:paraId="2EC1A9A5" w14:textId="77777777" w:rsidTr="006F0AE0">
              <w:trPr>
                <w:trHeight w:val="358"/>
              </w:trPr>
              <w:tc>
                <w:tcPr>
                  <w:tcW w:w="40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A60C5C" w14:textId="77777777" w:rsidR="006F0AE0" w:rsidRPr="008E2207" w:rsidRDefault="006F0AE0" w:rsidP="006F0A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D3503FC" w14:textId="77777777" w:rsidR="006F0AE0" w:rsidRPr="008E2207" w:rsidRDefault="006F0AE0" w:rsidP="006F0A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E696DD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367E97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7A34CAF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0AE0" w:rsidRPr="008E2207" w14:paraId="30177DB5" w14:textId="77777777" w:rsidTr="006F0AE0">
              <w:trPr>
                <w:trHeight w:val="358"/>
              </w:trPr>
              <w:tc>
                <w:tcPr>
                  <w:tcW w:w="40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95F123" w14:textId="77777777" w:rsidR="006F0AE0" w:rsidRPr="008E2207" w:rsidRDefault="006F0AE0" w:rsidP="006F0A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50AF85" w14:textId="77777777" w:rsidR="006F0AE0" w:rsidRPr="008E2207" w:rsidRDefault="006F0AE0" w:rsidP="006F0A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6A590F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E762D3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C71257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0AE0" w:rsidRPr="008E2207" w14:paraId="6FDA39E5" w14:textId="77777777" w:rsidTr="006F0AE0">
              <w:trPr>
                <w:trHeight w:val="358"/>
              </w:trPr>
              <w:tc>
                <w:tcPr>
                  <w:tcW w:w="40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3E4407" w14:textId="77777777" w:rsidR="006F0AE0" w:rsidRPr="008E2207" w:rsidRDefault="006F0AE0" w:rsidP="006F0A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FC467A8" w14:textId="77777777" w:rsidR="006F0AE0" w:rsidRPr="008E2207" w:rsidRDefault="006F0AE0" w:rsidP="006F0A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C96AD3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1415D8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96B63E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0AE0" w:rsidRPr="008E2207" w14:paraId="36D81965" w14:textId="77777777" w:rsidTr="006F0AE0">
              <w:trPr>
                <w:trHeight w:val="358"/>
              </w:trPr>
              <w:tc>
                <w:tcPr>
                  <w:tcW w:w="40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EBEA13" w14:textId="77777777" w:rsidR="006F0AE0" w:rsidRPr="008E2207" w:rsidRDefault="006F0AE0" w:rsidP="006F0A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27F9352" w14:textId="77777777" w:rsidR="006F0AE0" w:rsidRPr="008E2207" w:rsidRDefault="006F0AE0" w:rsidP="006F0A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43A860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9F40D1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8678E0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0AE0" w:rsidRPr="008E2207" w14:paraId="217F793F" w14:textId="77777777" w:rsidTr="006F0AE0">
              <w:trPr>
                <w:trHeight w:val="358"/>
              </w:trPr>
              <w:tc>
                <w:tcPr>
                  <w:tcW w:w="40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530073" w14:textId="77777777" w:rsidR="006F0AE0" w:rsidRPr="008E2207" w:rsidRDefault="006F0AE0" w:rsidP="006F0A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44FD90" w14:textId="77777777" w:rsidR="006F0AE0" w:rsidRPr="008E2207" w:rsidRDefault="006F0AE0" w:rsidP="006F0A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C06996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9F6507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F3869A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6F0AE0" w:rsidRPr="008E2207" w14:paraId="22612E17" w14:textId="77777777" w:rsidTr="006F0AE0">
              <w:trPr>
                <w:trHeight w:val="358"/>
              </w:trPr>
              <w:tc>
                <w:tcPr>
                  <w:tcW w:w="40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5B1B50" w14:textId="77777777" w:rsidR="006F0AE0" w:rsidRPr="008E2207" w:rsidRDefault="006F0AE0" w:rsidP="006F0A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339318" w14:textId="77777777" w:rsidR="006F0AE0" w:rsidRPr="008E2207" w:rsidRDefault="006F0AE0" w:rsidP="006F0A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9EE10E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331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2C87C4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not warranted</w:t>
                  </w:r>
                </w:p>
              </w:tc>
            </w:tr>
            <w:tr w:rsidR="006F0AE0" w:rsidRPr="008E2207" w14:paraId="4D92B010" w14:textId="77777777" w:rsidTr="006F0AE0">
              <w:trPr>
                <w:trHeight w:val="251"/>
              </w:trPr>
              <w:tc>
                <w:tcPr>
                  <w:tcW w:w="403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31F190" w14:textId="77777777" w:rsidR="006F0AE0" w:rsidRPr="008E2207" w:rsidRDefault="006F0AE0" w:rsidP="006F0AE0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0CE68B" w14:textId="77777777" w:rsidR="006F0AE0" w:rsidRPr="008E2207" w:rsidRDefault="006F0AE0" w:rsidP="006F0AE0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4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F55C67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0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E6C990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2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CCF739A" w14:textId="77777777" w:rsidR="006F0AE0" w:rsidRPr="008E2207" w:rsidRDefault="006F0AE0" w:rsidP="006F0AE0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8E220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</w:tbl>
          <w:p w14:paraId="30DDC3A4" w14:textId="7A012E66" w:rsidR="006F0AE0" w:rsidRDefault="006F0AE0">
            <w:pPr>
              <w:pStyle w:val="Tablefont"/>
            </w:pPr>
          </w:p>
        </w:tc>
      </w:tr>
    </w:tbl>
    <w:p w14:paraId="4064015C" w14:textId="77777777" w:rsidR="006F0AE0" w:rsidRPr="006F0AE0" w:rsidRDefault="006F0AE0" w:rsidP="006F0AE0">
      <w:pPr>
        <w:rPr>
          <w:lang w:eastAsia="en-AU"/>
        </w:rPr>
      </w:pPr>
    </w:p>
    <w:p w14:paraId="53AF899F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6C153646" w14:textId="77777777" w:rsidTr="0081337C">
        <w:trPr>
          <w:trHeight w:val="612"/>
          <w:tblHeader/>
        </w:trPr>
        <w:tc>
          <w:tcPr>
            <w:tcW w:w="4361" w:type="dxa"/>
            <w:vAlign w:val="center"/>
          </w:tcPr>
          <w:p w14:paraId="465FF501" w14:textId="40439955" w:rsidR="00EB3D1B" w:rsidRPr="00CC2C9E" w:rsidRDefault="00EB3D1B" w:rsidP="0081337C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E16645D" w14:textId="2977C79B" w:rsidR="00EB3D1B" w:rsidRDefault="00D26C5D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4D00A4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5378109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C26059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9B1C24F" w14:textId="21DA86E9" w:rsidR="001B79E5" w:rsidRDefault="00D26C5D" w:rsidP="001B79E5">
                <w:pPr>
                  <w:pStyle w:val="Tablefont"/>
                </w:pPr>
                <w:r w:rsidRPr="00D26C5D">
                  <w:t>170.92</w:t>
                </w:r>
              </w:p>
            </w:tc>
          </w:sdtContent>
        </w:sdt>
      </w:tr>
      <w:tr w:rsidR="00A31D99" w:rsidRPr="004C23F4" w14:paraId="6B5B7A2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0222E8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7A60B70D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9554DF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F6979D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C7400F2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B62DE88" w14:textId="77777777" w:rsidTr="00EA6243">
        <w:trPr>
          <w:cantSplit/>
        </w:trPr>
        <w:tc>
          <w:tcPr>
            <w:tcW w:w="4077" w:type="dxa"/>
            <w:vAlign w:val="center"/>
          </w:tcPr>
          <w:p w14:paraId="289B93C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3811DD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2C6531D" w14:textId="77777777" w:rsidTr="00EA6243">
        <w:trPr>
          <w:cantSplit/>
        </w:trPr>
        <w:tc>
          <w:tcPr>
            <w:tcW w:w="4077" w:type="dxa"/>
            <w:vAlign w:val="center"/>
          </w:tcPr>
          <w:p w14:paraId="5AFFD30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34ED82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196181A" w14:textId="77777777" w:rsidTr="00EA6243">
        <w:trPr>
          <w:cantSplit/>
        </w:trPr>
        <w:tc>
          <w:tcPr>
            <w:tcW w:w="4077" w:type="dxa"/>
            <w:vAlign w:val="center"/>
          </w:tcPr>
          <w:p w14:paraId="2D6F534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2DBB406" w14:textId="4499C77A" w:rsidR="00E06F40" w:rsidRPr="00A006A0" w:rsidRDefault="00C329FA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8379F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6279A0D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19FF61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84DC12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9F9077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122460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0B16B8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176442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7AE5E9C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146C365" w14:textId="4C961294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 w:rsidR="006319EF">
        <w:t>) (2001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330DA083" w14:textId="7E0EAD06" w:rsidR="003848F9" w:rsidRPr="00351FE0" w:rsidRDefault="003848F9" w:rsidP="00084859">
      <w:r w:rsidRPr="00D86E03">
        <w:t>US National Institute for Occupational Safety and Health (NIOSH)</w:t>
      </w:r>
      <w:r w:rsidR="006319EF">
        <w:t xml:space="preserve"> (2001</w:t>
      </w:r>
      <w:r>
        <w:t xml:space="preserve">) Immediately dangerous to life or health concentrations – </w:t>
      </w:r>
      <w:r w:rsidRPr="003848F9">
        <w:t>Dichlorotetrafluoroethane</w:t>
      </w:r>
      <w:r>
        <w:t>.</w:t>
      </w:r>
    </w:p>
    <w:sectPr w:rsidR="003848F9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D29D9" w14:textId="77777777" w:rsidR="00836D94" w:rsidRDefault="00836D94" w:rsidP="00F43AD5">
      <w:pPr>
        <w:spacing w:after="0" w:line="240" w:lineRule="auto"/>
      </w:pPr>
      <w:r>
        <w:separator/>
      </w:r>
    </w:p>
  </w:endnote>
  <w:endnote w:type="continuationSeparator" w:id="0">
    <w:p w14:paraId="2F2E0E32" w14:textId="77777777" w:rsidR="00836D94" w:rsidRDefault="00836D94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17192" w14:textId="77777777" w:rsidR="009F4940" w:rsidRDefault="009F494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9B0DA55" w14:textId="7BFF4CD5" w:rsidR="008A36CF" w:rsidRDefault="00CC2C9E" w:rsidP="0034744C">
        <w:pPr>
          <w:pStyle w:val="Footer"/>
          <w:rPr>
            <w:sz w:val="18"/>
            <w:szCs w:val="18"/>
          </w:rPr>
        </w:pPr>
        <w:r w:rsidRPr="00CC2C9E">
          <w:rPr>
            <w:b/>
            <w:sz w:val="18"/>
            <w:szCs w:val="18"/>
          </w:rPr>
          <w:t>Dichlorotetrafluoroethane</w:t>
        </w:r>
        <w:r w:rsidR="008A36CF">
          <w:rPr>
            <w:b/>
            <w:sz w:val="18"/>
            <w:szCs w:val="18"/>
          </w:rPr>
          <w:t xml:space="preserve"> (</w:t>
        </w:r>
        <w:r w:rsidRPr="00CC2C9E">
          <w:rPr>
            <w:b/>
            <w:sz w:val="18"/>
            <w:szCs w:val="18"/>
          </w:rPr>
          <w:t>76-14-2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00B4CB0B" w14:textId="78BBA15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90920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59428" w14:textId="77777777" w:rsidR="009F4940" w:rsidRDefault="009F494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F1D0E" w14:textId="77777777" w:rsidR="00836D94" w:rsidRDefault="00836D94" w:rsidP="00F43AD5">
      <w:pPr>
        <w:spacing w:after="0" w:line="240" w:lineRule="auto"/>
      </w:pPr>
      <w:r>
        <w:separator/>
      </w:r>
    </w:p>
  </w:footnote>
  <w:footnote w:type="continuationSeparator" w:id="0">
    <w:p w14:paraId="6063C56E" w14:textId="77777777" w:rsidR="00836D94" w:rsidRDefault="00836D94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C5E96" w14:textId="06870738" w:rsidR="009F4940" w:rsidRDefault="009F49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B5E56" w14:textId="052CB0E9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AF4A6A" w14:textId="2221D221" w:rsidR="009F4940" w:rsidRDefault="009F4940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0166C" w14:textId="6A793133" w:rsidR="00003A64" w:rsidRDefault="00003A6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325D5" w14:textId="46615FD2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A8B22" w14:textId="1E8B8BA6" w:rsidR="00003A64" w:rsidRDefault="00003A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174E68A"/>
    <w:lvl w:ilvl="0">
      <w:start w:val="1"/>
      <w:numFmt w:val="bullet"/>
      <w:pStyle w:val="ListBullet"/>
      <w:lvlText w:val=""/>
      <w:lvlJc w:val="left"/>
      <w:pPr>
        <w:tabs>
          <w:tab w:val="num" w:pos="630"/>
        </w:tabs>
        <w:ind w:left="630" w:hanging="360"/>
      </w:pPr>
      <w:rPr>
        <w:rFonts w:ascii="Symbol" w:hAnsi="Symbol" w:hint="default"/>
      </w:rPr>
    </w:lvl>
  </w:abstractNum>
  <w:abstractNum w:abstractNumId="1" w15:restartNumberingAfterBreak="0">
    <w:nsid w:val="17FA10AB"/>
    <w:multiLevelType w:val="hybridMultilevel"/>
    <w:tmpl w:val="5CCA0632"/>
    <w:lvl w:ilvl="0" w:tplc="0C0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9C713B5"/>
    <w:multiLevelType w:val="hybridMultilevel"/>
    <w:tmpl w:val="E5C2D8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0A631C"/>
    <w:multiLevelType w:val="hybridMultilevel"/>
    <w:tmpl w:val="FD100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779674">
    <w:abstractNumId w:val="0"/>
  </w:num>
  <w:num w:numId="2" w16cid:durableId="2076926192">
    <w:abstractNumId w:val="2"/>
  </w:num>
  <w:num w:numId="3" w16cid:durableId="1259211844">
    <w:abstractNumId w:val="1"/>
  </w:num>
  <w:num w:numId="4" w16cid:durableId="15434703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3A64"/>
    <w:rsid w:val="00007B80"/>
    <w:rsid w:val="00011F50"/>
    <w:rsid w:val="00013425"/>
    <w:rsid w:val="00013A22"/>
    <w:rsid w:val="00014C3F"/>
    <w:rsid w:val="00017C82"/>
    <w:rsid w:val="00032B88"/>
    <w:rsid w:val="0004651C"/>
    <w:rsid w:val="00046DF5"/>
    <w:rsid w:val="000477E7"/>
    <w:rsid w:val="00052060"/>
    <w:rsid w:val="0005574A"/>
    <w:rsid w:val="00055FE1"/>
    <w:rsid w:val="00056EC2"/>
    <w:rsid w:val="00060B48"/>
    <w:rsid w:val="00067785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7BA3"/>
    <w:rsid w:val="000D291C"/>
    <w:rsid w:val="000E5A54"/>
    <w:rsid w:val="000E63D3"/>
    <w:rsid w:val="000E67CF"/>
    <w:rsid w:val="0010461E"/>
    <w:rsid w:val="00104681"/>
    <w:rsid w:val="00106FAA"/>
    <w:rsid w:val="00112758"/>
    <w:rsid w:val="00113443"/>
    <w:rsid w:val="001269A7"/>
    <w:rsid w:val="00131092"/>
    <w:rsid w:val="00140759"/>
    <w:rsid w:val="00140E6A"/>
    <w:rsid w:val="00146545"/>
    <w:rsid w:val="00146B75"/>
    <w:rsid w:val="00147A40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1AAE"/>
    <w:rsid w:val="002046A6"/>
    <w:rsid w:val="00204956"/>
    <w:rsid w:val="00213640"/>
    <w:rsid w:val="002137A9"/>
    <w:rsid w:val="00221547"/>
    <w:rsid w:val="002216FC"/>
    <w:rsid w:val="00222533"/>
    <w:rsid w:val="00222F30"/>
    <w:rsid w:val="00224EE2"/>
    <w:rsid w:val="00227EC7"/>
    <w:rsid w:val="00244AD1"/>
    <w:rsid w:val="002463B3"/>
    <w:rsid w:val="002463BC"/>
    <w:rsid w:val="002465CE"/>
    <w:rsid w:val="002517A1"/>
    <w:rsid w:val="0025734A"/>
    <w:rsid w:val="00263255"/>
    <w:rsid w:val="002663DE"/>
    <w:rsid w:val="0026677C"/>
    <w:rsid w:val="00276494"/>
    <w:rsid w:val="00277B0C"/>
    <w:rsid w:val="00290213"/>
    <w:rsid w:val="002B1A2C"/>
    <w:rsid w:val="002C34F2"/>
    <w:rsid w:val="002C58FF"/>
    <w:rsid w:val="002C7AFE"/>
    <w:rsid w:val="002D05D2"/>
    <w:rsid w:val="002D176E"/>
    <w:rsid w:val="002E0D61"/>
    <w:rsid w:val="002E1815"/>
    <w:rsid w:val="002E20FF"/>
    <w:rsid w:val="002E4C7B"/>
    <w:rsid w:val="002E5F18"/>
    <w:rsid w:val="00301E7C"/>
    <w:rsid w:val="0030740C"/>
    <w:rsid w:val="00315833"/>
    <w:rsid w:val="00315CAE"/>
    <w:rsid w:val="003215EE"/>
    <w:rsid w:val="003224BF"/>
    <w:rsid w:val="003241A8"/>
    <w:rsid w:val="003253F0"/>
    <w:rsid w:val="003337DA"/>
    <w:rsid w:val="00334EFB"/>
    <w:rsid w:val="00335CDE"/>
    <w:rsid w:val="00336079"/>
    <w:rsid w:val="003365A5"/>
    <w:rsid w:val="00347192"/>
    <w:rsid w:val="0034744C"/>
    <w:rsid w:val="00351FE0"/>
    <w:rsid w:val="00352615"/>
    <w:rsid w:val="0035412B"/>
    <w:rsid w:val="003567A8"/>
    <w:rsid w:val="00360BC9"/>
    <w:rsid w:val="00362895"/>
    <w:rsid w:val="0036366F"/>
    <w:rsid w:val="00370113"/>
    <w:rsid w:val="00370DBF"/>
    <w:rsid w:val="003848F9"/>
    <w:rsid w:val="00386093"/>
    <w:rsid w:val="003904A4"/>
    <w:rsid w:val="00391841"/>
    <w:rsid w:val="00391B6D"/>
    <w:rsid w:val="00394922"/>
    <w:rsid w:val="003A0E32"/>
    <w:rsid w:val="003A2B94"/>
    <w:rsid w:val="003B3539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4ACD"/>
    <w:rsid w:val="00430179"/>
    <w:rsid w:val="004414B5"/>
    <w:rsid w:val="00443A12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58B4"/>
    <w:rsid w:val="004C1E3F"/>
    <w:rsid w:val="004C23F4"/>
    <w:rsid w:val="004C308F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7070E"/>
    <w:rsid w:val="00581055"/>
    <w:rsid w:val="0058218A"/>
    <w:rsid w:val="00591E38"/>
    <w:rsid w:val="00593886"/>
    <w:rsid w:val="005A19C5"/>
    <w:rsid w:val="005A3034"/>
    <w:rsid w:val="005A304E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19EF"/>
    <w:rsid w:val="006363A8"/>
    <w:rsid w:val="00636DB7"/>
    <w:rsid w:val="00650905"/>
    <w:rsid w:val="006532ED"/>
    <w:rsid w:val="006549F2"/>
    <w:rsid w:val="006567B7"/>
    <w:rsid w:val="00657BFB"/>
    <w:rsid w:val="006601A5"/>
    <w:rsid w:val="0066333C"/>
    <w:rsid w:val="006639B4"/>
    <w:rsid w:val="006650FE"/>
    <w:rsid w:val="00667D90"/>
    <w:rsid w:val="0067305D"/>
    <w:rsid w:val="00677D9B"/>
    <w:rsid w:val="00680B68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0AE0"/>
    <w:rsid w:val="00701053"/>
    <w:rsid w:val="00701507"/>
    <w:rsid w:val="00711DB8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5670"/>
    <w:rsid w:val="007E6A4E"/>
    <w:rsid w:val="007E6C94"/>
    <w:rsid w:val="007F1005"/>
    <w:rsid w:val="007F25E0"/>
    <w:rsid w:val="007F40F8"/>
    <w:rsid w:val="007F4851"/>
    <w:rsid w:val="007F5328"/>
    <w:rsid w:val="00804F5A"/>
    <w:rsid w:val="00810C6D"/>
    <w:rsid w:val="00812887"/>
    <w:rsid w:val="0081337C"/>
    <w:rsid w:val="0081472A"/>
    <w:rsid w:val="00826F21"/>
    <w:rsid w:val="00834CC8"/>
    <w:rsid w:val="00835E00"/>
    <w:rsid w:val="00836D94"/>
    <w:rsid w:val="00837113"/>
    <w:rsid w:val="008379FC"/>
    <w:rsid w:val="008414E4"/>
    <w:rsid w:val="00843E21"/>
    <w:rsid w:val="0084508E"/>
    <w:rsid w:val="00857A8A"/>
    <w:rsid w:val="008630EE"/>
    <w:rsid w:val="00864D13"/>
    <w:rsid w:val="00871CD5"/>
    <w:rsid w:val="00872A38"/>
    <w:rsid w:val="008745A2"/>
    <w:rsid w:val="00874970"/>
    <w:rsid w:val="008768A8"/>
    <w:rsid w:val="00876EE2"/>
    <w:rsid w:val="00881937"/>
    <w:rsid w:val="0088798F"/>
    <w:rsid w:val="00887E4B"/>
    <w:rsid w:val="008901ED"/>
    <w:rsid w:val="008915C8"/>
    <w:rsid w:val="008A36CF"/>
    <w:rsid w:val="008A3BC4"/>
    <w:rsid w:val="008A3CAF"/>
    <w:rsid w:val="008A7B75"/>
    <w:rsid w:val="008B1626"/>
    <w:rsid w:val="008B36C7"/>
    <w:rsid w:val="008B403C"/>
    <w:rsid w:val="008B7983"/>
    <w:rsid w:val="008C2511"/>
    <w:rsid w:val="008D026D"/>
    <w:rsid w:val="008D23AB"/>
    <w:rsid w:val="008D4B8B"/>
    <w:rsid w:val="008D5A78"/>
    <w:rsid w:val="008E2207"/>
    <w:rsid w:val="008E7B64"/>
    <w:rsid w:val="008F5DCD"/>
    <w:rsid w:val="00900951"/>
    <w:rsid w:val="009118A6"/>
    <w:rsid w:val="00916909"/>
    <w:rsid w:val="00916EC0"/>
    <w:rsid w:val="00920467"/>
    <w:rsid w:val="00921DE7"/>
    <w:rsid w:val="00923C32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40A3"/>
    <w:rsid w:val="009971C2"/>
    <w:rsid w:val="009A1254"/>
    <w:rsid w:val="009B1697"/>
    <w:rsid w:val="009B2FF2"/>
    <w:rsid w:val="009B3548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4940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02EC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935"/>
    <w:rsid w:val="00B00A25"/>
    <w:rsid w:val="00B1422A"/>
    <w:rsid w:val="00B1765C"/>
    <w:rsid w:val="00B213C4"/>
    <w:rsid w:val="00B40C60"/>
    <w:rsid w:val="00B479A9"/>
    <w:rsid w:val="00B52EDF"/>
    <w:rsid w:val="00B666A1"/>
    <w:rsid w:val="00B71188"/>
    <w:rsid w:val="00B76A41"/>
    <w:rsid w:val="00B87D4C"/>
    <w:rsid w:val="00B93646"/>
    <w:rsid w:val="00BA07BF"/>
    <w:rsid w:val="00BA0B38"/>
    <w:rsid w:val="00BA1DBB"/>
    <w:rsid w:val="00BA4510"/>
    <w:rsid w:val="00BA529A"/>
    <w:rsid w:val="00BB184E"/>
    <w:rsid w:val="00BB612A"/>
    <w:rsid w:val="00BB6817"/>
    <w:rsid w:val="00BD499F"/>
    <w:rsid w:val="00BD56DE"/>
    <w:rsid w:val="00BF2406"/>
    <w:rsid w:val="00C06E43"/>
    <w:rsid w:val="00C16315"/>
    <w:rsid w:val="00C20DB7"/>
    <w:rsid w:val="00C3091E"/>
    <w:rsid w:val="00C329FA"/>
    <w:rsid w:val="00C40FF1"/>
    <w:rsid w:val="00C419E2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2341"/>
    <w:rsid w:val="00C850A0"/>
    <w:rsid w:val="00C85A86"/>
    <w:rsid w:val="00C978F0"/>
    <w:rsid w:val="00CA1540"/>
    <w:rsid w:val="00CA58FE"/>
    <w:rsid w:val="00CB1CB1"/>
    <w:rsid w:val="00CB6BC1"/>
    <w:rsid w:val="00CB6CB8"/>
    <w:rsid w:val="00CC1A68"/>
    <w:rsid w:val="00CC2123"/>
    <w:rsid w:val="00CC2C9E"/>
    <w:rsid w:val="00CD2BFD"/>
    <w:rsid w:val="00CE554E"/>
    <w:rsid w:val="00CE5AD6"/>
    <w:rsid w:val="00CE617F"/>
    <w:rsid w:val="00CE78EF"/>
    <w:rsid w:val="00D048F7"/>
    <w:rsid w:val="00D0517E"/>
    <w:rsid w:val="00D13F8F"/>
    <w:rsid w:val="00D140FC"/>
    <w:rsid w:val="00D201E6"/>
    <w:rsid w:val="00D21D8C"/>
    <w:rsid w:val="00D26C5D"/>
    <w:rsid w:val="00D30C17"/>
    <w:rsid w:val="00D31357"/>
    <w:rsid w:val="00D33220"/>
    <w:rsid w:val="00D334D1"/>
    <w:rsid w:val="00D44C89"/>
    <w:rsid w:val="00D516CD"/>
    <w:rsid w:val="00D53AD5"/>
    <w:rsid w:val="00D668E6"/>
    <w:rsid w:val="00D70670"/>
    <w:rsid w:val="00D74D80"/>
    <w:rsid w:val="00D76624"/>
    <w:rsid w:val="00D87570"/>
    <w:rsid w:val="00D91CB9"/>
    <w:rsid w:val="00D97989"/>
    <w:rsid w:val="00D97D8D"/>
    <w:rsid w:val="00DA001C"/>
    <w:rsid w:val="00DA352E"/>
    <w:rsid w:val="00DB687E"/>
    <w:rsid w:val="00DC7694"/>
    <w:rsid w:val="00DD1BF6"/>
    <w:rsid w:val="00DD2F9B"/>
    <w:rsid w:val="00DD6162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06F7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7953"/>
    <w:rsid w:val="00ED1D89"/>
    <w:rsid w:val="00ED66BC"/>
    <w:rsid w:val="00EE7BF2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920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5B08"/>
    <w:rsid w:val="00FC60A2"/>
    <w:rsid w:val="00FD1871"/>
    <w:rsid w:val="00FD3110"/>
    <w:rsid w:val="00FE224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876EE2"/>
    <w:pPr>
      <w:numPr>
        <w:numId w:val="1"/>
      </w:numPr>
      <w:tabs>
        <w:tab w:val="clear" w:pos="630"/>
        <w:tab w:val="num" w:pos="360"/>
      </w:tabs>
      <w:ind w:left="36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B1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B162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B1626"/>
    <w:rPr>
      <w:szCs w:val="20"/>
    </w:rPr>
  </w:style>
  <w:style w:type="paragraph" w:styleId="ListParagraph">
    <w:name w:val="List Paragraph"/>
    <w:basedOn w:val="Normal"/>
    <w:uiPriority w:val="34"/>
    <w:qFormat/>
    <w:rsid w:val="008B1626"/>
    <w:pPr>
      <w:spacing w:after="0" w:line="240" w:lineRule="auto"/>
      <w:ind w:left="720"/>
    </w:pPr>
    <w:rPr>
      <w:rFonts w:ascii="Calibri" w:eastAsia="Times New Roman" w:hAnsi="Calibri" w:cs="Calibri"/>
      <w:sz w:val="22"/>
    </w:rPr>
  </w:style>
  <w:style w:type="paragraph" w:styleId="NormalWeb">
    <w:name w:val="Normal (Web)"/>
    <w:basedOn w:val="Normal"/>
    <w:uiPriority w:val="99"/>
    <w:semiHidden/>
    <w:unhideWhenUsed/>
    <w:rsid w:val="00D2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7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758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3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51C8540A4D4F0A9062F5B1698DCB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1D35A6-51B4-4D9C-B1D2-B881B06F755D}"/>
      </w:docPartPr>
      <w:docPartBody>
        <w:p w:rsidR="00D21A9F" w:rsidRDefault="00D21A9F">
          <w:pPr>
            <w:pStyle w:val="EA51C8540A4D4F0A9062F5B1698DCBB0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FD9C53973FE54789A83F10A72452DF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28D43F-6AF4-4973-A70F-CF52B50EBD2D}"/>
      </w:docPartPr>
      <w:docPartBody>
        <w:p w:rsidR="00AF4BA2" w:rsidRDefault="00F54CE2" w:rsidP="00F54CE2">
          <w:pPr>
            <w:pStyle w:val="FD9C53973FE54789A83F10A72452DFDC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57A6BBCF902B468080B1FEABD6912E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EB56AB-B4ED-4248-B672-A4D7C9AFA3F8}"/>
      </w:docPartPr>
      <w:docPartBody>
        <w:p w:rsidR="00084688" w:rsidRDefault="00437807" w:rsidP="00437807">
          <w:pPr>
            <w:pStyle w:val="57A6BBCF902B468080B1FEABD6912E41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84688"/>
    <w:rsid w:val="002517A1"/>
    <w:rsid w:val="00437807"/>
    <w:rsid w:val="004C3B63"/>
    <w:rsid w:val="008A304E"/>
    <w:rsid w:val="00AF4BA2"/>
    <w:rsid w:val="00D21A9F"/>
    <w:rsid w:val="00E372AB"/>
    <w:rsid w:val="00F54CE2"/>
    <w:rsid w:val="00F82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37807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EA51C8540A4D4F0A9062F5B1698DCBB0">
    <w:name w:val="EA51C8540A4D4F0A9062F5B1698DCBB0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FD9C53973FE54789A83F10A72452DFDC">
    <w:name w:val="FD9C53973FE54789A83F10A72452DFDC"/>
    <w:rsid w:val="00F54CE2"/>
  </w:style>
  <w:style w:type="paragraph" w:customStyle="1" w:styleId="57A6BBCF902B468080B1FEABD6912E41">
    <w:name w:val="57A6BBCF902B468080B1FEABD6912E41"/>
    <w:rsid w:val="004378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CBF074-A2F2-4361-BCD3-56861991E055}"/>
</file>

<file path=customXml/itemProps2.xml><?xml version="1.0" encoding="utf-8"?>
<ds:datastoreItem xmlns:ds="http://schemas.openxmlformats.org/officeDocument/2006/customXml" ds:itemID="{BBA3BE23-D306-4BEE-9659-6D8AA5DD09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8225FBC-A140-45CC-AD91-9BB0F8507D91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bf54d604-3e62-4e70-ba33-9e9084b96a66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2E0AB13-5FE0-41DD-88D0-16A11CF1EEB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2019-11-06T06:00:00Z</dcterms:created>
  <dcterms:modified xsi:type="dcterms:W3CDTF">2025-12-22T23:36:00Z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2025-12-22T23:36:06Z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a0752c56-0137-4952-89fa-bad9c63fa5d5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