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B2AD814" w14:textId="08B29E1E" w:rsidR="00BD499F" w:rsidRPr="004C23F4" w:rsidRDefault="00892A32" w:rsidP="00B40C60">
          <w:pPr>
            <w:pStyle w:val="Heading1"/>
            <w:jc w:val="center"/>
            <w:rPr>
              <w:rFonts w:ascii="Arial" w:hAnsi="Arial" w:cs="Arial"/>
            </w:rPr>
          </w:pPr>
          <w:r w:rsidRPr="00892A32">
            <w:rPr>
              <w:rFonts w:ascii="Arial" w:hAnsi="Arial" w:cs="Arial"/>
            </w:rPr>
            <w:t>Dichloroethyl ether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5A608BE0" w14:textId="77777777" w:rsidTr="003D6368">
        <w:trPr>
          <w:cantSplit/>
          <w:tblHeader/>
        </w:trPr>
        <w:tc>
          <w:tcPr>
            <w:tcW w:w="3986" w:type="dxa"/>
          </w:tcPr>
          <w:p w14:paraId="05B03F6D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0" w:type="dxa"/>
          </w:tcPr>
          <w:p w14:paraId="557DE900" w14:textId="4E1597A6" w:rsidR="00F43AD5" w:rsidRPr="00717D45" w:rsidRDefault="00892A32" w:rsidP="00B76A41">
            <w:pPr>
              <w:pStyle w:val="Tablefont"/>
            </w:pPr>
            <w:r w:rsidRPr="00892A32">
              <w:t>111-44-4</w:t>
            </w:r>
          </w:p>
        </w:tc>
      </w:tr>
      <w:tr w:rsidR="00F43AD5" w:rsidRPr="004C23F4" w14:paraId="5A3B3114" w14:textId="77777777" w:rsidTr="003D6368">
        <w:trPr>
          <w:cantSplit/>
        </w:trPr>
        <w:tc>
          <w:tcPr>
            <w:tcW w:w="3986" w:type="dxa"/>
          </w:tcPr>
          <w:p w14:paraId="44E2F94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0" w:type="dxa"/>
          </w:tcPr>
          <w:p w14:paraId="5281D7A8" w14:textId="70FA885F" w:rsidR="00F43AD5" w:rsidRPr="00717D45" w:rsidRDefault="00334CE5" w:rsidP="00B76A41">
            <w:pPr>
              <w:pStyle w:val="Tablefont"/>
            </w:pPr>
            <w:r>
              <w:t>B</w:t>
            </w:r>
            <w:r w:rsidR="00892A32" w:rsidRPr="00892A32">
              <w:t>is-(2-Chloroethyl)-ether</w:t>
            </w:r>
          </w:p>
        </w:tc>
      </w:tr>
      <w:tr w:rsidR="00F43AD5" w:rsidRPr="004C23F4" w14:paraId="481BB61E" w14:textId="77777777" w:rsidTr="003D6368">
        <w:trPr>
          <w:cantSplit/>
        </w:trPr>
        <w:tc>
          <w:tcPr>
            <w:tcW w:w="3986" w:type="dxa"/>
          </w:tcPr>
          <w:p w14:paraId="2BD6BF6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0" w:type="dxa"/>
          </w:tcPr>
          <w:p w14:paraId="687ABFC4" w14:textId="559A702D" w:rsidR="00F43AD5" w:rsidRPr="00717D45" w:rsidRDefault="00892A32" w:rsidP="00B76A41">
            <w:pPr>
              <w:pStyle w:val="Tablefont"/>
            </w:pPr>
            <w:r>
              <w:t>C</w:t>
            </w:r>
            <w:r w:rsidRPr="00892A32">
              <w:rPr>
                <w:vertAlign w:val="subscript"/>
              </w:rPr>
              <w:t>4</w:t>
            </w:r>
            <w:r>
              <w:t>H</w:t>
            </w:r>
            <w:r w:rsidRPr="00892A32">
              <w:rPr>
                <w:vertAlign w:val="subscript"/>
              </w:rPr>
              <w:t>8</w:t>
            </w:r>
            <w:r>
              <w:t>Cl</w:t>
            </w:r>
            <w:r w:rsidRPr="00892A32">
              <w:rPr>
                <w:vertAlign w:val="subscript"/>
              </w:rPr>
              <w:t>2</w:t>
            </w:r>
            <w:r>
              <w:t>O</w:t>
            </w:r>
          </w:p>
        </w:tc>
      </w:tr>
    </w:tbl>
    <w:p w14:paraId="2C2BE517" w14:textId="524C12D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A2FD3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970DA71" w14:textId="77777777" w:rsidTr="00856322">
        <w:trPr>
          <w:cantSplit/>
          <w:tblHeader/>
        </w:trPr>
        <w:tc>
          <w:tcPr>
            <w:tcW w:w="3997" w:type="dxa"/>
            <w:vAlign w:val="center"/>
          </w:tcPr>
          <w:p w14:paraId="2B0072B5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4B3D4AF1" w14:textId="171CCFBB" w:rsidR="002C7AFE" w:rsidRPr="00EB3D1B" w:rsidRDefault="00F7001E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</w:t>
            </w:r>
            <w:r w:rsidR="00BA2FD3" w:rsidRPr="00BA2FD3">
              <w:rPr>
                <w:b/>
              </w:rPr>
              <w:t xml:space="preserve"> pp</w:t>
            </w:r>
            <w:r>
              <w:rPr>
                <w:b/>
              </w:rPr>
              <w:t>m</w:t>
            </w:r>
            <w:r w:rsidR="00BA2FD3" w:rsidRPr="00BA2FD3">
              <w:rPr>
                <w:b/>
              </w:rPr>
              <w:t xml:space="preserve"> (</w:t>
            </w:r>
            <w:r w:rsidR="00E26630">
              <w:rPr>
                <w:b/>
              </w:rPr>
              <w:t>29 m</w:t>
            </w:r>
            <w:r w:rsidR="00BA2FD3" w:rsidRPr="00BA2FD3">
              <w:rPr>
                <w:b/>
              </w:rPr>
              <w:t>g/m</w:t>
            </w:r>
            <w:r w:rsidR="00BA2FD3" w:rsidRPr="00BA2FD3">
              <w:rPr>
                <w:b/>
                <w:vertAlign w:val="superscript"/>
              </w:rPr>
              <w:t>3</w:t>
            </w:r>
            <w:r w:rsidR="00BA2FD3" w:rsidRPr="00BA2FD3">
              <w:rPr>
                <w:b/>
              </w:rPr>
              <w:t>)</w:t>
            </w:r>
          </w:p>
        </w:tc>
      </w:tr>
      <w:tr w:rsidR="002C7AFE" w:rsidRPr="004C23F4" w14:paraId="3ACFFD65" w14:textId="77777777" w:rsidTr="00856322">
        <w:trPr>
          <w:cantSplit/>
        </w:trPr>
        <w:tc>
          <w:tcPr>
            <w:tcW w:w="3997" w:type="dxa"/>
            <w:vAlign w:val="center"/>
          </w:tcPr>
          <w:p w14:paraId="4978E13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3D63DADC" w14:textId="4C8BCA23" w:rsidR="002C7AFE" w:rsidRPr="00EB3D1B" w:rsidRDefault="00950EA0" w:rsidP="00017C82">
            <w:pPr>
              <w:pStyle w:val="Tablefont"/>
              <w:rPr>
                <w:b/>
              </w:rPr>
            </w:pPr>
            <w:r w:rsidRPr="00892A32">
              <w:t>—</w:t>
            </w:r>
          </w:p>
        </w:tc>
      </w:tr>
      <w:tr w:rsidR="002C7AFE" w:rsidRPr="004C23F4" w14:paraId="2490052D" w14:textId="77777777" w:rsidTr="00856322">
        <w:trPr>
          <w:cantSplit/>
        </w:trPr>
        <w:tc>
          <w:tcPr>
            <w:tcW w:w="3997" w:type="dxa"/>
            <w:vAlign w:val="center"/>
          </w:tcPr>
          <w:p w14:paraId="5838CC8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160A4F47" w14:textId="6D2E358E" w:rsidR="002C7AFE" w:rsidRPr="00EB3D1B" w:rsidRDefault="00892A32" w:rsidP="00017C82">
            <w:pPr>
              <w:pStyle w:val="Tablefont"/>
              <w:rPr>
                <w:b/>
              </w:rPr>
            </w:pPr>
            <w:r w:rsidRPr="00892A32">
              <w:t>—</w:t>
            </w:r>
          </w:p>
        </w:tc>
      </w:tr>
      <w:tr w:rsidR="002C7AFE" w:rsidRPr="004C23F4" w14:paraId="679D0928" w14:textId="77777777" w:rsidTr="00856322">
        <w:trPr>
          <w:cantSplit/>
        </w:trPr>
        <w:tc>
          <w:tcPr>
            <w:tcW w:w="3997" w:type="dxa"/>
          </w:tcPr>
          <w:p w14:paraId="44235388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1A486D7D" w14:textId="121F5F41" w:rsidR="002C7AFE" w:rsidRPr="00EB3D1B" w:rsidRDefault="00892A32" w:rsidP="008A36CF">
            <w:pPr>
              <w:pStyle w:val="Tablefont"/>
              <w:rPr>
                <w:b/>
              </w:rPr>
            </w:pPr>
            <w:proofErr w:type="spellStart"/>
            <w:r w:rsidRPr="00892A32">
              <w:rPr>
                <w:b/>
              </w:rPr>
              <w:t>Carc</w:t>
            </w:r>
            <w:proofErr w:type="spellEnd"/>
            <w:r w:rsidRPr="00892A32">
              <w:rPr>
                <w:b/>
              </w:rPr>
              <w:t>. 2</w:t>
            </w:r>
            <w:r>
              <w:rPr>
                <w:b/>
              </w:rPr>
              <w:t xml:space="preserve">, </w:t>
            </w:r>
            <w:r w:rsidRPr="00892A32">
              <w:rPr>
                <w:b/>
              </w:rPr>
              <w:t>Sk</w:t>
            </w:r>
            <w:r w:rsidR="008F78DF">
              <w:rPr>
                <w:b/>
              </w:rPr>
              <w:t>.</w:t>
            </w:r>
          </w:p>
        </w:tc>
      </w:tr>
      <w:tr w:rsidR="002C7AFE" w:rsidRPr="004C23F4" w14:paraId="66920E7B" w14:textId="77777777" w:rsidTr="00856322">
        <w:trPr>
          <w:cantSplit/>
        </w:trPr>
        <w:tc>
          <w:tcPr>
            <w:tcW w:w="3997" w:type="dxa"/>
            <w:vAlign w:val="center"/>
          </w:tcPr>
          <w:p w14:paraId="0E753EF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42FC5D3F" w14:textId="3A8FDFFD" w:rsidR="002C7AFE" w:rsidRPr="007577A4" w:rsidRDefault="007577A4" w:rsidP="00017C82">
            <w:pPr>
              <w:pStyle w:val="Tablefont"/>
              <w:rPr>
                <w:b/>
              </w:rPr>
            </w:pPr>
            <w:r w:rsidRPr="007577A4">
              <w:rPr>
                <w:b/>
              </w:rPr>
              <w:t>100 ppm</w:t>
            </w:r>
          </w:p>
        </w:tc>
      </w:tr>
      <w:tr w:rsidR="00A32334" w:rsidRPr="004C23F4" w14:paraId="3CD422FA" w14:textId="77777777" w:rsidTr="009C4D4F">
        <w:trPr>
          <w:cantSplit/>
        </w:trPr>
        <w:tc>
          <w:tcPr>
            <w:tcW w:w="9026" w:type="dxa"/>
            <w:gridSpan w:val="2"/>
            <w:vAlign w:val="center"/>
          </w:tcPr>
          <w:p w14:paraId="7352715E" w14:textId="5C130CBA" w:rsidR="00A32334" w:rsidRPr="00892A32" w:rsidRDefault="00A32334" w:rsidP="00A32334">
            <w:pPr>
              <w:pStyle w:val="Tablefont"/>
            </w:pPr>
            <w:r w:rsidRPr="0042159A">
              <w:rPr>
                <w:b/>
              </w:rPr>
              <w:t>Sampling and analysis</w:t>
            </w:r>
            <w:r w:rsidRPr="00C9508E"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891105A7E1404AD6BC30B41DA26F784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5A7E53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17CB5BB9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6F8A84BF" w14:textId="52D25038" w:rsidR="006639B4" w:rsidRPr="004C23F4" w:rsidRDefault="00950EA0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E26630">
        <w:rPr>
          <w:rFonts w:cs="Arial"/>
        </w:rPr>
        <w:t>5</w:t>
      </w:r>
      <w:r w:rsidRPr="00C36A4B">
        <w:rPr>
          <w:rFonts w:cs="Arial"/>
        </w:rPr>
        <w:t xml:space="preserve"> pp</w:t>
      </w:r>
      <w:r w:rsidR="00E26630">
        <w:rPr>
          <w:rFonts w:cs="Arial"/>
        </w:rPr>
        <w:t>m</w:t>
      </w:r>
      <w:r w:rsidRPr="00C36A4B">
        <w:rPr>
          <w:rFonts w:cs="Arial"/>
        </w:rPr>
        <w:t xml:space="preserve"> (</w:t>
      </w:r>
      <w:r w:rsidR="00E26630">
        <w:rPr>
          <w:rFonts w:cs="Arial"/>
        </w:rPr>
        <w:t>29 m</w:t>
      </w:r>
      <w:r w:rsidRPr="00C36A4B">
        <w:rPr>
          <w:rFonts w:cs="Arial"/>
        </w:rPr>
        <w:t>g/m</w:t>
      </w:r>
      <w:r w:rsidRPr="00C36A4B">
        <w:rPr>
          <w:rFonts w:cs="Arial"/>
          <w:vertAlign w:val="superscript"/>
        </w:rPr>
        <w:t>3</w:t>
      </w:r>
      <w:r w:rsidRPr="00C36A4B">
        <w:rPr>
          <w:rFonts w:cs="Arial"/>
        </w:rPr>
        <w:t>)</w:t>
      </w:r>
      <w:r>
        <w:rPr>
          <w:rFonts w:cs="Arial"/>
        </w:rPr>
        <w:t xml:space="preserve"> is recommended to </w:t>
      </w:r>
      <w:r w:rsidR="00563CAF">
        <w:rPr>
          <w:rFonts w:cs="Arial"/>
        </w:rPr>
        <w:t>protect for eye</w:t>
      </w:r>
      <w:r w:rsidR="00E26630">
        <w:rPr>
          <w:rFonts w:cs="Arial"/>
        </w:rPr>
        <w:t xml:space="preserve"> and respiratory tract </w:t>
      </w:r>
      <w:r w:rsidR="00563CAF">
        <w:rPr>
          <w:rFonts w:cs="Arial"/>
        </w:rPr>
        <w:t xml:space="preserve">irritation </w:t>
      </w:r>
      <w:r w:rsidR="00E26630">
        <w:rPr>
          <w:rFonts w:cs="Arial"/>
        </w:rPr>
        <w:t>in exposed workers.</w:t>
      </w:r>
    </w:p>
    <w:p w14:paraId="30138A99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4BDC574" w14:textId="77777777" w:rsidR="003D6368" w:rsidRDefault="00196FB0" w:rsidP="007577A4">
      <w:proofErr w:type="spellStart"/>
      <w:r w:rsidRPr="00196FB0">
        <w:t>Dichloroethyl</w:t>
      </w:r>
      <w:proofErr w:type="spellEnd"/>
      <w:r w:rsidRPr="00196FB0">
        <w:t xml:space="preserve"> ether</w:t>
      </w:r>
      <w:r w:rsidR="00BA2FD3" w:rsidRPr="008B4DC9">
        <w:t xml:space="preserve"> </w:t>
      </w:r>
      <w:r>
        <w:t>is</w:t>
      </w:r>
      <w:r w:rsidR="00BA2FD3">
        <w:t xml:space="preserve"> u</w:t>
      </w:r>
      <w:r w:rsidRPr="00196FB0">
        <w:t>sed as a chemical intermediate, wetting agent, penetrant, fumigant, solvent, dewaxing agent and in lacquers, resins and oils</w:t>
      </w:r>
      <w:r w:rsidR="00BA2FD3" w:rsidRPr="008B4DC9">
        <w:t xml:space="preserve">. </w:t>
      </w:r>
    </w:p>
    <w:p w14:paraId="66CBA68C" w14:textId="06CAA29E" w:rsidR="00BA2FD3" w:rsidRPr="00C36A4B" w:rsidRDefault="00825B42" w:rsidP="007577A4">
      <w:r>
        <w:t>The critical effects are</w:t>
      </w:r>
      <w:r w:rsidR="00F7001E">
        <w:t xml:space="preserve"> reported to be</w:t>
      </w:r>
      <w:r>
        <w:t xml:space="preserve"> irritation </w:t>
      </w:r>
      <w:r w:rsidR="00563CAF">
        <w:t xml:space="preserve">of </w:t>
      </w:r>
      <w:r>
        <w:t>the eyes</w:t>
      </w:r>
      <w:r w:rsidR="00F7001E">
        <w:t xml:space="preserve"> and r</w:t>
      </w:r>
      <w:r w:rsidR="00E26630">
        <w:t>espiratory tract</w:t>
      </w:r>
      <w:r w:rsidR="00F7001E">
        <w:t>.</w:t>
      </w:r>
      <w:r w:rsidR="003D6368">
        <w:t xml:space="preserve"> There are l</w:t>
      </w:r>
      <w:r w:rsidR="00E26630">
        <w:t>imited toxicological data</w:t>
      </w:r>
      <w:r w:rsidR="003D6368">
        <w:t xml:space="preserve"> and</w:t>
      </w:r>
      <w:r w:rsidR="00AD1140">
        <w:t xml:space="preserve"> ACGIH (20</w:t>
      </w:r>
      <w:r w:rsidR="006F7A39">
        <w:t>18</w:t>
      </w:r>
      <w:r w:rsidR="00AD1140">
        <w:t xml:space="preserve">) </w:t>
      </w:r>
      <w:r w:rsidR="003D6368">
        <w:t xml:space="preserve">is </w:t>
      </w:r>
      <w:r w:rsidR="00AD1140">
        <w:t>the only primary source available</w:t>
      </w:r>
      <w:r w:rsidR="00E26630">
        <w:t xml:space="preserve">. </w:t>
      </w:r>
      <w:r w:rsidR="003058FF">
        <w:t xml:space="preserve">Tumours </w:t>
      </w:r>
      <w:r w:rsidR="003D6368">
        <w:t>a</w:t>
      </w:r>
      <w:r w:rsidR="003058FF">
        <w:t>re reported in two carcinogenicity studies in mice. T</w:t>
      </w:r>
      <w:r>
        <w:t xml:space="preserve">he data are insufficient </w:t>
      </w:r>
      <w:r w:rsidR="003058FF">
        <w:t>to support</w:t>
      </w:r>
      <w:r>
        <w:t xml:space="preserve"> </w:t>
      </w:r>
      <w:r w:rsidR="00AD7FAC">
        <w:t>carcinogenic</w:t>
      </w:r>
      <w:r>
        <w:t>ity</w:t>
      </w:r>
      <w:r w:rsidR="00AD7FAC">
        <w:t xml:space="preserve"> in humans</w:t>
      </w:r>
      <w:r w:rsidR="00AD7FAC" w:rsidRPr="00AD7FAC">
        <w:t xml:space="preserve"> </w:t>
      </w:r>
      <w:r w:rsidR="00BA2FD3">
        <w:t xml:space="preserve">(ACGIH, 2018; </w:t>
      </w:r>
      <w:r w:rsidR="00F7001E">
        <w:t>NICNAS, 2015</w:t>
      </w:r>
      <w:r w:rsidR="00BA2FD3" w:rsidRPr="00C36A4B">
        <w:t xml:space="preserve">). </w:t>
      </w:r>
      <w:r w:rsidR="00E26630">
        <w:t>A</w:t>
      </w:r>
      <w:r w:rsidR="00F7001E">
        <w:t xml:space="preserve"> </w:t>
      </w:r>
      <w:r w:rsidR="003058FF">
        <w:t>NO</w:t>
      </w:r>
      <w:r w:rsidR="003D6368">
        <w:t>A</w:t>
      </w:r>
      <w:r w:rsidR="003058FF">
        <w:t xml:space="preserve">EC </w:t>
      </w:r>
      <w:r w:rsidR="00F7001E">
        <w:t xml:space="preserve">of 35 ppm </w:t>
      </w:r>
      <w:r w:rsidR="003058FF">
        <w:t>for</w:t>
      </w:r>
      <w:r w:rsidR="00F7001E">
        <w:t xml:space="preserve"> irritati</w:t>
      </w:r>
      <w:r w:rsidR="003058FF">
        <w:t>o</w:t>
      </w:r>
      <w:r w:rsidR="00F7001E">
        <w:t xml:space="preserve">n </w:t>
      </w:r>
      <w:r w:rsidR="00E26630">
        <w:t xml:space="preserve">in humans </w:t>
      </w:r>
      <w:r w:rsidR="003058FF">
        <w:t xml:space="preserve">reported in ACGIH (2018) </w:t>
      </w:r>
      <w:r w:rsidR="003D6368">
        <w:t>with this concentration</w:t>
      </w:r>
      <w:r w:rsidR="00F7001E">
        <w:t xml:space="preserve"> n</w:t>
      </w:r>
      <w:r w:rsidR="00E26630">
        <w:t xml:space="preserve">oticeable by its nauseous </w:t>
      </w:r>
      <w:r w:rsidR="007C679E">
        <w:t>odour</w:t>
      </w:r>
      <w:r w:rsidR="00E26630">
        <w:t xml:space="preserve">. </w:t>
      </w:r>
      <w:r w:rsidR="00E26630" w:rsidRPr="00E26630">
        <w:t xml:space="preserve">Short-term exposure of guinea pigs </w:t>
      </w:r>
      <w:r w:rsidR="00563CAF">
        <w:t>at</w:t>
      </w:r>
      <w:r w:rsidR="00563CAF" w:rsidRPr="00E26630">
        <w:t xml:space="preserve"> </w:t>
      </w:r>
      <w:r w:rsidR="00E26630" w:rsidRPr="00E26630">
        <w:t>100 ppm resulted in lung injury and secondary effects including moderate congestion of the brain, liver and kidneys</w:t>
      </w:r>
      <w:r w:rsidR="00E26630">
        <w:t xml:space="preserve"> (NICNAS, 2015)</w:t>
      </w:r>
    </w:p>
    <w:p w14:paraId="30769BAC" w14:textId="21B69A99" w:rsidR="007577A4" w:rsidRPr="007577A4" w:rsidRDefault="00E26630" w:rsidP="007577A4">
      <w:pPr>
        <w:rPr>
          <w:lang w:eastAsia="en-AU"/>
        </w:rPr>
      </w:pPr>
      <w:r w:rsidRPr="00E26630">
        <w:t>A TWA of 5 pp</w:t>
      </w:r>
      <w:r w:rsidR="003D6368">
        <w:t>m is recommended as assigned by A</w:t>
      </w:r>
      <w:r>
        <w:t>CGIH</w:t>
      </w:r>
      <w:r w:rsidR="00563CAF">
        <w:t xml:space="preserve"> </w:t>
      </w:r>
      <w:r w:rsidR="00AD1140">
        <w:t>(</w:t>
      </w:r>
      <w:r w:rsidR="00563CAF">
        <w:t>20</w:t>
      </w:r>
      <w:r w:rsidR="006F7A39">
        <w:t>18</w:t>
      </w:r>
      <w:r w:rsidR="00AD1140">
        <w:t>)</w:t>
      </w:r>
      <w:r>
        <w:t>.</w:t>
      </w:r>
      <w:r w:rsidRPr="00E26630">
        <w:t xml:space="preserve"> This TWA is cited to be protective of irritation effects</w:t>
      </w:r>
      <w:r>
        <w:t>.</w:t>
      </w:r>
      <w:r w:rsidRPr="00E26630">
        <w:t xml:space="preserve"> </w:t>
      </w:r>
      <w:r w:rsidR="00AD1140">
        <w:t xml:space="preserve">Its derivation is not reported in the source. </w:t>
      </w:r>
      <w:r w:rsidRPr="00B64CED">
        <w:t xml:space="preserve">The available evidence </w:t>
      </w:r>
      <w:r w:rsidR="006F7A39">
        <w:t>does</w:t>
      </w:r>
      <w:r w:rsidRPr="00B64CED">
        <w:t xml:space="preserve"> not </w:t>
      </w:r>
      <w:r w:rsidR="003058FF">
        <w:t>support</w:t>
      </w:r>
      <w:r w:rsidR="003058FF" w:rsidRPr="00B64CED">
        <w:t xml:space="preserve"> </w:t>
      </w:r>
      <w:r w:rsidRPr="00B64CED">
        <w:t>acute effects associated with short-term exposures</w:t>
      </w:r>
      <w:r w:rsidR="007C679E">
        <w:t>. Therefore</w:t>
      </w:r>
      <w:r w:rsidRPr="00B64CED">
        <w:t>, a STEL</w:t>
      </w:r>
      <w:r w:rsidR="007577A4">
        <w:t xml:space="preserve"> </w:t>
      </w:r>
      <w:r w:rsidRPr="00B64CED">
        <w:t>is not recommended.</w:t>
      </w:r>
      <w:r>
        <w:t xml:space="preserve"> </w:t>
      </w:r>
    </w:p>
    <w:p w14:paraId="68D4266C" w14:textId="602A5312" w:rsidR="004529F0" w:rsidRPr="004C23F4" w:rsidRDefault="004529F0" w:rsidP="00BA2FD3">
      <w:pPr>
        <w:pStyle w:val="Heading2"/>
      </w:pPr>
      <w:r>
        <w:t>Recommendation for notations</w:t>
      </w:r>
    </w:p>
    <w:p w14:paraId="4BD45D90" w14:textId="4A7F2BDA" w:rsidR="002E4A51" w:rsidRPr="00CE64B9" w:rsidRDefault="002E4A51" w:rsidP="002E4A51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2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 xml:space="preserve">nd Labelling of Chemicals (GHS). </w:t>
      </w:r>
    </w:p>
    <w:p w14:paraId="1654965C" w14:textId="2E35530F" w:rsidR="005E6979" w:rsidRDefault="002E4A51">
      <w:pPr>
        <w:rPr>
          <w:rFonts w:cs="Arial"/>
        </w:rPr>
      </w:pPr>
      <w:r w:rsidRPr="002E4A51">
        <w:rPr>
          <w:rFonts w:cs="Arial"/>
        </w:rPr>
        <w:t xml:space="preserve">Not classified as a skin </w:t>
      </w:r>
      <w:r w:rsidR="002251AD">
        <w:rPr>
          <w:rFonts w:cs="Arial"/>
        </w:rPr>
        <w:t xml:space="preserve">sensitiser </w:t>
      </w:r>
      <w:r w:rsidRPr="002E4A51">
        <w:rPr>
          <w:rFonts w:cs="Arial"/>
        </w:rPr>
        <w:t>or respiratory sensitiser according to the GHS</w:t>
      </w:r>
      <w:r>
        <w:rPr>
          <w:rFonts w:cs="Arial"/>
        </w:rPr>
        <w:t>.</w:t>
      </w:r>
    </w:p>
    <w:p w14:paraId="42D06DBD" w14:textId="305D87E4" w:rsidR="002E4A51" w:rsidRPr="004C23F4" w:rsidRDefault="002E4A51">
      <w:pPr>
        <w:rPr>
          <w:rFonts w:cs="Arial"/>
        </w:rPr>
        <w:sectPr w:rsidR="002E4A51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2E4A51">
        <w:rPr>
          <w:rFonts w:cs="Arial"/>
        </w:rPr>
        <w:t xml:space="preserve">A skin notation </w:t>
      </w:r>
      <w:r w:rsidR="0042159A">
        <w:rPr>
          <w:rFonts w:cs="Arial"/>
        </w:rPr>
        <w:t>is</w:t>
      </w:r>
      <w:r w:rsidRPr="002E4A51">
        <w:rPr>
          <w:rFonts w:cs="Arial"/>
        </w:rPr>
        <w:t xml:space="preserve"> recommended based on evidence suggesting potential dermal absorption and adverse systemic effects in animals</w:t>
      </w:r>
      <w:r>
        <w:rPr>
          <w:rFonts w:cs="Arial"/>
        </w:rPr>
        <w:t>.</w:t>
      </w:r>
    </w:p>
    <w:p w14:paraId="4618F3B4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464A27A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FA1BEA1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5DFA3F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2B80CEA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4B1AEB0C" w14:textId="7C7151B1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892A32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834FB1">
                  <w:t>TWA: 5 ppm (29 mg/m</w:t>
                </w:r>
                <w:r w:rsidR="00834FB1" w:rsidRPr="00834FB1">
                  <w:rPr>
                    <w:vertAlign w:val="superscript"/>
                  </w:rPr>
                  <w:t>3</w:t>
                </w:r>
                <w:r w:rsidR="00834FB1">
                  <w:t xml:space="preserve">); </w:t>
                </w:r>
                <w:r w:rsidR="00892A32">
                  <w:t>STEL:</w:t>
                </w:r>
                <w:r w:rsidR="00834FB1">
                  <w:t xml:space="preserve"> 10 ppm (58 mg/m</w:t>
                </w:r>
                <w:r w:rsidR="00834FB1" w:rsidRPr="00834FB1">
                  <w:rPr>
                    <w:vertAlign w:val="superscript"/>
                  </w:rPr>
                  <w:t>3</w:t>
                </w:r>
                <w:r w:rsidR="00834FB1">
                  <w:t>)</w:t>
                </w:r>
              </w:sdtContent>
            </w:sdt>
          </w:p>
        </w:tc>
      </w:tr>
      <w:tr w:rsidR="00C978F0" w:rsidRPr="00DA352E" w14:paraId="7288E3A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9D459E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753EB9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92727C" w14:textId="220695A9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834FB1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834FB1">
                  <w:t>TLV-TWA: 5 ppm (29 mg/m</w:t>
                </w:r>
                <w:r w:rsidR="00834FB1" w:rsidRPr="00834FB1">
                  <w:rPr>
                    <w:vertAlign w:val="superscript"/>
                  </w:rPr>
                  <w:t>3</w:t>
                </w:r>
                <w:r w:rsidR="00834FB1">
                  <w:t>); TLV-STEL: 10 ppm (58 mg/m</w:t>
                </w:r>
                <w:r w:rsidR="00834FB1" w:rsidRPr="00834FB1">
                  <w:rPr>
                    <w:vertAlign w:val="superscript"/>
                  </w:rPr>
                  <w:t>3</w:t>
                </w:r>
                <w:r w:rsidR="00834FB1">
                  <w:t>)</w:t>
                </w:r>
              </w:sdtContent>
            </w:sdt>
          </w:p>
        </w:tc>
      </w:tr>
      <w:tr w:rsidR="00C978F0" w:rsidRPr="00DA352E" w14:paraId="1F23B4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141D0F" w14:textId="3FDA34BD" w:rsidR="00A054E3" w:rsidRDefault="00A054E3" w:rsidP="00A054E3">
            <w:pPr>
              <w:pStyle w:val="Tabletextprimarysource"/>
            </w:pPr>
            <w:r>
              <w:t xml:space="preserve">TLV-TWA and TLV-STEL recommended to minimise </w:t>
            </w:r>
            <w:r w:rsidRPr="00C91D05">
              <w:t xml:space="preserve">the potential for </w:t>
            </w:r>
            <w:r>
              <w:t xml:space="preserve">eye and respiratory tract </w:t>
            </w:r>
            <w:r w:rsidRPr="00C91D05">
              <w:t>irritation</w:t>
            </w:r>
            <w:r>
              <w:t>, coughing, nausea and retching.</w:t>
            </w:r>
          </w:p>
          <w:p w14:paraId="0FAB9315" w14:textId="77777777" w:rsidR="00A054E3" w:rsidRDefault="00A054E3" w:rsidP="00A054E3">
            <w:pPr>
              <w:pStyle w:val="Tabletextprimarysource"/>
            </w:pPr>
            <w:r>
              <w:t>Summary of data:</w:t>
            </w:r>
          </w:p>
          <w:p w14:paraId="313EA7A9" w14:textId="77777777" w:rsidR="00A054E3" w:rsidRDefault="00A054E3" w:rsidP="007208DC">
            <w:pPr>
              <w:pStyle w:val="ListBullet"/>
              <w:numPr>
                <w:ilvl w:val="0"/>
                <w:numId w:val="0"/>
              </w:numPr>
              <w:spacing w:after="80"/>
              <w:ind w:left="360" w:hanging="360"/>
              <w:contextualSpacing w:val="0"/>
            </w:pPr>
            <w:r>
              <w:t>Human data:</w:t>
            </w:r>
          </w:p>
          <w:p w14:paraId="7FA40BFC" w14:textId="2FB8AC73" w:rsidR="007208DC" w:rsidRDefault="00A054E3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Volunteers exposed to </w:t>
            </w:r>
            <w:r w:rsidR="007208DC">
              <w:t>35, 100, 260, 500 ppm experience</w:t>
            </w:r>
            <w:r w:rsidR="0098152B">
              <w:t>d</w:t>
            </w:r>
            <w:r w:rsidR="007208DC">
              <w:t xml:space="preserve"> the following symptoms:</w:t>
            </w:r>
          </w:p>
          <w:p w14:paraId="2DA6B36A" w14:textId="5E2A96E7" w:rsidR="007208DC" w:rsidRDefault="007208DC" w:rsidP="0085632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5</w:t>
            </w:r>
            <w:r w:rsidR="00391607">
              <w:t>0</w:t>
            </w:r>
            <w:r>
              <w:t xml:space="preserve">0 ppm: eye and respiratory tract </w:t>
            </w:r>
            <w:r w:rsidRPr="00C91D05">
              <w:t>irritation</w:t>
            </w:r>
            <w:r>
              <w:t>, coughing, nausea and retching</w:t>
            </w:r>
          </w:p>
          <w:p w14:paraId="0AD6A733" w14:textId="77777777" w:rsidR="007208DC" w:rsidRDefault="007208DC" w:rsidP="0085632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100 and 260 ppm: irritation</w:t>
            </w:r>
          </w:p>
          <w:p w14:paraId="71239FC5" w14:textId="7DB4001D" w:rsidR="002251AD" w:rsidRDefault="007208DC" w:rsidP="0042159A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NOAEL: 35 ppm, no irritation but </w:t>
            </w:r>
            <w:r w:rsidR="0002360E">
              <w:t>nauseous</w:t>
            </w:r>
            <w:r>
              <w:t xml:space="preserve"> odour</w:t>
            </w:r>
            <w:r w:rsidR="0002360E">
              <w:t xml:space="preserve"> detectable.</w:t>
            </w:r>
          </w:p>
          <w:p w14:paraId="09C99C13" w14:textId="02EEED26" w:rsidR="00A054E3" w:rsidRDefault="00A054E3" w:rsidP="00A054E3">
            <w:pPr>
              <w:pStyle w:val="ListBullet"/>
              <w:numPr>
                <w:ilvl w:val="0"/>
                <w:numId w:val="0"/>
              </w:numPr>
              <w:ind w:left="360" w:hanging="360"/>
              <w:contextualSpacing w:val="0"/>
            </w:pPr>
            <w:r>
              <w:t>Animal data:</w:t>
            </w:r>
          </w:p>
          <w:p w14:paraId="28909911" w14:textId="66AD013B" w:rsidR="007208DC" w:rsidRDefault="00265503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</w:t>
            </w:r>
            <w:r w:rsidR="00391607">
              <w:t>xposure to 35, 105, 500</w:t>
            </w:r>
            <w:r w:rsidR="007208DC">
              <w:t xml:space="preserve"> ppm </w:t>
            </w:r>
            <w:r w:rsidR="00391607">
              <w:t>(guinea pigs</w:t>
            </w:r>
            <w:r>
              <w:t>, inhalation</w:t>
            </w:r>
            <w:r w:rsidR="00391607">
              <w:t>) produced</w:t>
            </w:r>
            <w:r w:rsidR="007208DC">
              <w:t xml:space="preserve"> the following symptoms:</w:t>
            </w:r>
          </w:p>
          <w:p w14:paraId="4E4CDA0C" w14:textId="312811C2" w:rsidR="007208DC" w:rsidRDefault="007208DC" w:rsidP="0085632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5</w:t>
            </w:r>
            <w:r w:rsidR="00391607">
              <w:t>0</w:t>
            </w:r>
            <w:r>
              <w:t xml:space="preserve">0 ppm: </w:t>
            </w:r>
            <w:r w:rsidR="00391607">
              <w:t xml:space="preserve">immediate </w:t>
            </w:r>
            <w:r>
              <w:t xml:space="preserve">eye and </w:t>
            </w:r>
            <w:r w:rsidR="00391607">
              <w:t xml:space="preserve">nose irritation, respiratory disturbance </w:t>
            </w:r>
            <w:r w:rsidR="008F78DF">
              <w:t>&gt;</w:t>
            </w:r>
            <w:r w:rsidR="00391607">
              <w:t>1.5</w:t>
            </w:r>
            <w:r w:rsidR="00303A1D">
              <w:t>–</w:t>
            </w:r>
            <w:r w:rsidR="00391607">
              <w:t xml:space="preserve">3 h, death </w:t>
            </w:r>
            <w:r w:rsidR="008F78DF">
              <w:t>&gt;</w:t>
            </w:r>
            <w:r w:rsidR="00391607">
              <w:t>5</w:t>
            </w:r>
            <w:r w:rsidR="00303A1D">
              <w:t>–</w:t>
            </w:r>
            <w:r w:rsidR="00391607">
              <w:t>8 h</w:t>
            </w:r>
          </w:p>
          <w:p w14:paraId="7555D307" w14:textId="751A19BA" w:rsidR="007208DC" w:rsidRDefault="007208DC" w:rsidP="0085632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1</w:t>
            </w:r>
            <w:r w:rsidR="00391607">
              <w:t>05</w:t>
            </w:r>
            <w:r>
              <w:t xml:space="preserve"> ppm: </w:t>
            </w:r>
            <w:r w:rsidR="00391607">
              <w:t xml:space="preserve">eye and nose </w:t>
            </w:r>
            <w:r>
              <w:t>irritation</w:t>
            </w:r>
            <w:r w:rsidR="00391607">
              <w:t xml:space="preserve"> </w:t>
            </w:r>
            <w:r w:rsidR="008F78DF">
              <w:t>&gt;</w:t>
            </w:r>
            <w:r w:rsidR="00391607">
              <w:t xml:space="preserve">1 h, death </w:t>
            </w:r>
            <w:r w:rsidR="008F78DF">
              <w:t>&gt;</w:t>
            </w:r>
            <w:r w:rsidR="00391607">
              <w:t>10 h</w:t>
            </w:r>
          </w:p>
          <w:p w14:paraId="788D971F" w14:textId="77C06627" w:rsidR="007208DC" w:rsidRDefault="00391607" w:rsidP="00856322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35 ppm: eye and nose irritation, no other adverse effects</w:t>
            </w:r>
          </w:p>
          <w:p w14:paraId="3D5F713C" w14:textId="2360A5B9" w:rsidR="007208DC" w:rsidRDefault="00391607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391607">
              <w:rPr>
                <w:vertAlign w:val="subscript"/>
              </w:rPr>
              <w:t>50</w:t>
            </w:r>
            <w:r>
              <w:t>: 300 mg/kg (guinea pigs, 24</w:t>
            </w:r>
            <w:r w:rsidR="00303A1D">
              <w:t xml:space="preserve"> </w:t>
            </w:r>
            <w:r>
              <w:t>h, dermal)</w:t>
            </w:r>
          </w:p>
          <w:p w14:paraId="5C6B4777" w14:textId="77777777" w:rsidR="007C679E" w:rsidRDefault="00391607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to 69 ppm (</w:t>
            </w:r>
            <w:r w:rsidR="00265503">
              <w:t>rats and guinea pigs, 7</w:t>
            </w:r>
            <w:r w:rsidR="00303A1D">
              <w:t xml:space="preserve"> </w:t>
            </w:r>
            <w:r w:rsidR="00265503">
              <w:t>h/d, 5 d/</w:t>
            </w:r>
            <w:proofErr w:type="spellStart"/>
            <w:r w:rsidR="00265503">
              <w:t>wk</w:t>
            </w:r>
            <w:proofErr w:type="spellEnd"/>
            <w:r>
              <w:t>)</w:t>
            </w:r>
            <w:r w:rsidR="00265503">
              <w:t xml:space="preserve"> for 130 d resulted in mild physiologic stress responses,</w:t>
            </w:r>
            <w:r w:rsidR="009667C3">
              <w:t xml:space="preserve"> and weight loss</w:t>
            </w:r>
          </w:p>
          <w:p w14:paraId="5622560F" w14:textId="07F1750C" w:rsidR="007208DC" w:rsidRDefault="007C679E" w:rsidP="007C679E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</w:t>
            </w:r>
            <w:r w:rsidR="00265503">
              <w:t>o cellular lesions were observed in microscopic examination</w:t>
            </w:r>
          </w:p>
          <w:p w14:paraId="11F7D21B" w14:textId="5B367746" w:rsidR="007208DC" w:rsidRDefault="00265503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Administration of 300 mg/kg</w:t>
            </w:r>
            <w:r w:rsidR="00F97831">
              <w:t>/d</w:t>
            </w:r>
            <w:r>
              <w:t xml:space="preserve"> (mice,</w:t>
            </w:r>
            <w:r w:rsidR="00F97831">
              <w:t xml:space="preserve"> 80 </w:t>
            </w:r>
            <w:proofErr w:type="spellStart"/>
            <w:r w:rsidR="00F97831">
              <w:t>wk</w:t>
            </w:r>
            <w:proofErr w:type="spellEnd"/>
            <w:r w:rsidR="00F97831">
              <w:t>,</w:t>
            </w:r>
            <w:r>
              <w:t xml:space="preserve"> oral)</w:t>
            </w:r>
            <w:r w:rsidR="00F97831">
              <w:t xml:space="preserve"> resulted in </w:t>
            </w:r>
            <w:r w:rsidR="00F97831" w:rsidRPr="00F97831">
              <w:t>hepatomas</w:t>
            </w:r>
            <w:r w:rsidR="00F97831">
              <w:t xml:space="preserve"> in both sexes</w:t>
            </w:r>
            <w:r w:rsidR="00825B42">
              <w:t>; no further information</w:t>
            </w:r>
          </w:p>
          <w:p w14:paraId="28F8799B" w14:textId="0559E950" w:rsidR="00C978F0" w:rsidRDefault="00F97831" w:rsidP="00856322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Subcutaneous injection in mice produce</w:t>
            </w:r>
            <w:r w:rsidR="0002360E">
              <w:t>d</w:t>
            </w:r>
            <w:r>
              <w:t xml:space="preserve"> low incidents of sarcomas at the injection site</w:t>
            </w:r>
            <w:r w:rsidR="002251AD">
              <w:t>.</w:t>
            </w:r>
          </w:p>
          <w:p w14:paraId="21B2E1A8" w14:textId="77777777" w:rsidR="002251AD" w:rsidRDefault="002251AD" w:rsidP="00A568C4">
            <w:pPr>
              <w:pStyle w:val="ListBullet"/>
              <w:numPr>
                <w:ilvl w:val="0"/>
                <w:numId w:val="0"/>
              </w:numPr>
              <w:ind w:left="357" w:hanging="360"/>
              <w:contextualSpacing w:val="0"/>
            </w:pPr>
          </w:p>
          <w:p w14:paraId="40CBFBD9" w14:textId="3A3516A7" w:rsidR="00F97831" w:rsidRDefault="00F97831" w:rsidP="00A568C4">
            <w:pPr>
              <w:pStyle w:val="ListBullet"/>
              <w:numPr>
                <w:ilvl w:val="0"/>
                <w:numId w:val="0"/>
              </w:numPr>
              <w:ind w:left="357" w:hanging="360"/>
              <w:contextualSpacing w:val="0"/>
            </w:pPr>
            <w:r>
              <w:t>Assigned an A4, not classified as human carcinogen.</w:t>
            </w:r>
          </w:p>
          <w:p w14:paraId="2BD65334" w14:textId="77777777" w:rsidR="00F97831" w:rsidRDefault="00F97831" w:rsidP="00F97831">
            <w:pPr>
              <w:pStyle w:val="ListBullet"/>
              <w:numPr>
                <w:ilvl w:val="0"/>
                <w:numId w:val="0"/>
              </w:numPr>
              <w:ind w:left="360" w:hanging="360"/>
              <w:contextualSpacing w:val="0"/>
            </w:pPr>
            <w:r>
              <w:t>Insufficient data to assign a sensitiser notation.</w:t>
            </w:r>
          </w:p>
          <w:p w14:paraId="025C0475" w14:textId="5320C946" w:rsidR="002251AD" w:rsidRPr="00DA352E" w:rsidRDefault="002251AD" w:rsidP="00F97831">
            <w:pPr>
              <w:pStyle w:val="ListBullet"/>
              <w:numPr>
                <w:ilvl w:val="0"/>
                <w:numId w:val="0"/>
              </w:numPr>
              <w:ind w:left="360" w:hanging="360"/>
              <w:contextualSpacing w:val="0"/>
            </w:pPr>
          </w:p>
        </w:tc>
      </w:tr>
      <w:tr w:rsidR="00C978F0" w:rsidRPr="00DA352E" w14:paraId="747248D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C3FA9E" w14:textId="5AAE315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520EF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520EFF" w:rsidRPr="00520EFF">
                  <w:rPr>
                    <w:rStyle w:val="PlaceholderText"/>
                    <w:color w:val="auto"/>
                  </w:rPr>
                  <w:t>NA</w:t>
                </w:r>
                <w:proofErr w:type="spellEnd"/>
              </w:sdtContent>
            </w:sdt>
          </w:p>
        </w:tc>
      </w:tr>
      <w:tr w:rsidR="00C978F0" w:rsidRPr="00DA352E" w14:paraId="1EC510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F60C727" w14:textId="7782B5F6" w:rsidR="00C978F0" w:rsidRPr="00DA352E" w:rsidRDefault="00520EFF" w:rsidP="003365A5">
            <w:pPr>
              <w:pStyle w:val="Tabletextprimarysource"/>
            </w:pPr>
            <w:r>
              <w:t>No report</w:t>
            </w:r>
            <w:r w:rsidR="002251AD">
              <w:t>.</w:t>
            </w:r>
          </w:p>
        </w:tc>
      </w:tr>
      <w:tr w:rsidR="00C978F0" w:rsidRPr="00DA352E" w14:paraId="7464E0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921E543" w14:textId="20C615F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F38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F38CA">
                  <w:t>NA</w:t>
                </w:r>
                <w:proofErr w:type="spellEnd"/>
              </w:sdtContent>
            </w:sdt>
          </w:p>
        </w:tc>
      </w:tr>
      <w:tr w:rsidR="00C978F0" w:rsidRPr="00DA352E" w14:paraId="2810C4B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08722B" w14:textId="2D70EAFF" w:rsidR="00C978F0" w:rsidRPr="00DA352E" w:rsidRDefault="006F38CA" w:rsidP="003365A5">
            <w:pPr>
              <w:pStyle w:val="Tabletextprimarysource"/>
            </w:pPr>
            <w:r>
              <w:t>No report</w:t>
            </w:r>
            <w:r w:rsidR="002251AD">
              <w:t>.</w:t>
            </w:r>
          </w:p>
        </w:tc>
      </w:tr>
      <w:tr w:rsidR="00DA352E" w:rsidRPr="00DA352E" w14:paraId="321186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658A729" w14:textId="4F871AD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F38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F38CA">
                  <w:t>NA</w:t>
                </w:r>
                <w:proofErr w:type="spellEnd"/>
              </w:sdtContent>
            </w:sdt>
          </w:p>
        </w:tc>
      </w:tr>
      <w:tr w:rsidR="00DA352E" w:rsidRPr="00DA352E" w14:paraId="50E68D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556E044" w14:textId="418DFD86" w:rsidR="00DA352E" w:rsidRPr="00DA352E" w:rsidRDefault="006F38CA" w:rsidP="003365A5">
            <w:pPr>
              <w:pStyle w:val="Tabletextprimarysource"/>
            </w:pPr>
            <w:r>
              <w:t>No report</w:t>
            </w:r>
            <w:r w:rsidR="002251AD">
              <w:t>.</w:t>
            </w:r>
          </w:p>
        </w:tc>
      </w:tr>
      <w:tr w:rsidR="00DA352E" w:rsidRPr="00DA352E" w14:paraId="0BBBC04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7C7EC29" w14:textId="34760D2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F38CA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F38CA">
                  <w:t>NA</w:t>
                </w:r>
                <w:proofErr w:type="spellEnd"/>
              </w:sdtContent>
            </w:sdt>
          </w:p>
        </w:tc>
      </w:tr>
      <w:tr w:rsidR="00DA352E" w:rsidRPr="00DA352E" w14:paraId="03B5926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CCC4666" w14:textId="490E5B49" w:rsidR="00DA352E" w:rsidRPr="00DA352E" w:rsidRDefault="006F38CA" w:rsidP="003365A5">
            <w:pPr>
              <w:pStyle w:val="Tabletextprimarysource"/>
            </w:pPr>
            <w:r>
              <w:t>No report</w:t>
            </w:r>
            <w:r w:rsidR="002251AD">
              <w:t>.</w:t>
            </w:r>
          </w:p>
        </w:tc>
      </w:tr>
    </w:tbl>
    <w:p w14:paraId="67BDF04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4966BF" w:rsidRPr="00263255" w14:paraId="6EE041B2" w14:textId="77777777" w:rsidTr="00175756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7CB7A77C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CA13C2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408C900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6B7E7F23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2D2B3D3" w14:textId="77777777" w:rsidTr="00175756">
        <w:trPr>
          <w:cantSplit/>
        </w:trPr>
        <w:tc>
          <w:tcPr>
            <w:tcW w:w="1495" w:type="dxa"/>
          </w:tcPr>
          <w:p w14:paraId="2153FB56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2DDDE1AB" w14:textId="583D6FF6" w:rsidR="004966BF" w:rsidRPr="00CE617F" w:rsidRDefault="00A069A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17575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272547" w14:textId="1886CFAD" w:rsidR="004966BF" w:rsidRPr="004C23F4" w:rsidRDefault="0017575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2015</w:t>
            </w:r>
          </w:p>
        </w:tc>
        <w:tc>
          <w:tcPr>
            <w:tcW w:w="6447" w:type="dxa"/>
          </w:tcPr>
          <w:p w14:paraId="3519BF1B" w14:textId="77777777" w:rsidR="004966BF" w:rsidRDefault="00175756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75756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75 and 215 mg/kg (rats and mice, oral)</w:t>
            </w:r>
          </w:p>
          <w:p w14:paraId="76B10F86" w14:textId="77777777" w:rsidR="00175756" w:rsidRDefault="00175756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75756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870 mg/kg (rabbits, dermal)</w:t>
            </w:r>
          </w:p>
          <w:p w14:paraId="7698730D" w14:textId="1B55BF43" w:rsidR="00945618" w:rsidRDefault="00175756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4</w:t>
            </w:r>
            <w:r w:rsidR="00303A1D">
              <w:rPr>
                <w:rStyle w:val="checkbox"/>
                <w:rFonts w:ascii="Arial" w:hAnsi="Arial" w:cs="Arial"/>
              </w:rPr>
              <w:t xml:space="preserve"> </w:t>
            </w:r>
            <w:r>
              <w:rPr>
                <w:rStyle w:val="checkbox"/>
                <w:rFonts w:ascii="Arial" w:hAnsi="Arial" w:cs="Arial"/>
              </w:rPr>
              <w:t>h LC</w:t>
            </w:r>
            <w:r w:rsidRPr="00175756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250 ppm rats</w:t>
            </w:r>
          </w:p>
          <w:p w14:paraId="439735B8" w14:textId="14FC5E6E" w:rsidR="00F7001E" w:rsidRDefault="00F7001E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Short-term exposure of guinea pigs to 100 ppm resulted in lung injury, and secondary effects, including moderate congestion of the brain, liver and kidneys</w:t>
            </w:r>
          </w:p>
          <w:p w14:paraId="27A89BD0" w14:textId="02DBDEF9" w:rsidR="00825B42" w:rsidRDefault="00825B42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t>Limited evidence of carcinogenic effect</w:t>
            </w:r>
          </w:p>
          <w:p w14:paraId="5CCDEB8F" w14:textId="6559FBD0" w:rsidR="00175756" w:rsidRPr="004C23F4" w:rsidRDefault="00945618" w:rsidP="007C679E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Fonts w:cs="Arial"/>
                <w:color w:val="262626"/>
              </w:rPr>
              <w:t>Equivocal genotoxicity results in </w:t>
            </w:r>
            <w:r>
              <w:rPr>
                <w:rFonts w:cs="Arial"/>
                <w:i/>
                <w:iCs/>
                <w:color w:val="262626"/>
              </w:rPr>
              <w:t>S</w:t>
            </w:r>
            <w:r w:rsidR="007C679E">
              <w:rPr>
                <w:rFonts w:cs="Arial"/>
                <w:i/>
                <w:iCs/>
                <w:color w:val="262626"/>
              </w:rPr>
              <w:t>.</w:t>
            </w:r>
            <w:r>
              <w:rPr>
                <w:rFonts w:cs="Arial"/>
                <w:i/>
                <w:iCs/>
                <w:color w:val="262626"/>
              </w:rPr>
              <w:t xml:space="preserve"> typhimurium</w:t>
            </w:r>
            <w:r>
              <w:rPr>
                <w:rFonts w:cs="Arial"/>
                <w:color w:val="262626"/>
              </w:rPr>
              <w:t xml:space="preserve">, </w:t>
            </w:r>
            <w:r>
              <w:rPr>
                <w:rFonts w:cs="Arial"/>
                <w:i/>
                <w:iCs/>
                <w:color w:val="262626"/>
              </w:rPr>
              <w:t>E</w:t>
            </w:r>
            <w:r w:rsidR="007C679E">
              <w:rPr>
                <w:rFonts w:cs="Arial"/>
                <w:i/>
                <w:iCs/>
                <w:color w:val="262626"/>
              </w:rPr>
              <w:t>.</w:t>
            </w:r>
            <w:r>
              <w:rPr>
                <w:rFonts w:cs="Arial"/>
                <w:i/>
                <w:iCs/>
                <w:color w:val="262626"/>
              </w:rPr>
              <w:t xml:space="preserve"> coli</w:t>
            </w:r>
            <w:r>
              <w:rPr>
                <w:rFonts w:cs="Arial"/>
                <w:color w:val="262626"/>
              </w:rPr>
              <w:t xml:space="preserve"> and</w:t>
            </w:r>
            <w:r>
              <w:rPr>
                <w:rFonts w:cs="Arial"/>
                <w:i/>
                <w:iCs/>
                <w:color w:val="262626"/>
              </w:rPr>
              <w:t> B</w:t>
            </w:r>
            <w:r w:rsidR="007C679E">
              <w:rPr>
                <w:rFonts w:cs="Arial"/>
                <w:i/>
                <w:iCs/>
                <w:color w:val="262626"/>
              </w:rPr>
              <w:t>.</w:t>
            </w:r>
            <w:r>
              <w:rPr>
                <w:rFonts w:cs="Arial"/>
                <w:i/>
                <w:iCs/>
                <w:color w:val="262626"/>
              </w:rPr>
              <w:t xml:space="preserve"> subtilis</w:t>
            </w:r>
            <w:r w:rsidR="00303A1D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AD1140" w14:paraId="2C5DA04A" w14:textId="77777777" w:rsidTr="00175756">
        <w:trPr>
          <w:cantSplit/>
        </w:trPr>
        <w:tc>
          <w:tcPr>
            <w:tcW w:w="1495" w:type="dxa"/>
          </w:tcPr>
          <w:p w14:paraId="534DFE8C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22B3512" w14:textId="3DE2FB86" w:rsidR="004966BF" w:rsidRPr="00CE617F" w:rsidRDefault="00A069A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9783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9FE92C" w14:textId="180105D3" w:rsidR="004966BF" w:rsidRPr="004C23F4" w:rsidRDefault="00F9783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1991</w:t>
            </w:r>
          </w:p>
        </w:tc>
        <w:tc>
          <w:tcPr>
            <w:tcW w:w="6447" w:type="dxa"/>
          </w:tcPr>
          <w:p w14:paraId="62C34684" w14:textId="6CF519F8" w:rsidR="00F97831" w:rsidRDefault="007D3937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Pr="007D3937">
              <w:rPr>
                <w:rStyle w:val="checkbox"/>
                <w:rFonts w:ascii="Arial" w:hAnsi="Arial" w:cs="Arial"/>
              </w:rPr>
              <w:t xml:space="preserve">irect-acting mutagen producing base pair exchange mutations in </w:t>
            </w:r>
            <w:r w:rsidRPr="00A568C4">
              <w:rPr>
                <w:rStyle w:val="checkbox"/>
                <w:rFonts w:ascii="Arial" w:hAnsi="Arial" w:cs="Arial"/>
                <w:i/>
              </w:rPr>
              <w:t>E.</w:t>
            </w:r>
            <w:r w:rsidR="008F78DF">
              <w:rPr>
                <w:rStyle w:val="checkbox"/>
                <w:rFonts w:ascii="Arial" w:hAnsi="Arial" w:cs="Arial"/>
                <w:i/>
              </w:rPr>
              <w:t xml:space="preserve"> </w:t>
            </w:r>
            <w:r w:rsidRPr="00A568C4">
              <w:rPr>
                <w:rStyle w:val="checkbox"/>
                <w:rFonts w:ascii="Arial" w:hAnsi="Arial" w:cs="Arial"/>
                <w:i/>
              </w:rPr>
              <w:t>coli, S. typhimurium, and B.</w:t>
            </w:r>
            <w:r w:rsidR="008F78DF">
              <w:rPr>
                <w:rStyle w:val="checkbox"/>
                <w:rFonts w:ascii="Arial" w:hAnsi="Arial" w:cs="Arial"/>
                <w:i/>
              </w:rPr>
              <w:t xml:space="preserve"> </w:t>
            </w:r>
            <w:r w:rsidRPr="00A568C4">
              <w:rPr>
                <w:rStyle w:val="checkbox"/>
                <w:rFonts w:ascii="Arial" w:hAnsi="Arial" w:cs="Arial"/>
                <w:i/>
              </w:rPr>
              <w:t>subtilis</w:t>
            </w:r>
          </w:p>
          <w:p w14:paraId="048B6E4F" w14:textId="77777777" w:rsidR="007D3937" w:rsidRDefault="007D3937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W</w:t>
            </w:r>
            <w:r w:rsidRPr="007D3937">
              <w:rPr>
                <w:rStyle w:val="checkbox"/>
                <w:rFonts w:ascii="Arial" w:hAnsi="Arial" w:cs="Arial"/>
              </w:rPr>
              <w:t>eak positive response</w:t>
            </w:r>
            <w:r>
              <w:rPr>
                <w:rStyle w:val="checkbox"/>
                <w:rFonts w:ascii="Arial" w:hAnsi="Arial" w:cs="Arial"/>
              </w:rPr>
              <w:t xml:space="preserve"> to v</w:t>
            </w:r>
            <w:r w:rsidRPr="007D3937">
              <w:rPr>
                <w:rStyle w:val="checkbox"/>
                <w:rFonts w:ascii="Arial" w:hAnsi="Arial" w:cs="Arial"/>
              </w:rPr>
              <w:t xml:space="preserve">apor-phase exposure of </w:t>
            </w:r>
            <w:r w:rsidRPr="00384B2E">
              <w:rPr>
                <w:rStyle w:val="checkbox"/>
                <w:rFonts w:ascii="Arial" w:hAnsi="Arial" w:cs="Arial"/>
                <w:i/>
              </w:rPr>
              <w:t>Salmonella</w:t>
            </w:r>
            <w:r w:rsidRPr="007D3937">
              <w:rPr>
                <w:rStyle w:val="checkbox"/>
                <w:rFonts w:ascii="Arial" w:hAnsi="Arial" w:cs="Arial"/>
              </w:rPr>
              <w:t xml:space="preserve"> frameshift mutant strains TA1538 and TA98</w:t>
            </w:r>
          </w:p>
          <w:p w14:paraId="694F8B21" w14:textId="1313DC5F" w:rsidR="007D3937" w:rsidRDefault="00950EA0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7D3937" w:rsidRPr="007D3937">
              <w:rPr>
                <w:rStyle w:val="checkbox"/>
                <w:rFonts w:ascii="Arial" w:hAnsi="Arial" w:cs="Arial"/>
              </w:rPr>
              <w:t xml:space="preserve">utagenic in </w:t>
            </w:r>
            <w:r w:rsidR="007D3937" w:rsidRPr="00A568C4">
              <w:rPr>
                <w:rStyle w:val="checkbox"/>
                <w:rFonts w:ascii="Arial" w:hAnsi="Arial" w:cs="Arial"/>
                <w:i/>
              </w:rPr>
              <w:t>S. cerevisiae</w:t>
            </w:r>
            <w:r w:rsidR="007D3937" w:rsidRPr="007D3937">
              <w:rPr>
                <w:rStyle w:val="checkbox"/>
                <w:rFonts w:ascii="Arial" w:hAnsi="Arial" w:cs="Arial"/>
              </w:rPr>
              <w:t xml:space="preserve"> but did not induce heritable translocations in mice</w:t>
            </w:r>
          </w:p>
          <w:p w14:paraId="051100EC" w14:textId="03526D1C" w:rsidR="007D3937" w:rsidRPr="00AD1140" w:rsidRDefault="007D3937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val="it-IT"/>
              </w:rPr>
            </w:pPr>
            <w:r w:rsidRPr="00AD1140">
              <w:rPr>
                <w:rStyle w:val="checkbox"/>
                <w:rFonts w:ascii="Arial" w:hAnsi="Arial" w:cs="Arial"/>
                <w:lang w:val="it-IT"/>
              </w:rPr>
              <w:t>O</w:t>
            </w:r>
            <w:r w:rsidR="0085397D" w:rsidRPr="00AD1140">
              <w:rPr>
                <w:rStyle w:val="checkbox"/>
                <w:rFonts w:ascii="Arial" w:hAnsi="Arial" w:cs="Arial"/>
                <w:lang w:val="it-IT"/>
              </w:rPr>
              <w:t>SF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>: 1.1</w:t>
            </w:r>
            <w:r w:rsidR="00945618" w:rsidRPr="00AD1140">
              <w:rPr>
                <w:rStyle w:val="checkbox"/>
                <w:rFonts w:ascii="Arial" w:hAnsi="Arial" w:cs="Arial"/>
                <w:lang w:val="it-IT"/>
              </w:rPr>
              <w:t xml:space="preserve"> x 10</w:t>
            </w:r>
            <w:r w:rsidRPr="00AD1140">
              <w:rPr>
                <w:rStyle w:val="checkbox"/>
                <w:rFonts w:ascii="Arial" w:hAnsi="Arial" w:cs="Arial"/>
                <w:vertAlign w:val="superscript"/>
                <w:lang w:val="it-IT"/>
              </w:rPr>
              <w:t>+0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 xml:space="preserve"> per (mg/kg</w:t>
            </w:r>
            <w:r w:rsidR="00B77155" w:rsidRPr="00AD1140">
              <w:rPr>
                <w:rStyle w:val="checkbox"/>
                <w:rFonts w:ascii="Arial" w:hAnsi="Arial" w:cs="Arial"/>
                <w:lang w:val="it-IT"/>
              </w:rPr>
              <w:t>/</w:t>
            </w:r>
            <w:r w:rsidR="00330B9A" w:rsidRPr="00AD1140">
              <w:rPr>
                <w:rStyle w:val="checkbox"/>
                <w:rFonts w:ascii="Arial" w:hAnsi="Arial" w:cs="Arial"/>
                <w:lang w:val="it-IT"/>
              </w:rPr>
              <w:t>d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>)</w:t>
            </w:r>
          </w:p>
          <w:p w14:paraId="57C14414" w14:textId="66FCD59F" w:rsidR="007D3937" w:rsidRPr="00AD1140" w:rsidRDefault="007D3937" w:rsidP="0085397D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val="it-IT"/>
              </w:rPr>
            </w:pPr>
            <w:r w:rsidRPr="00AD1140">
              <w:rPr>
                <w:rStyle w:val="checkbox"/>
                <w:rFonts w:ascii="Arial" w:hAnsi="Arial" w:cs="Arial"/>
                <w:lang w:val="it-IT"/>
              </w:rPr>
              <w:t>I</w:t>
            </w:r>
            <w:r w:rsidR="0085397D" w:rsidRPr="00AD1140">
              <w:rPr>
                <w:rStyle w:val="checkbox"/>
                <w:rFonts w:ascii="Arial" w:hAnsi="Arial" w:cs="Arial"/>
                <w:lang w:val="it-IT"/>
              </w:rPr>
              <w:t>UR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>:</w:t>
            </w:r>
            <w:r w:rsidR="008F333A" w:rsidRPr="00AD1140">
              <w:rPr>
                <w:rStyle w:val="checkbox"/>
                <w:rFonts w:ascii="Arial" w:hAnsi="Arial" w:cs="Arial"/>
                <w:lang w:val="it-IT"/>
              </w:rPr>
              <w:t xml:space="preserve"> 3.3</w:t>
            </w:r>
            <w:r w:rsidR="00945618" w:rsidRPr="00AD1140">
              <w:rPr>
                <w:rStyle w:val="checkbox"/>
                <w:rFonts w:ascii="Arial" w:hAnsi="Arial" w:cs="Arial"/>
                <w:lang w:val="it-IT"/>
              </w:rPr>
              <w:t xml:space="preserve"> x 10</w:t>
            </w:r>
            <w:r w:rsidR="008F333A" w:rsidRPr="00AD1140">
              <w:rPr>
                <w:rStyle w:val="checkbox"/>
                <w:rFonts w:ascii="Arial" w:hAnsi="Arial" w:cs="Arial"/>
                <w:vertAlign w:val="superscript"/>
                <w:lang w:val="it-IT"/>
              </w:rPr>
              <w:t>-4</w:t>
            </w:r>
            <w:r w:rsidR="008F333A" w:rsidRPr="00AD1140">
              <w:rPr>
                <w:rStyle w:val="checkbox"/>
                <w:rFonts w:ascii="Arial" w:hAnsi="Arial" w:cs="Arial"/>
                <w:lang w:val="it-IT"/>
              </w:rPr>
              <w:t xml:space="preserve"> per (</w:t>
            </w:r>
            <w:r w:rsidR="00A568C4" w:rsidRPr="00AD1140">
              <w:rPr>
                <w:rStyle w:val="checkbox"/>
                <w:rFonts w:ascii="Arial" w:hAnsi="Arial" w:cs="Arial"/>
                <w:lang w:val="it-IT"/>
              </w:rPr>
              <w:t>µ</w:t>
            </w:r>
            <w:r w:rsidR="008F333A" w:rsidRPr="00AD1140">
              <w:rPr>
                <w:rStyle w:val="checkbox"/>
                <w:rFonts w:ascii="Arial" w:hAnsi="Arial" w:cs="Arial"/>
                <w:lang w:val="it-IT"/>
              </w:rPr>
              <w:t>g/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>m</w:t>
            </w:r>
            <w:r w:rsidR="008F333A" w:rsidRPr="00AD1140">
              <w:rPr>
                <w:rStyle w:val="checkbox"/>
                <w:rFonts w:ascii="Arial" w:hAnsi="Arial" w:cs="Arial"/>
                <w:vertAlign w:val="superscript"/>
                <w:lang w:val="it-IT"/>
              </w:rPr>
              <w:t>3</w:t>
            </w:r>
            <w:r w:rsidRPr="00AD1140">
              <w:rPr>
                <w:rStyle w:val="checkbox"/>
                <w:rFonts w:ascii="Arial" w:hAnsi="Arial" w:cs="Arial"/>
                <w:lang w:val="it-IT"/>
              </w:rPr>
              <w:t>)</w:t>
            </w:r>
            <w:r w:rsidR="00303A1D" w:rsidRPr="00AD1140">
              <w:rPr>
                <w:rStyle w:val="checkbox"/>
                <w:rFonts w:ascii="Arial" w:hAnsi="Arial" w:cs="Arial"/>
                <w:lang w:val="it-IT"/>
              </w:rPr>
              <w:t>.</w:t>
            </w:r>
          </w:p>
        </w:tc>
      </w:tr>
      <w:tr w:rsidR="004966BF" w:rsidRPr="004C23F4" w14:paraId="4D34530D" w14:textId="77777777" w:rsidTr="00175756">
        <w:trPr>
          <w:cantSplit/>
        </w:trPr>
        <w:tc>
          <w:tcPr>
            <w:tcW w:w="1495" w:type="dxa"/>
          </w:tcPr>
          <w:p w14:paraId="1EDAF560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51042A15" w14:textId="3B64FDB2" w:rsidR="004966BF" w:rsidRPr="00CE617F" w:rsidRDefault="00A069AC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D12DC7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7CF490A" w14:textId="6DE9BAA8" w:rsidR="004966BF" w:rsidRPr="004C23F4" w:rsidRDefault="00D12DC7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7" w:type="dxa"/>
          </w:tcPr>
          <w:p w14:paraId="15FA9593" w14:textId="68C3D46C" w:rsidR="000E3845" w:rsidRDefault="000E3845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LD</w:t>
            </w:r>
            <w:r w:rsidRPr="00175756">
              <w:rPr>
                <w:rStyle w:val="checkbox"/>
                <w:rFonts w:ascii="Arial" w:hAnsi="Arial" w:cs="Arial"/>
                <w:vertAlign w:val="subscript"/>
              </w:rPr>
              <w:t>50</w:t>
            </w:r>
            <w:r>
              <w:rPr>
                <w:rStyle w:val="checkbox"/>
                <w:rFonts w:ascii="Arial" w:hAnsi="Arial" w:cs="Arial"/>
              </w:rPr>
              <w:t>: 9 mg/kg (rabbits, dermal)</w:t>
            </w:r>
          </w:p>
          <w:p w14:paraId="3BB92F9E" w14:textId="56BCD02A" w:rsidR="00D12DC7" w:rsidRDefault="00D12DC7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D12DC7">
              <w:rPr>
                <w:rStyle w:val="checkbox"/>
                <w:rFonts w:ascii="Arial" w:hAnsi="Arial" w:cs="Arial"/>
              </w:rPr>
              <w:t xml:space="preserve">tudy performed </w:t>
            </w:r>
            <w:r>
              <w:rPr>
                <w:rStyle w:val="checkbox"/>
                <w:rFonts w:ascii="Arial" w:hAnsi="Arial" w:cs="Arial"/>
              </w:rPr>
              <w:t xml:space="preserve">as </w:t>
            </w:r>
            <w:r w:rsidRPr="00D12DC7">
              <w:rPr>
                <w:rStyle w:val="checkbox"/>
                <w:rFonts w:ascii="Arial" w:hAnsi="Arial" w:cs="Arial"/>
              </w:rPr>
              <w:t>per OECD Test Guideline No. 429 and EC No 440/2008 Guideline B.42</w:t>
            </w:r>
            <w:r>
              <w:rPr>
                <w:rStyle w:val="checkbox"/>
                <w:rFonts w:ascii="Arial" w:hAnsi="Arial" w:cs="Arial"/>
              </w:rPr>
              <w:t xml:space="preserve">, </w:t>
            </w:r>
            <w:r w:rsidRPr="00D12DC7">
              <w:rPr>
                <w:rStyle w:val="checkbox"/>
                <w:rFonts w:ascii="Arial" w:hAnsi="Arial" w:cs="Arial"/>
              </w:rPr>
              <w:t>no sensitisation potential</w:t>
            </w:r>
          </w:p>
          <w:p w14:paraId="5631BD34" w14:textId="23722C55" w:rsidR="004966BF" w:rsidRPr="00D12DC7" w:rsidRDefault="00E00E91" w:rsidP="00856322">
            <w:pPr>
              <w:pStyle w:val="ListBullet"/>
              <w:numPr>
                <w:ilvl w:val="0"/>
                <w:numId w:val="6"/>
              </w:numPr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</w:t>
            </w:r>
            <w:r w:rsidRPr="00D12DC7">
              <w:rPr>
                <w:rStyle w:val="checkbox"/>
                <w:rFonts w:ascii="Arial" w:hAnsi="Arial" w:cs="Arial"/>
              </w:rPr>
              <w:t xml:space="preserve">hould not be classified for germ cells mutagenicity </w:t>
            </w:r>
            <w:r>
              <w:rPr>
                <w:rStyle w:val="checkbox"/>
                <w:rFonts w:ascii="Arial" w:hAnsi="Arial" w:cs="Arial"/>
              </w:rPr>
              <w:t>a</w:t>
            </w:r>
            <w:r w:rsidR="00D12DC7" w:rsidRPr="00D12DC7">
              <w:rPr>
                <w:rStyle w:val="checkbox"/>
                <w:rFonts w:ascii="Arial" w:hAnsi="Arial" w:cs="Arial"/>
              </w:rPr>
              <w:t>ccording to the classification criteria of EC regulation 1272/2008</w:t>
            </w:r>
            <w:r w:rsidR="00303A1D">
              <w:rPr>
                <w:rStyle w:val="checkbox"/>
                <w:rFonts w:ascii="Arial" w:hAnsi="Arial" w:cs="Arial"/>
              </w:rPr>
              <w:t>.</w:t>
            </w:r>
            <w:r w:rsidR="00D12DC7" w:rsidRPr="00D12DC7"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39AC1BB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4"/>
        <w:gridCol w:w="2432"/>
      </w:tblGrid>
      <w:tr w:rsidR="002E0D61" w14:paraId="78485FA1" w14:textId="77777777" w:rsidTr="007577A4">
        <w:trPr>
          <w:trHeight w:val="454"/>
          <w:tblHeader/>
        </w:trPr>
        <w:tc>
          <w:tcPr>
            <w:tcW w:w="6594" w:type="dxa"/>
            <w:vAlign w:val="center"/>
          </w:tcPr>
          <w:p w14:paraId="1AAF0243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32" w:type="dxa"/>
                <w:vAlign w:val="center"/>
              </w:tcPr>
              <w:p w14:paraId="46F67737" w14:textId="4F8632FF" w:rsidR="002E0D61" w:rsidRDefault="003577C2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8A36CF" w14:paraId="7F5D5C3E" w14:textId="77777777" w:rsidTr="007577A4">
        <w:trPr>
          <w:trHeight w:val="454"/>
        </w:trPr>
        <w:tc>
          <w:tcPr>
            <w:tcW w:w="6594" w:type="dxa"/>
            <w:vAlign w:val="center"/>
          </w:tcPr>
          <w:p w14:paraId="0B899DD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32" w:type="dxa"/>
                <w:vAlign w:val="center"/>
              </w:tcPr>
              <w:p w14:paraId="39795923" w14:textId="0A54DA34" w:rsidR="008A36CF" w:rsidRDefault="00825B42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5397D" w14:paraId="4AC7D068" w14:textId="77777777" w:rsidTr="00BA2F75">
        <w:trPr>
          <w:trHeight w:val="454"/>
        </w:trPr>
        <w:tc>
          <w:tcPr>
            <w:tcW w:w="9026" w:type="dxa"/>
            <w:gridSpan w:val="2"/>
            <w:vAlign w:val="center"/>
          </w:tcPr>
          <w:p w14:paraId="5179DAB2" w14:textId="6BB65E10" w:rsidR="0085397D" w:rsidRDefault="00A069AC" w:rsidP="008A36CF">
            <w:pPr>
              <w:pStyle w:val="Tablefont"/>
              <w:keepNext/>
              <w:keepLines/>
              <w:spacing w:before="40" w:after="40"/>
            </w:pPr>
            <w:sdt>
              <w:sdtPr>
                <w:rPr>
                  <w:b/>
                </w:rPr>
                <w:id w:val="1830936485"/>
                <w:placeholder>
                  <w:docPart w:val="E2F1DD20ECFB49C3A8BD111685A1891C"/>
                </w:placeholder>
                <w:dropDownList>
                  <w:listItem w:value="Choose an item."/>
                  <w:listItem w:displayText="The chemical is a non-threshold based genotoxic carcinogen." w:value="The chemical is a non-threshold based genotoxic carcinogen."/>
                  <w:listItem w:displayText="The chemical is not a non-threshold based genotoxic carcinogen." w:value="The chemical is not a non-threshold based genotoxic carcinogen."/>
    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    </w:dropDownList>
              </w:sdtPr>
              <w:sdtEndPr/>
              <w:sdtContent>
                <w:r w:rsidR="0085397D">
                  <w:rPr>
                    <w:b/>
                  </w:rPr>
                  <w:t>Insufficient data are available to determine if the chemical is a non-threshold based genotoxic carcinogen.</w:t>
                </w:r>
              </w:sdtContent>
            </w:sdt>
          </w:p>
        </w:tc>
      </w:tr>
    </w:tbl>
    <w:bookmarkEnd w:id="1"/>
    <w:p w14:paraId="394453B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A437CD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D4C1535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AD64C8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575E07F1" w14:textId="77777777" w:rsidTr="00812887">
        <w:trPr>
          <w:cantSplit/>
        </w:trPr>
        <w:tc>
          <w:tcPr>
            <w:tcW w:w="3227" w:type="dxa"/>
          </w:tcPr>
          <w:p w14:paraId="1A18FFC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C1832B4" w14:textId="387FDD74" w:rsidR="00687890" w:rsidRPr="00DD2F9B" w:rsidRDefault="006F38CA" w:rsidP="00DD2F9B">
            <w:pPr>
              <w:pStyle w:val="Tablefont"/>
            </w:pPr>
            <w:proofErr w:type="spellStart"/>
            <w:r w:rsidRPr="006F38CA">
              <w:t>Carc</w:t>
            </w:r>
            <w:proofErr w:type="spellEnd"/>
            <w:r w:rsidRPr="006F38CA">
              <w:t>. 2</w:t>
            </w:r>
            <w:r>
              <w:t xml:space="preserve">, </w:t>
            </w:r>
            <w:r w:rsidRPr="006F38CA">
              <w:t>Skin</w:t>
            </w:r>
          </w:p>
        </w:tc>
      </w:tr>
      <w:tr w:rsidR="007925F0" w:rsidRPr="004C23F4" w14:paraId="4C1B12BF" w14:textId="77777777" w:rsidTr="00812887">
        <w:trPr>
          <w:cantSplit/>
        </w:trPr>
        <w:tc>
          <w:tcPr>
            <w:tcW w:w="3227" w:type="dxa"/>
          </w:tcPr>
          <w:p w14:paraId="4D639F9D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1EF1591" w14:textId="3C9A43E5" w:rsidR="007925F0" w:rsidRPr="00DD2F9B" w:rsidRDefault="003635F2" w:rsidP="00DD2F9B">
            <w:pPr>
              <w:pStyle w:val="Tablefont"/>
            </w:pPr>
            <w:r w:rsidRPr="003635F2">
              <w:t>Carcinogenicity – category 2</w:t>
            </w:r>
          </w:p>
        </w:tc>
      </w:tr>
      <w:tr w:rsidR="00AF483F" w:rsidRPr="004C23F4" w14:paraId="69718164" w14:textId="77777777" w:rsidTr="00812887">
        <w:trPr>
          <w:cantSplit/>
        </w:trPr>
        <w:tc>
          <w:tcPr>
            <w:tcW w:w="3227" w:type="dxa"/>
          </w:tcPr>
          <w:p w14:paraId="45AB16A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F902F40" w14:textId="7607148D" w:rsidR="00AF483F" w:rsidRPr="00DD2F9B" w:rsidRDefault="00062DB4" w:rsidP="00DD2F9B">
            <w:pPr>
              <w:pStyle w:val="Tablefont"/>
            </w:pPr>
            <w:r>
              <w:t>—</w:t>
            </w:r>
          </w:p>
        </w:tc>
      </w:tr>
      <w:tr w:rsidR="00687890" w:rsidRPr="004C23F4" w14:paraId="10D080C1" w14:textId="77777777" w:rsidTr="00812887">
        <w:trPr>
          <w:cantSplit/>
        </w:trPr>
        <w:tc>
          <w:tcPr>
            <w:tcW w:w="3227" w:type="dxa"/>
          </w:tcPr>
          <w:p w14:paraId="427DBCA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CBC59DE" w14:textId="11F81FAF" w:rsidR="00687890" w:rsidRPr="00DD2F9B" w:rsidRDefault="00E23E7C" w:rsidP="00DD2F9B">
            <w:pPr>
              <w:pStyle w:val="Tablefont"/>
            </w:pPr>
            <w:r w:rsidRPr="00E23E7C">
              <w:t>Carcinogenicity – category 2</w:t>
            </w:r>
          </w:p>
        </w:tc>
      </w:tr>
      <w:tr w:rsidR="00E41A26" w:rsidRPr="004C23F4" w14:paraId="584398EE" w14:textId="77777777" w:rsidTr="00812887">
        <w:trPr>
          <w:cantSplit/>
        </w:trPr>
        <w:tc>
          <w:tcPr>
            <w:tcW w:w="3227" w:type="dxa"/>
          </w:tcPr>
          <w:p w14:paraId="29E81D31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8B4B9AA" w14:textId="2E6E5D8C" w:rsidR="00E41A26" w:rsidRPr="00DD2F9B" w:rsidRDefault="00E23E7C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34DBACA" w14:textId="77777777" w:rsidTr="00812887">
        <w:trPr>
          <w:cantSplit/>
        </w:trPr>
        <w:tc>
          <w:tcPr>
            <w:tcW w:w="3227" w:type="dxa"/>
          </w:tcPr>
          <w:p w14:paraId="344ECB1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DD0EE2B" w14:textId="08D3B5EB" w:rsidR="002E0D61" w:rsidRPr="00DD2F9B" w:rsidRDefault="00E23E7C" w:rsidP="00DD2F9B">
            <w:pPr>
              <w:pStyle w:val="Tablefont"/>
            </w:pPr>
            <w:r w:rsidRPr="00E23E7C">
              <w:t>Carcinogenicity – A4</w:t>
            </w:r>
            <w:r w:rsidR="008F78DF">
              <w:t>;</w:t>
            </w:r>
            <w:r w:rsidR="008F78DF" w:rsidRPr="00E23E7C">
              <w:t xml:space="preserve"> Skin</w:t>
            </w:r>
          </w:p>
        </w:tc>
      </w:tr>
      <w:tr w:rsidR="002E0D61" w:rsidRPr="004C23F4" w14:paraId="5C9050DB" w14:textId="77777777" w:rsidTr="00812887">
        <w:trPr>
          <w:cantSplit/>
        </w:trPr>
        <w:tc>
          <w:tcPr>
            <w:tcW w:w="3227" w:type="dxa"/>
          </w:tcPr>
          <w:p w14:paraId="3803C90D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0444C042" w14:textId="370D4123" w:rsidR="002E0D61" w:rsidRPr="00DD2F9B" w:rsidRDefault="00062DB4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BB1FF06" w14:textId="77777777" w:rsidTr="00812887">
        <w:trPr>
          <w:cantSplit/>
        </w:trPr>
        <w:tc>
          <w:tcPr>
            <w:tcW w:w="3227" w:type="dxa"/>
          </w:tcPr>
          <w:p w14:paraId="277ADA32" w14:textId="77777777" w:rsidR="004079B4" w:rsidRPr="004C23F4" w:rsidRDefault="002E0D61" w:rsidP="00F4402E">
            <w:pPr>
              <w:pStyle w:val="Tablefont"/>
            </w:pPr>
            <w:r>
              <w:lastRenderedPageBreak/>
              <w:t>SCOEL</w:t>
            </w:r>
          </w:p>
        </w:tc>
        <w:tc>
          <w:tcPr>
            <w:tcW w:w="6015" w:type="dxa"/>
          </w:tcPr>
          <w:p w14:paraId="2F117493" w14:textId="3157836C" w:rsidR="002E0D61" w:rsidRPr="00DD2F9B" w:rsidRDefault="00062DB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D1BC4FC" w14:textId="77777777" w:rsidTr="00812887">
        <w:trPr>
          <w:cantSplit/>
        </w:trPr>
        <w:tc>
          <w:tcPr>
            <w:tcW w:w="3227" w:type="dxa"/>
          </w:tcPr>
          <w:p w14:paraId="069157E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0E71BA2" w14:textId="0BCD5604" w:rsidR="002E0D61" w:rsidRPr="00DD2F9B" w:rsidRDefault="00062DB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F39E8E" w14:textId="77777777" w:rsidTr="00812887">
        <w:trPr>
          <w:cantSplit/>
        </w:trPr>
        <w:tc>
          <w:tcPr>
            <w:tcW w:w="3227" w:type="dxa"/>
          </w:tcPr>
          <w:p w14:paraId="7D60B4A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200A62C" w14:textId="2B46D276" w:rsidR="00386093" w:rsidRPr="00DD2F9B" w:rsidRDefault="00062DB4" w:rsidP="00DD2F9B">
            <w:pPr>
              <w:pStyle w:val="Tablefont"/>
            </w:pPr>
            <w:r w:rsidRPr="00062DB4">
              <w:t>Carcinogenicity – Group 3</w:t>
            </w:r>
          </w:p>
        </w:tc>
      </w:tr>
      <w:tr w:rsidR="00386093" w:rsidRPr="004C23F4" w14:paraId="33D010DD" w14:textId="77777777" w:rsidTr="00812887">
        <w:trPr>
          <w:cantSplit/>
        </w:trPr>
        <w:tc>
          <w:tcPr>
            <w:tcW w:w="3227" w:type="dxa"/>
          </w:tcPr>
          <w:p w14:paraId="36168CC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1A22602B" w14:textId="6D60887A" w:rsidR="00386093" w:rsidRPr="00DD2F9B" w:rsidRDefault="00062DB4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023AD7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3C1F35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7799C0B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2A10CEC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4CFEAFF0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675"/>
              <w:gridCol w:w="990"/>
              <w:gridCol w:w="990"/>
              <w:gridCol w:w="3155"/>
            </w:tblGrid>
            <w:tr w:rsidR="009D6577" w:rsidRPr="009D6577" w14:paraId="470A7DDE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73BAAA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CD109B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02E619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42141E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5C72986A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8B859C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1B91BB51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CBDFD4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5693D7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726969BF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4DF745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13E6F6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903D7E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93C13F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119EF2F4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AB8C0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35E7B0A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A2E793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3.00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9AF467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66F1F012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DB44D3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EBFF63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B13D4C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5897F9F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6ADCF047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A93BF4C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1EC1DE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0033C5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CEE968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9D6577" w:rsidRPr="009D6577" w14:paraId="63CE5EC8" w14:textId="77777777" w:rsidTr="009D6577">
              <w:trPr>
                <w:trHeight w:val="342"/>
              </w:trPr>
              <w:tc>
                <w:tcPr>
                  <w:tcW w:w="3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FAC828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7DD83D2" w14:textId="77777777" w:rsidR="009D6577" w:rsidRPr="009D6577" w:rsidRDefault="009D6577" w:rsidP="009D657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9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16C83C" w14:textId="77777777" w:rsidR="009D6577" w:rsidRPr="009D6577" w:rsidRDefault="009D6577" w:rsidP="009D657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3</w:t>
                  </w:r>
                </w:p>
              </w:tc>
              <w:tc>
                <w:tcPr>
                  <w:tcW w:w="315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0C816E" w14:textId="77777777" w:rsidR="009D6577" w:rsidRPr="009D6577" w:rsidRDefault="009D6577" w:rsidP="009D657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r w:rsidRPr="009D6577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consider assigning a skin notation</w:t>
                  </w:r>
                </w:p>
              </w:tc>
            </w:tr>
          </w:tbl>
          <w:p w14:paraId="4F641176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1B05C62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221B30F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D4FF6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571086" w14:textId="7A191CD5" w:rsidR="00EB3D1B" w:rsidRDefault="007577A4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61DEF9C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9FA1D2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2210B08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8B1042E" w14:textId="54DFC909" w:rsidR="001B79E5" w:rsidRDefault="00062DB4" w:rsidP="001B79E5">
                <w:pPr>
                  <w:pStyle w:val="Tablefont"/>
                </w:pPr>
                <w:r w:rsidRPr="00062DB4">
                  <w:t>143.01</w:t>
                </w:r>
              </w:p>
            </w:tc>
          </w:sdtContent>
        </w:sdt>
      </w:tr>
      <w:tr w:rsidR="00A31D99" w:rsidRPr="004C23F4" w14:paraId="1683C65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B3C01E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82109DA" w14:textId="7836B6D5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062DB4">
                  <w:t>5.85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062DB4">
                  <w:t>0.171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C66DBD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5DB34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B38E4D" w14:textId="25394BEC" w:rsidR="00687890" w:rsidRPr="004C23F4" w:rsidRDefault="00E00E91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68D4B8F" w14:textId="77777777" w:rsidTr="00EA6243">
        <w:trPr>
          <w:cantSplit/>
        </w:trPr>
        <w:tc>
          <w:tcPr>
            <w:tcW w:w="4077" w:type="dxa"/>
            <w:vAlign w:val="center"/>
          </w:tcPr>
          <w:p w14:paraId="610CA5F7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D47CCE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57E2FED" w14:textId="77777777" w:rsidTr="00EA6243">
        <w:trPr>
          <w:cantSplit/>
        </w:trPr>
        <w:tc>
          <w:tcPr>
            <w:tcW w:w="4077" w:type="dxa"/>
            <w:vAlign w:val="center"/>
          </w:tcPr>
          <w:p w14:paraId="75986DE9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BD6FF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36195B5F" w14:textId="77777777" w:rsidTr="00EA6243">
        <w:trPr>
          <w:cantSplit/>
        </w:trPr>
        <w:tc>
          <w:tcPr>
            <w:tcW w:w="4077" w:type="dxa"/>
            <w:vAlign w:val="center"/>
          </w:tcPr>
          <w:p w14:paraId="15016A0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24E04C1" w14:textId="77777777" w:rsidR="00E06F40" w:rsidRPr="00A006A0" w:rsidRDefault="00A069AC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5D31DB6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94151AE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F278C9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B4821B0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DD51236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9E733A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5B6B89C" w14:textId="77777777" w:rsidR="007F1005" w:rsidRPr="004C23F4" w:rsidRDefault="007F1005" w:rsidP="00EB3D1B">
            <w:pPr>
              <w:pStyle w:val="Tablefont"/>
              <w:keepLines/>
            </w:pPr>
          </w:p>
        </w:tc>
      </w:tr>
      <w:bookmarkEnd w:id="4"/>
    </w:tbl>
    <w:p w14:paraId="32571456" w14:textId="77777777" w:rsidR="00303A1D" w:rsidRDefault="00303A1D" w:rsidP="00303A1D">
      <w:pPr>
        <w:pStyle w:val="Heading2"/>
        <w:tabs>
          <w:tab w:val="right" w:pos="8505"/>
        </w:tabs>
      </w:pPr>
    </w:p>
    <w:p w14:paraId="00979FF2" w14:textId="77777777" w:rsidR="00303A1D" w:rsidRDefault="00303A1D">
      <w:pPr>
        <w:spacing w:after="200"/>
        <w:rPr>
          <w:rFonts w:eastAsiaTheme="majorEastAsia" w:cs="Arial"/>
          <w:b/>
          <w:bCs/>
          <w:iCs/>
          <w:color w:val="000000" w:themeColor="text1"/>
          <w:sz w:val="28"/>
          <w:szCs w:val="32"/>
          <w:lang w:eastAsia="en-AU"/>
        </w:rPr>
      </w:pPr>
      <w:r>
        <w:br w:type="page"/>
      </w:r>
    </w:p>
    <w:p w14:paraId="32287DC8" w14:textId="51B3FA56" w:rsidR="00F87D92" w:rsidRDefault="00F87D92" w:rsidP="00303A1D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4BDD4A4C" w14:textId="29CA04AB" w:rsidR="00062DB4" w:rsidRDefault="006650FE" w:rsidP="00A568C4">
      <w:pPr>
        <w:keepNext/>
      </w:pPr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4023924" w14:textId="77777777" w:rsidR="00303A1D" w:rsidRDefault="00303A1D" w:rsidP="00303A1D">
      <w:pPr>
        <w:keepNext/>
      </w:pPr>
      <w:r>
        <w:t>European Chemicals Agency (ECHA) (2017) Bis(2-chloroethyl) ether – REACH assessment.</w:t>
      </w:r>
    </w:p>
    <w:p w14:paraId="5199571A" w14:textId="2556A2DD" w:rsidR="00062DB4" w:rsidRDefault="00062DB4" w:rsidP="00A568C4">
      <w:pPr>
        <w:keepNext/>
      </w:pPr>
      <w:r w:rsidRPr="002022B6">
        <w:t>International Agency for Research on Cancer</w:t>
      </w:r>
      <w:r>
        <w:t xml:space="preserve"> (IARC) (</w:t>
      </w:r>
      <w:r w:rsidR="000844CC">
        <w:t>1999</w:t>
      </w:r>
      <w:r>
        <w:t xml:space="preserve">) </w:t>
      </w:r>
      <w:proofErr w:type="spellStart"/>
      <w:r w:rsidR="000844CC" w:rsidRPr="000844CC">
        <w:t>Dichloroethyl</w:t>
      </w:r>
      <w:proofErr w:type="spellEnd"/>
      <w:r w:rsidR="000844CC" w:rsidRPr="000844CC">
        <w:t xml:space="preserve"> ether</w:t>
      </w:r>
      <w:r>
        <w:t>. IARC Monographs on the evaluation of the carcinogenic risk to humans.</w:t>
      </w:r>
      <w:r w:rsidR="000844CC" w:rsidRPr="000844CC">
        <w:t xml:space="preserve"> 9, Sup 7, 71</w:t>
      </w:r>
      <w:r w:rsidR="000844CC">
        <w:t>.</w:t>
      </w:r>
    </w:p>
    <w:p w14:paraId="4C611179" w14:textId="52F86F62" w:rsidR="00520EFF" w:rsidRDefault="00E00E91" w:rsidP="00A568C4">
      <w:pPr>
        <w:keepNext/>
      </w:pPr>
      <w:r w:rsidRPr="002022B6">
        <w:t>National Industrial Chemicals Notification and Assessment Scheme (NICNAS)</w:t>
      </w:r>
      <w:r>
        <w:t xml:space="preserve"> (</w:t>
      </w:r>
      <w:r w:rsidR="004E3074">
        <w:t>2015</w:t>
      </w:r>
      <w:r>
        <w:t xml:space="preserve">) </w:t>
      </w:r>
      <w:r w:rsidRPr="00E00E91">
        <w:t>Ethane, 1,1'-oxybis[2-chloro</w:t>
      </w:r>
      <w:r w:rsidR="007577A4">
        <w:t>]</w:t>
      </w:r>
      <w:r w:rsidRPr="00E00E91">
        <w:t>-</w:t>
      </w:r>
      <w:r w:rsidRPr="0071660C">
        <w:t xml:space="preserve">: Human health </w:t>
      </w:r>
      <w:sdt>
        <w:sdtPr>
          <w:id w:val="-1295753243"/>
          <w:placeholder>
            <w:docPart w:val="346077D63F414C85994AD30B9D8CD138"/>
          </w:placeholder>
          <w:temporary/>
          <w:showingPlcHdr/>
        </w:sdtPr>
        <w:sdtEndPr/>
        <w:sdtContent>
          <w:r w:rsidRPr="00E00E91">
            <w:t>tier II</w:t>
          </w:r>
        </w:sdtContent>
      </w:sdt>
      <w:r>
        <w:t xml:space="preserve"> </w:t>
      </w:r>
      <w:r w:rsidRPr="0071660C">
        <w:t>assessment</w:t>
      </w:r>
      <w:r>
        <w:t xml:space="preserve"> – IMAP report.</w:t>
      </w:r>
    </w:p>
    <w:p w14:paraId="6FCDF2D4" w14:textId="44870D7B" w:rsidR="00E00E91" w:rsidRDefault="00E00E91" w:rsidP="00A568C4">
      <w:pPr>
        <w:keepNext/>
      </w:pPr>
      <w:r w:rsidRPr="00D86E03">
        <w:t>US Environmental Protection Agency (US EPA)</w:t>
      </w:r>
      <w:r>
        <w:t xml:space="preserve"> </w:t>
      </w:r>
      <w:r w:rsidRPr="002F365B">
        <w:t>(</w:t>
      </w:r>
      <w:r w:rsidR="004E3074">
        <w:t>1991</w:t>
      </w:r>
      <w:r w:rsidRPr="002F365B">
        <w:t xml:space="preserve">) </w:t>
      </w:r>
      <w:r w:rsidR="004E3074" w:rsidRPr="004E3074">
        <w:t>Integrated Risk Information System (IRIS</w:t>
      </w:r>
      <w:r w:rsidR="004E3074">
        <w:t>)</w:t>
      </w:r>
      <w:r w:rsidR="004E3074" w:rsidRPr="004E3074">
        <w:t xml:space="preserve"> Chemical Assessment Summary</w:t>
      </w:r>
      <w:r w:rsidR="004E3074">
        <w:t xml:space="preserve"> - </w:t>
      </w:r>
      <w:r w:rsidR="004E3074" w:rsidRPr="004E3074">
        <w:t>Bis(chloroethyl)ether (BCEE</w:t>
      </w:r>
      <w:r w:rsidR="004E3074">
        <w:t>)</w:t>
      </w:r>
      <w:r w:rsidRPr="002F365B">
        <w:t>.</w:t>
      </w:r>
    </w:p>
    <w:p w14:paraId="55FAEEAA" w14:textId="1129DE5D" w:rsidR="00303A1D" w:rsidRDefault="00303A1D" w:rsidP="00303A1D">
      <w:pPr>
        <w:keepNext/>
      </w:pPr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00B511F" w14:textId="3A8540F3" w:rsidR="007577A4" w:rsidRDefault="007577A4" w:rsidP="007577A4">
      <w:r>
        <w:t xml:space="preserve">US National Institute for Occupational Safety and Health (NIOSH) (1994) Immediately dangerous to life or health concentrations – </w:t>
      </w:r>
      <w:proofErr w:type="spellStart"/>
      <w:r>
        <w:t>Dichloroethyl</w:t>
      </w:r>
      <w:proofErr w:type="spellEnd"/>
      <w:r>
        <w:t xml:space="preserve"> ether. </w:t>
      </w:r>
    </w:p>
    <w:p w14:paraId="0E4450FB" w14:textId="77777777" w:rsidR="007577A4" w:rsidRDefault="007577A4" w:rsidP="00303A1D">
      <w:pPr>
        <w:keepNext/>
      </w:pPr>
    </w:p>
    <w:p w14:paraId="1C71D7FE" w14:textId="77777777" w:rsidR="00E00E91" w:rsidRPr="00351FE0" w:rsidRDefault="00E00E91" w:rsidP="00084859"/>
    <w:sectPr w:rsidR="00E00E9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97145" w14:textId="77777777" w:rsidR="00F1740C" w:rsidRDefault="00F1740C" w:rsidP="00F43AD5">
      <w:pPr>
        <w:spacing w:after="0" w:line="240" w:lineRule="auto"/>
      </w:pPr>
      <w:r>
        <w:separator/>
      </w:r>
    </w:p>
  </w:endnote>
  <w:endnote w:type="continuationSeparator" w:id="0">
    <w:p w14:paraId="58F3D8D1" w14:textId="77777777" w:rsidR="00F1740C" w:rsidRDefault="00F1740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37B17963" w14:textId="589E8A78" w:rsidR="008A36CF" w:rsidRDefault="00FD0CCC" w:rsidP="0034744C">
        <w:pPr>
          <w:pStyle w:val="Footer"/>
          <w:rPr>
            <w:sz w:val="18"/>
            <w:szCs w:val="18"/>
          </w:rPr>
        </w:pPr>
        <w:proofErr w:type="spellStart"/>
        <w:r w:rsidRPr="00FD0CCC">
          <w:rPr>
            <w:b/>
            <w:sz w:val="18"/>
            <w:szCs w:val="18"/>
          </w:rPr>
          <w:t>Dichloroethyl</w:t>
        </w:r>
        <w:proofErr w:type="spellEnd"/>
        <w:r w:rsidRPr="00FD0CCC">
          <w:rPr>
            <w:b/>
            <w:sz w:val="18"/>
            <w:szCs w:val="18"/>
          </w:rPr>
          <w:t xml:space="preserve"> ether </w:t>
        </w:r>
        <w:r w:rsidR="008A36CF">
          <w:rPr>
            <w:b/>
            <w:sz w:val="18"/>
            <w:szCs w:val="18"/>
          </w:rPr>
          <w:t>(</w:t>
        </w:r>
        <w:r w:rsidRPr="00FD0CCC">
          <w:rPr>
            <w:b/>
            <w:sz w:val="18"/>
            <w:szCs w:val="18"/>
          </w:rPr>
          <w:t>111-44-4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E8A9A77" w14:textId="1F35EA73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9700F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A3711" w14:textId="77777777" w:rsidR="00F1740C" w:rsidRDefault="00F1740C" w:rsidP="00F43AD5">
      <w:pPr>
        <w:spacing w:after="0" w:line="240" w:lineRule="auto"/>
      </w:pPr>
      <w:r>
        <w:separator/>
      </w:r>
    </w:p>
  </w:footnote>
  <w:footnote w:type="continuationSeparator" w:id="0">
    <w:p w14:paraId="07EF31F5" w14:textId="77777777" w:rsidR="00F1740C" w:rsidRDefault="00F1740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3330F" w14:textId="48E4E9CE" w:rsidR="00FD553E" w:rsidRDefault="00FD553E" w:rsidP="00FD55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2DAB539B" wp14:editId="2B5906DF">
          <wp:extent cx="2952750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45EF2C4" w14:textId="09FD4B19" w:rsidR="008A36CF" w:rsidRPr="00FD553E" w:rsidRDefault="008A36CF" w:rsidP="00FD553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CB26A" w14:textId="4049F283" w:rsidR="00FD553E" w:rsidRDefault="00FD553E" w:rsidP="00FD55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2A80D8D" wp14:editId="40633DA5">
          <wp:extent cx="2952750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52750" cy="590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517C32D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4E621A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06F56F4"/>
    <w:multiLevelType w:val="hybridMultilevel"/>
    <w:tmpl w:val="3234636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004CA8"/>
    <w:multiLevelType w:val="hybridMultilevel"/>
    <w:tmpl w:val="33742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97478"/>
    <w:multiLevelType w:val="hybridMultilevel"/>
    <w:tmpl w:val="CC5A4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3929637">
    <w:abstractNumId w:val="0"/>
  </w:num>
  <w:num w:numId="2" w16cid:durableId="1580290805">
    <w:abstractNumId w:val="1"/>
  </w:num>
  <w:num w:numId="3" w16cid:durableId="1360164842">
    <w:abstractNumId w:val="2"/>
  </w:num>
  <w:num w:numId="4" w16cid:durableId="212079788">
    <w:abstractNumId w:val="0"/>
  </w:num>
  <w:num w:numId="5" w16cid:durableId="467824537">
    <w:abstractNumId w:val="0"/>
  </w:num>
  <w:num w:numId="6" w16cid:durableId="1592616048">
    <w:abstractNumId w:val="3"/>
  </w:num>
  <w:num w:numId="7" w16cid:durableId="445999788">
    <w:abstractNumId w:val="0"/>
  </w:num>
  <w:num w:numId="8" w16cid:durableId="1654984394">
    <w:abstractNumId w:val="0"/>
  </w:num>
  <w:num w:numId="9" w16cid:durableId="576090339">
    <w:abstractNumId w:val="0"/>
  </w:num>
  <w:num w:numId="10" w16cid:durableId="112868533">
    <w:abstractNumId w:val="0"/>
  </w:num>
  <w:num w:numId="11" w16cid:durableId="1160463746">
    <w:abstractNumId w:val="0"/>
  </w:num>
  <w:num w:numId="12" w16cid:durableId="628900952">
    <w:abstractNumId w:val="0"/>
  </w:num>
  <w:num w:numId="13" w16cid:durableId="542400772">
    <w:abstractNumId w:val="0"/>
  </w:num>
  <w:num w:numId="14" w16cid:durableId="1191214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360E"/>
    <w:rsid w:val="00032B88"/>
    <w:rsid w:val="00046DF5"/>
    <w:rsid w:val="00052060"/>
    <w:rsid w:val="0005574A"/>
    <w:rsid w:val="00055FE1"/>
    <w:rsid w:val="00056EC2"/>
    <w:rsid w:val="00060B48"/>
    <w:rsid w:val="00062DB4"/>
    <w:rsid w:val="00067F32"/>
    <w:rsid w:val="00071807"/>
    <w:rsid w:val="000803E1"/>
    <w:rsid w:val="000844CC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04A3"/>
    <w:rsid w:val="000D291C"/>
    <w:rsid w:val="000E3845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14AD"/>
    <w:rsid w:val="00146198"/>
    <w:rsid w:val="00146545"/>
    <w:rsid w:val="00146B75"/>
    <w:rsid w:val="0015266D"/>
    <w:rsid w:val="0015288A"/>
    <w:rsid w:val="00160F47"/>
    <w:rsid w:val="00175756"/>
    <w:rsid w:val="00177CA1"/>
    <w:rsid w:val="00181359"/>
    <w:rsid w:val="00183823"/>
    <w:rsid w:val="00183942"/>
    <w:rsid w:val="00196FB0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3CE6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51AD"/>
    <w:rsid w:val="00227EC7"/>
    <w:rsid w:val="00244AD1"/>
    <w:rsid w:val="002463BC"/>
    <w:rsid w:val="002465CE"/>
    <w:rsid w:val="002534E9"/>
    <w:rsid w:val="0025734A"/>
    <w:rsid w:val="00263255"/>
    <w:rsid w:val="00265503"/>
    <w:rsid w:val="00276494"/>
    <w:rsid w:val="00277B0C"/>
    <w:rsid w:val="00281A26"/>
    <w:rsid w:val="002B1A2C"/>
    <w:rsid w:val="002C34F2"/>
    <w:rsid w:val="002C58FF"/>
    <w:rsid w:val="002C681D"/>
    <w:rsid w:val="002C7AFE"/>
    <w:rsid w:val="002D05D2"/>
    <w:rsid w:val="002D1258"/>
    <w:rsid w:val="002E0D61"/>
    <w:rsid w:val="002E4A51"/>
    <w:rsid w:val="002E4C7B"/>
    <w:rsid w:val="00303A1D"/>
    <w:rsid w:val="003058FF"/>
    <w:rsid w:val="0030740C"/>
    <w:rsid w:val="00315833"/>
    <w:rsid w:val="003215EE"/>
    <w:rsid w:val="003224BF"/>
    <w:rsid w:val="003241A8"/>
    <w:rsid w:val="003253F0"/>
    <w:rsid w:val="00330B9A"/>
    <w:rsid w:val="003337DA"/>
    <w:rsid w:val="00334CE5"/>
    <w:rsid w:val="00334EFB"/>
    <w:rsid w:val="00335CDE"/>
    <w:rsid w:val="003365A5"/>
    <w:rsid w:val="00347192"/>
    <w:rsid w:val="0034744C"/>
    <w:rsid w:val="00351FE0"/>
    <w:rsid w:val="00352281"/>
    <w:rsid w:val="00352615"/>
    <w:rsid w:val="0035412B"/>
    <w:rsid w:val="003567A8"/>
    <w:rsid w:val="003577C2"/>
    <w:rsid w:val="00362895"/>
    <w:rsid w:val="003635F2"/>
    <w:rsid w:val="00370DBF"/>
    <w:rsid w:val="00384B2E"/>
    <w:rsid w:val="00386093"/>
    <w:rsid w:val="003904A4"/>
    <w:rsid w:val="00391607"/>
    <w:rsid w:val="00391841"/>
    <w:rsid w:val="00391B6D"/>
    <w:rsid w:val="00394922"/>
    <w:rsid w:val="003A0E32"/>
    <w:rsid w:val="003A2B94"/>
    <w:rsid w:val="003B387D"/>
    <w:rsid w:val="003C0D58"/>
    <w:rsid w:val="003D4FA3"/>
    <w:rsid w:val="003D6368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159A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3074"/>
    <w:rsid w:val="004E5EDD"/>
    <w:rsid w:val="004F448A"/>
    <w:rsid w:val="004F493D"/>
    <w:rsid w:val="004F65E8"/>
    <w:rsid w:val="0050005E"/>
    <w:rsid w:val="00502B88"/>
    <w:rsid w:val="005142C4"/>
    <w:rsid w:val="0051509C"/>
    <w:rsid w:val="00520EFF"/>
    <w:rsid w:val="005272E2"/>
    <w:rsid w:val="0053108F"/>
    <w:rsid w:val="00532B56"/>
    <w:rsid w:val="00534B10"/>
    <w:rsid w:val="005446A2"/>
    <w:rsid w:val="00544D2F"/>
    <w:rsid w:val="00551BD8"/>
    <w:rsid w:val="00563CAF"/>
    <w:rsid w:val="00581055"/>
    <w:rsid w:val="00591E38"/>
    <w:rsid w:val="00597D3F"/>
    <w:rsid w:val="005A19C5"/>
    <w:rsid w:val="005A3034"/>
    <w:rsid w:val="005A462D"/>
    <w:rsid w:val="005A7E53"/>
    <w:rsid w:val="005B253B"/>
    <w:rsid w:val="005B6629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38CA"/>
    <w:rsid w:val="006F7A39"/>
    <w:rsid w:val="00701053"/>
    <w:rsid w:val="00701507"/>
    <w:rsid w:val="00714021"/>
    <w:rsid w:val="00716A0F"/>
    <w:rsid w:val="00717D45"/>
    <w:rsid w:val="007208DC"/>
    <w:rsid w:val="007208F7"/>
    <w:rsid w:val="007218AF"/>
    <w:rsid w:val="00734F68"/>
    <w:rsid w:val="007365D1"/>
    <w:rsid w:val="00740E0E"/>
    <w:rsid w:val="00750212"/>
    <w:rsid w:val="00754779"/>
    <w:rsid w:val="0075716D"/>
    <w:rsid w:val="007577A4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C679E"/>
    <w:rsid w:val="007D3937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797"/>
    <w:rsid w:val="00812887"/>
    <w:rsid w:val="00825B42"/>
    <w:rsid w:val="00826F21"/>
    <w:rsid w:val="00834CC8"/>
    <w:rsid w:val="00834E01"/>
    <w:rsid w:val="00834FB1"/>
    <w:rsid w:val="00835E00"/>
    <w:rsid w:val="00837113"/>
    <w:rsid w:val="008414E4"/>
    <w:rsid w:val="00843E21"/>
    <w:rsid w:val="0084508E"/>
    <w:rsid w:val="0085397D"/>
    <w:rsid w:val="00856322"/>
    <w:rsid w:val="0085767D"/>
    <w:rsid w:val="00857A8A"/>
    <w:rsid w:val="008630EE"/>
    <w:rsid w:val="00864D13"/>
    <w:rsid w:val="0087180F"/>
    <w:rsid w:val="00871CD5"/>
    <w:rsid w:val="008745A2"/>
    <w:rsid w:val="008768A8"/>
    <w:rsid w:val="0088798F"/>
    <w:rsid w:val="00887E4B"/>
    <w:rsid w:val="008915C8"/>
    <w:rsid w:val="00892A32"/>
    <w:rsid w:val="008A36CF"/>
    <w:rsid w:val="008A3BC4"/>
    <w:rsid w:val="008A4502"/>
    <w:rsid w:val="008B403C"/>
    <w:rsid w:val="008B7983"/>
    <w:rsid w:val="008C2511"/>
    <w:rsid w:val="008D026D"/>
    <w:rsid w:val="008D23AB"/>
    <w:rsid w:val="008D4B8B"/>
    <w:rsid w:val="008D5A78"/>
    <w:rsid w:val="008E7B64"/>
    <w:rsid w:val="008F333A"/>
    <w:rsid w:val="008F5167"/>
    <w:rsid w:val="008F5DCD"/>
    <w:rsid w:val="008F78DF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1BDA"/>
    <w:rsid w:val="00945618"/>
    <w:rsid w:val="00946044"/>
    <w:rsid w:val="0094660B"/>
    <w:rsid w:val="00946A33"/>
    <w:rsid w:val="00950EA0"/>
    <w:rsid w:val="0095260E"/>
    <w:rsid w:val="009578DD"/>
    <w:rsid w:val="00961124"/>
    <w:rsid w:val="009621B6"/>
    <w:rsid w:val="009667C3"/>
    <w:rsid w:val="009700F6"/>
    <w:rsid w:val="00974F2D"/>
    <w:rsid w:val="00977524"/>
    <w:rsid w:val="00977E88"/>
    <w:rsid w:val="0098152B"/>
    <w:rsid w:val="00982FE3"/>
    <w:rsid w:val="00984920"/>
    <w:rsid w:val="0099303A"/>
    <w:rsid w:val="009971C2"/>
    <w:rsid w:val="009A1254"/>
    <w:rsid w:val="009A2239"/>
    <w:rsid w:val="009B2FF2"/>
    <w:rsid w:val="009B380C"/>
    <w:rsid w:val="009B4843"/>
    <w:rsid w:val="009B6543"/>
    <w:rsid w:val="009B7CDE"/>
    <w:rsid w:val="009C199D"/>
    <w:rsid w:val="009C278F"/>
    <w:rsid w:val="009C2B94"/>
    <w:rsid w:val="009C5874"/>
    <w:rsid w:val="009D3B5A"/>
    <w:rsid w:val="009D6577"/>
    <w:rsid w:val="009E0C05"/>
    <w:rsid w:val="009E0D1C"/>
    <w:rsid w:val="009E2214"/>
    <w:rsid w:val="009E355A"/>
    <w:rsid w:val="009E63E2"/>
    <w:rsid w:val="009F04D2"/>
    <w:rsid w:val="009F05CF"/>
    <w:rsid w:val="009F0F3A"/>
    <w:rsid w:val="009F2C65"/>
    <w:rsid w:val="00A01D0C"/>
    <w:rsid w:val="00A054E3"/>
    <w:rsid w:val="00A0643F"/>
    <w:rsid w:val="00A067EE"/>
    <w:rsid w:val="00A069AC"/>
    <w:rsid w:val="00A10FCE"/>
    <w:rsid w:val="00A16D91"/>
    <w:rsid w:val="00A174CC"/>
    <w:rsid w:val="00A2073D"/>
    <w:rsid w:val="00A20751"/>
    <w:rsid w:val="00A27E2D"/>
    <w:rsid w:val="00A31D99"/>
    <w:rsid w:val="00A32334"/>
    <w:rsid w:val="00A357BA"/>
    <w:rsid w:val="00A35ADC"/>
    <w:rsid w:val="00A402A3"/>
    <w:rsid w:val="00A47FA5"/>
    <w:rsid w:val="00A53681"/>
    <w:rsid w:val="00A568C4"/>
    <w:rsid w:val="00A633D4"/>
    <w:rsid w:val="00A6461A"/>
    <w:rsid w:val="00A677A2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D1140"/>
    <w:rsid w:val="00AD7FAC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62D8"/>
    <w:rsid w:val="00B479A9"/>
    <w:rsid w:val="00B52EDF"/>
    <w:rsid w:val="00B71188"/>
    <w:rsid w:val="00B76A41"/>
    <w:rsid w:val="00B77155"/>
    <w:rsid w:val="00B87D4C"/>
    <w:rsid w:val="00B93646"/>
    <w:rsid w:val="00BA0B38"/>
    <w:rsid w:val="00BA1DBB"/>
    <w:rsid w:val="00BA2FD3"/>
    <w:rsid w:val="00BA4510"/>
    <w:rsid w:val="00BA529A"/>
    <w:rsid w:val="00BB612A"/>
    <w:rsid w:val="00BC7521"/>
    <w:rsid w:val="00BC7FB0"/>
    <w:rsid w:val="00BD18DF"/>
    <w:rsid w:val="00BD499F"/>
    <w:rsid w:val="00BD56DE"/>
    <w:rsid w:val="00BD70DA"/>
    <w:rsid w:val="00BF2406"/>
    <w:rsid w:val="00C06E43"/>
    <w:rsid w:val="00C16315"/>
    <w:rsid w:val="00C3091E"/>
    <w:rsid w:val="00C34CF2"/>
    <w:rsid w:val="00C40FD1"/>
    <w:rsid w:val="00C40FF1"/>
    <w:rsid w:val="00C419E2"/>
    <w:rsid w:val="00C5020E"/>
    <w:rsid w:val="00C57452"/>
    <w:rsid w:val="00C61EDF"/>
    <w:rsid w:val="00C6239D"/>
    <w:rsid w:val="00C6594B"/>
    <w:rsid w:val="00C67977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2DC7"/>
    <w:rsid w:val="00D140FC"/>
    <w:rsid w:val="00D21D8C"/>
    <w:rsid w:val="00D266B5"/>
    <w:rsid w:val="00D31357"/>
    <w:rsid w:val="00D33220"/>
    <w:rsid w:val="00D334D1"/>
    <w:rsid w:val="00D42FB2"/>
    <w:rsid w:val="00D44C89"/>
    <w:rsid w:val="00D5106B"/>
    <w:rsid w:val="00D516CD"/>
    <w:rsid w:val="00D668E6"/>
    <w:rsid w:val="00D6752A"/>
    <w:rsid w:val="00D70670"/>
    <w:rsid w:val="00D74D80"/>
    <w:rsid w:val="00D76624"/>
    <w:rsid w:val="00D87570"/>
    <w:rsid w:val="00D91CB9"/>
    <w:rsid w:val="00D97989"/>
    <w:rsid w:val="00D97D8D"/>
    <w:rsid w:val="00DA352E"/>
    <w:rsid w:val="00DC67CF"/>
    <w:rsid w:val="00DC7694"/>
    <w:rsid w:val="00DD1BF6"/>
    <w:rsid w:val="00DD2F9B"/>
    <w:rsid w:val="00DD5E11"/>
    <w:rsid w:val="00DE2513"/>
    <w:rsid w:val="00DE26E8"/>
    <w:rsid w:val="00DF6F36"/>
    <w:rsid w:val="00E0084C"/>
    <w:rsid w:val="00E00E91"/>
    <w:rsid w:val="00E025AB"/>
    <w:rsid w:val="00E02B23"/>
    <w:rsid w:val="00E06F40"/>
    <w:rsid w:val="00E07CE8"/>
    <w:rsid w:val="00E23E7C"/>
    <w:rsid w:val="00E26630"/>
    <w:rsid w:val="00E26A07"/>
    <w:rsid w:val="00E3194D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1740C"/>
    <w:rsid w:val="00F20E68"/>
    <w:rsid w:val="00F22093"/>
    <w:rsid w:val="00F236DF"/>
    <w:rsid w:val="00F43AD5"/>
    <w:rsid w:val="00F4402E"/>
    <w:rsid w:val="00F5526E"/>
    <w:rsid w:val="00F56DD0"/>
    <w:rsid w:val="00F6491C"/>
    <w:rsid w:val="00F67BBB"/>
    <w:rsid w:val="00F7001E"/>
    <w:rsid w:val="00F87D92"/>
    <w:rsid w:val="00F90AA7"/>
    <w:rsid w:val="00F92498"/>
    <w:rsid w:val="00F9496B"/>
    <w:rsid w:val="00F970C9"/>
    <w:rsid w:val="00F97831"/>
    <w:rsid w:val="00FA06A8"/>
    <w:rsid w:val="00FA3DF5"/>
    <w:rsid w:val="00FA741F"/>
    <w:rsid w:val="00FB4E07"/>
    <w:rsid w:val="00FB755A"/>
    <w:rsid w:val="00FC60A2"/>
    <w:rsid w:val="00FD0CCC"/>
    <w:rsid w:val="00FD1871"/>
    <w:rsid w:val="00FD3110"/>
    <w:rsid w:val="00FD553E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F3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38C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38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38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38CA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A054E3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46077D63F414C85994AD30B9D8CD1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D7BD0-ED8C-4C4E-A34C-89FDC6F087B6}"/>
      </w:docPartPr>
      <w:docPartBody>
        <w:p w:rsidR="00596060" w:rsidRDefault="004E321D" w:rsidP="004E321D">
          <w:pPr>
            <w:pStyle w:val="346077D63F414C85994AD30B9D8CD138"/>
          </w:pPr>
          <w:r>
            <w:rPr>
              <w:color w:val="00B050"/>
            </w:rPr>
            <w:t>tier </w:t>
          </w:r>
          <w:r w:rsidRPr="0071660C">
            <w:rPr>
              <w:color w:val="00B050"/>
            </w:rPr>
            <w:t>II</w:t>
          </w:r>
        </w:p>
      </w:docPartBody>
    </w:docPart>
    <w:docPart>
      <w:docPartPr>
        <w:name w:val="891105A7E1404AD6BC30B41DA26F78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33022-8322-4BE3-B262-CC3FD4103CE9}"/>
      </w:docPartPr>
      <w:docPartBody>
        <w:p w:rsidR="00527713" w:rsidRDefault="004C2D18" w:rsidP="004C2D18">
          <w:pPr>
            <w:pStyle w:val="891105A7E1404AD6BC30B41DA26F784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E2F1DD20ECFB49C3A8BD111685A18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05AFBF-AD99-4E8E-AC20-8BF62704A378}"/>
      </w:docPartPr>
      <w:docPartBody>
        <w:p w:rsidR="008D3907" w:rsidRDefault="00E9793A" w:rsidP="00E9793A">
          <w:pPr>
            <w:pStyle w:val="E2F1DD20ECFB49C3A8BD111685A1891C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D04A3"/>
    <w:rsid w:val="00143283"/>
    <w:rsid w:val="003B4721"/>
    <w:rsid w:val="004C2D18"/>
    <w:rsid w:val="004E321D"/>
    <w:rsid w:val="00527713"/>
    <w:rsid w:val="00596060"/>
    <w:rsid w:val="006714AA"/>
    <w:rsid w:val="006F2996"/>
    <w:rsid w:val="007C3D26"/>
    <w:rsid w:val="00834E01"/>
    <w:rsid w:val="008D3907"/>
    <w:rsid w:val="00936430"/>
    <w:rsid w:val="009A5A0E"/>
    <w:rsid w:val="00B53A8D"/>
    <w:rsid w:val="00D21A9F"/>
    <w:rsid w:val="00E9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9793A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46077D63F414C85994AD30B9D8CD138">
    <w:name w:val="346077D63F414C85994AD30B9D8CD138"/>
    <w:rsid w:val="004E321D"/>
    <w:rPr>
      <w:lang w:val="en-US" w:eastAsia="en-US"/>
    </w:rPr>
  </w:style>
  <w:style w:type="paragraph" w:customStyle="1" w:styleId="891105A7E1404AD6BC30B41DA26F784A">
    <w:name w:val="891105A7E1404AD6BC30B41DA26F784A"/>
    <w:rsid w:val="004C2D18"/>
  </w:style>
  <w:style w:type="paragraph" w:customStyle="1" w:styleId="E2F1DD20ECFB49C3A8BD111685A1891C">
    <w:name w:val="E2F1DD20ECFB49C3A8BD111685A1891C"/>
    <w:rsid w:val="00E979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0A9BD5-8ECE-4B77-B291-0D89171423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5898A2-F91E-4DB0-ADF1-6F9784240DDE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1c567317-0c4d-4a62-8516-c22afd1b5354"/>
    <ds:schemaRef ds:uri="http://schemas.microsoft.com/office/2006/metadata/properties"/>
    <ds:schemaRef ds:uri="http://schemas.openxmlformats.org/package/2006/metadata/core-properties"/>
    <ds:schemaRef ds:uri="a0509f21-ed56-4150-9955-96be669e5f2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EBA9956-A3D1-47EE-8C59-8738EA6D3A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740073-59E6-4B98-94AF-C243DBF320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2019-11-19T04:35:00Z</dcterms:created>
  <dcterms:modified xsi:type="dcterms:W3CDTF">2026-01-09T01:30:00Z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2025-12-22T23:35:47Z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0d7d38a2-98d7-4a4d-8150-a7d60062f901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