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E16403D" w14:textId="77777777" w:rsidR="00BD499F" w:rsidRPr="004C23F4" w:rsidRDefault="00CF5A47" w:rsidP="00B40C60">
          <w:pPr>
            <w:pStyle w:val="Heading1"/>
            <w:jc w:val="center"/>
            <w:rPr>
              <w:rFonts w:ascii="Arial" w:hAnsi="Arial" w:cs="Arial"/>
            </w:rPr>
          </w:pPr>
          <w:r w:rsidRPr="00CF5A47">
            <w:rPr>
              <w:rFonts w:ascii="Arial" w:hAnsi="Arial" w:cs="Arial"/>
            </w:rPr>
            <w:t>Dichlorodifluoromethane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5"/>
        <w:gridCol w:w="5041"/>
      </w:tblGrid>
      <w:tr w:rsidR="00F43AD5" w:rsidRPr="004C23F4" w14:paraId="2F492F54" w14:textId="77777777" w:rsidTr="00E34C11">
        <w:trPr>
          <w:cantSplit/>
          <w:tblHeader/>
        </w:trPr>
        <w:tc>
          <w:tcPr>
            <w:tcW w:w="3985" w:type="dxa"/>
          </w:tcPr>
          <w:p w14:paraId="56AB2246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1" w:type="dxa"/>
          </w:tcPr>
          <w:p w14:paraId="7E4EC785" w14:textId="77777777" w:rsidR="00F43AD5" w:rsidRPr="00717D45" w:rsidRDefault="00CF5A47" w:rsidP="00B76A41">
            <w:pPr>
              <w:pStyle w:val="Tablefont"/>
            </w:pPr>
            <w:r w:rsidRPr="00CF5A47">
              <w:t>75-71-8</w:t>
            </w:r>
          </w:p>
        </w:tc>
      </w:tr>
      <w:tr w:rsidR="00F43AD5" w:rsidRPr="004C23F4" w14:paraId="49E61183" w14:textId="77777777" w:rsidTr="00E34C11">
        <w:trPr>
          <w:cantSplit/>
        </w:trPr>
        <w:tc>
          <w:tcPr>
            <w:tcW w:w="3985" w:type="dxa"/>
          </w:tcPr>
          <w:p w14:paraId="25A986A7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1" w:type="dxa"/>
          </w:tcPr>
          <w:p w14:paraId="739F860A" w14:textId="132F9AAD" w:rsidR="00F43AD5" w:rsidRPr="00717D45" w:rsidRDefault="00305322" w:rsidP="00B76A41">
            <w:pPr>
              <w:pStyle w:val="Tablefont"/>
            </w:pPr>
            <w:r w:rsidRPr="00305322">
              <w:t>Fluorocarbon 12</w:t>
            </w:r>
            <w:r w:rsidR="009359A7">
              <w:t xml:space="preserve">, </w:t>
            </w:r>
            <w:r w:rsidR="00A219C2">
              <w:t>f</w:t>
            </w:r>
            <w:r w:rsidR="00A219C2" w:rsidRPr="00305322">
              <w:t xml:space="preserve">reon </w:t>
            </w:r>
            <w:r w:rsidR="009359A7">
              <w:t>12</w:t>
            </w:r>
            <w:r w:rsidR="00C63AFC">
              <w:t xml:space="preserve">, </w:t>
            </w:r>
            <w:proofErr w:type="spellStart"/>
            <w:r w:rsidR="00A219C2">
              <w:t>genetron</w:t>
            </w:r>
            <w:proofErr w:type="spellEnd"/>
            <w:r w:rsidR="00A219C2">
              <w:t xml:space="preserve"> </w:t>
            </w:r>
            <w:r w:rsidR="00C63AFC">
              <w:t xml:space="preserve">12, </w:t>
            </w:r>
            <w:r w:rsidR="00A219C2">
              <w:t>halon</w:t>
            </w:r>
          </w:p>
        </w:tc>
      </w:tr>
      <w:tr w:rsidR="00F43AD5" w:rsidRPr="004C23F4" w14:paraId="7A754E06" w14:textId="77777777" w:rsidTr="00E34C11">
        <w:trPr>
          <w:cantSplit/>
        </w:trPr>
        <w:tc>
          <w:tcPr>
            <w:tcW w:w="3985" w:type="dxa"/>
          </w:tcPr>
          <w:p w14:paraId="1A3AAD6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1" w:type="dxa"/>
          </w:tcPr>
          <w:p w14:paraId="581A0D19" w14:textId="77777777" w:rsidR="00F43AD5" w:rsidRPr="00717D45" w:rsidRDefault="00C63AFC" w:rsidP="00B76A41">
            <w:pPr>
              <w:pStyle w:val="Tablefont"/>
            </w:pPr>
            <w:r>
              <w:t>CCl</w:t>
            </w:r>
            <w:r w:rsidRPr="00C63AFC">
              <w:rPr>
                <w:vertAlign w:val="subscript"/>
              </w:rPr>
              <w:t>2</w:t>
            </w:r>
            <w:r>
              <w:t>F</w:t>
            </w:r>
            <w:r w:rsidRPr="00C63AFC">
              <w:rPr>
                <w:vertAlign w:val="subscript"/>
              </w:rPr>
              <w:t>2</w:t>
            </w:r>
          </w:p>
        </w:tc>
      </w:tr>
    </w:tbl>
    <w:p w14:paraId="25734481" w14:textId="7777777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EB3405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95D5ECE" w14:textId="77777777" w:rsidTr="00D70DE8">
        <w:trPr>
          <w:cantSplit/>
          <w:tblHeader/>
        </w:trPr>
        <w:tc>
          <w:tcPr>
            <w:tcW w:w="3997" w:type="dxa"/>
            <w:vAlign w:val="center"/>
          </w:tcPr>
          <w:p w14:paraId="5217D1D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76DA2228" w14:textId="77777777" w:rsidR="002C7AFE" w:rsidRPr="00EB3D1B" w:rsidRDefault="00EB3405" w:rsidP="00017C82">
            <w:pPr>
              <w:pStyle w:val="Tablefont"/>
              <w:rPr>
                <w:b/>
              </w:rPr>
            </w:pPr>
            <w:r w:rsidRPr="00EB3405">
              <w:rPr>
                <w:b/>
              </w:rPr>
              <w:t>1,000 ppm (4,950 mg/m</w:t>
            </w:r>
            <w:r w:rsidRPr="00EB3405">
              <w:rPr>
                <w:b/>
                <w:vertAlign w:val="superscript"/>
              </w:rPr>
              <w:t>3</w:t>
            </w:r>
            <w:r w:rsidRPr="00EB3405">
              <w:rPr>
                <w:b/>
              </w:rPr>
              <w:t>)</w:t>
            </w:r>
          </w:p>
        </w:tc>
      </w:tr>
      <w:tr w:rsidR="002C7AFE" w:rsidRPr="004C23F4" w14:paraId="106C37D9" w14:textId="77777777" w:rsidTr="00D70DE8">
        <w:trPr>
          <w:cantSplit/>
        </w:trPr>
        <w:tc>
          <w:tcPr>
            <w:tcW w:w="3997" w:type="dxa"/>
            <w:vAlign w:val="center"/>
          </w:tcPr>
          <w:p w14:paraId="7E0ACB7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7F2D85A0" w14:textId="77777777" w:rsidR="002C7AFE" w:rsidRPr="00EB3D1B" w:rsidRDefault="0039011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E254969" w14:textId="77777777" w:rsidTr="00D70DE8">
        <w:trPr>
          <w:cantSplit/>
        </w:trPr>
        <w:tc>
          <w:tcPr>
            <w:tcW w:w="3997" w:type="dxa"/>
            <w:vAlign w:val="center"/>
          </w:tcPr>
          <w:p w14:paraId="22A748E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06A40A21" w14:textId="77777777" w:rsidR="002C7AFE" w:rsidRPr="00EB3D1B" w:rsidRDefault="0039011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D91BE33" w14:textId="77777777" w:rsidTr="00D70DE8">
        <w:trPr>
          <w:cantSplit/>
        </w:trPr>
        <w:tc>
          <w:tcPr>
            <w:tcW w:w="3997" w:type="dxa"/>
          </w:tcPr>
          <w:p w14:paraId="577E2E8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1ECC4578" w14:textId="77777777" w:rsidR="002C7AFE" w:rsidRPr="00EB3D1B" w:rsidRDefault="0039011E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C7636E3" w14:textId="77777777" w:rsidTr="00D70DE8">
        <w:trPr>
          <w:cantSplit/>
        </w:trPr>
        <w:tc>
          <w:tcPr>
            <w:tcW w:w="3997" w:type="dxa"/>
            <w:vAlign w:val="center"/>
          </w:tcPr>
          <w:p w14:paraId="7B3A6771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0A9F4DBE" w14:textId="77777777" w:rsidR="002C7AFE" w:rsidRPr="00EB3D1B" w:rsidRDefault="00654C9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</w:t>
            </w:r>
            <w:r w:rsidR="00A219C2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D70DE8" w:rsidRPr="004C23F4" w14:paraId="1770A638" w14:textId="77777777" w:rsidTr="004B1B6E">
        <w:trPr>
          <w:cantSplit/>
        </w:trPr>
        <w:tc>
          <w:tcPr>
            <w:tcW w:w="9026" w:type="dxa"/>
            <w:gridSpan w:val="2"/>
          </w:tcPr>
          <w:p w14:paraId="52977502" w14:textId="03CEAAD9" w:rsidR="00D70DE8" w:rsidRPr="009359A7" w:rsidRDefault="009359A7" w:rsidP="00017C82">
            <w:pPr>
              <w:pStyle w:val="Tablefont"/>
            </w:pPr>
            <w:r>
              <w:rPr>
                <w:b/>
              </w:rPr>
              <w:t>Sampling and analysis:</w:t>
            </w:r>
            <w:r>
              <w:rPr>
                <w:rStyle w:val="WESstatus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07314D6E68824C789D4958BA9E41EE13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9359A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7A579A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239B8B2" w14:textId="16C30586" w:rsidR="00EB3405" w:rsidRPr="00EB3405" w:rsidRDefault="00EB3405" w:rsidP="00EB3405">
      <w:pPr>
        <w:rPr>
          <w:rFonts w:eastAsia="Calibri" w:cs="Times New Roman"/>
          <w:color w:val="000000" w:themeColor="text1"/>
        </w:rPr>
      </w:pPr>
      <w:r w:rsidRPr="00EB3405">
        <w:rPr>
          <w:rFonts w:eastAsia="Calibri" w:cs="Times New Roman"/>
          <w:color w:val="000000" w:themeColor="text1"/>
        </w:rPr>
        <w:t>A TWA of 1,000 ppm (4,950 mg/m</w:t>
      </w:r>
      <w:r w:rsidRPr="00EB3405">
        <w:rPr>
          <w:rFonts w:eastAsia="Calibri" w:cs="Times New Roman"/>
          <w:color w:val="000000" w:themeColor="text1"/>
          <w:vertAlign w:val="superscript"/>
        </w:rPr>
        <w:t>3</w:t>
      </w:r>
      <w:r w:rsidRPr="00EB3405">
        <w:rPr>
          <w:rFonts w:eastAsia="Calibri" w:cs="Times New Roman"/>
          <w:color w:val="000000" w:themeColor="text1"/>
        </w:rPr>
        <w:t xml:space="preserve">) is </w:t>
      </w:r>
      <w:r w:rsidR="00721DCE">
        <w:rPr>
          <w:rFonts w:eastAsia="Calibri" w:cs="Times New Roman"/>
          <w:color w:val="000000" w:themeColor="text1"/>
        </w:rPr>
        <w:t>recommended</w:t>
      </w:r>
      <w:r w:rsidRPr="00EB3405">
        <w:rPr>
          <w:rFonts w:eastAsia="Calibri" w:cs="Times New Roman"/>
          <w:color w:val="000000" w:themeColor="text1"/>
        </w:rPr>
        <w:t xml:space="preserve"> to protect for </w:t>
      </w:r>
      <w:r w:rsidRPr="00EB3405">
        <w:rPr>
          <w:color w:val="000000" w:themeColor="text1"/>
        </w:rPr>
        <w:t>cardiac sensitisation and arrhythmia</w:t>
      </w:r>
      <w:r w:rsidRPr="00EB3405">
        <w:rPr>
          <w:rFonts w:eastAsia="Calibri" w:cs="Times New Roman"/>
          <w:color w:val="000000" w:themeColor="text1"/>
        </w:rPr>
        <w:t xml:space="preserve"> in exposed workers. </w:t>
      </w:r>
    </w:p>
    <w:p w14:paraId="7B6F25C7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841E2A6" w14:textId="77777777" w:rsidR="00E34C11" w:rsidRDefault="00EB3405" w:rsidP="009359A7">
      <w:r w:rsidRPr="00EB3405">
        <w:t>Dichlorodifluoromethane</w:t>
      </w:r>
      <w:r>
        <w:t xml:space="preserve"> </w:t>
      </w:r>
      <w:r w:rsidR="00580AEE">
        <w:t>is an ozone-depleting CFC that was previously used</w:t>
      </w:r>
      <w:r w:rsidRPr="008F50A2">
        <w:t xml:space="preserve"> as an </w:t>
      </w:r>
      <w:r>
        <w:t>aerosol propellant, refrigerant and polymeric foam blowing agent.</w:t>
      </w:r>
      <w:r w:rsidR="00BB08C9">
        <w:t xml:space="preserve"> </w:t>
      </w:r>
    </w:p>
    <w:p w14:paraId="6A12F4ED" w14:textId="4952D369" w:rsidR="00EB3405" w:rsidRPr="00CB13C1" w:rsidRDefault="00BB08C9">
      <w:r>
        <w:t>Critical effects are cardiac sensitisation and arrhythmia</w:t>
      </w:r>
      <w:r w:rsidR="00580AEE">
        <w:t xml:space="preserve"> (ACGIH, 201</w:t>
      </w:r>
      <w:r w:rsidR="00580AEE" w:rsidRPr="00F37E07">
        <w:t>8)</w:t>
      </w:r>
      <w:r>
        <w:t>.</w:t>
      </w:r>
      <w:r w:rsidR="00E34C11">
        <w:t xml:space="preserve"> </w:t>
      </w:r>
      <w:r>
        <w:t>N</w:t>
      </w:r>
      <w:r w:rsidRPr="00CB13C1">
        <w:t xml:space="preserve">o adverse effects </w:t>
      </w:r>
      <w:r w:rsidR="00E34C11">
        <w:t>a</w:t>
      </w:r>
      <w:r w:rsidR="00580AEE">
        <w:t xml:space="preserve">re </w:t>
      </w:r>
      <w:r w:rsidRPr="00CB13C1">
        <w:t>observed</w:t>
      </w:r>
      <w:r>
        <w:t xml:space="preserve"> in</w:t>
      </w:r>
      <w:r w:rsidR="00EB3405" w:rsidRPr="00CB13C1">
        <w:t xml:space="preserve"> study of </w:t>
      </w:r>
      <w:r w:rsidR="00A51B35">
        <w:t>eight</w:t>
      </w:r>
      <w:r w:rsidR="00EB3405">
        <w:t xml:space="preserve"> male</w:t>
      </w:r>
      <w:r w:rsidR="00EB3405" w:rsidRPr="00CB13C1">
        <w:t xml:space="preserve"> workers </w:t>
      </w:r>
      <w:r w:rsidR="00EB3405" w:rsidRPr="00EB3405">
        <w:t>expose</w:t>
      </w:r>
      <w:r>
        <w:t>d</w:t>
      </w:r>
      <w:r w:rsidR="00EB3405" w:rsidRPr="00EB3405">
        <w:t xml:space="preserve"> </w:t>
      </w:r>
      <w:r w:rsidR="00580AEE">
        <w:t>at</w:t>
      </w:r>
      <w:r w:rsidRPr="00EB3405">
        <w:t xml:space="preserve"> </w:t>
      </w:r>
      <w:r w:rsidR="00EB3405" w:rsidRPr="00EB3405">
        <w:t>1,000 ppm</w:t>
      </w:r>
      <w:r w:rsidR="00EB3405">
        <w:t xml:space="preserve"> </w:t>
      </w:r>
      <w:r>
        <w:t xml:space="preserve">for </w:t>
      </w:r>
      <w:r w:rsidR="00A51B35">
        <w:t>eight</w:t>
      </w:r>
      <w:r w:rsidR="00EB3405">
        <w:t xml:space="preserve"> hours per day for </w:t>
      </w:r>
      <w:r w:rsidR="00A51B35">
        <w:t>three</w:t>
      </w:r>
      <w:r w:rsidR="00EB3405">
        <w:t xml:space="preserve"> weeks</w:t>
      </w:r>
      <w:r>
        <w:t>.</w:t>
      </w:r>
      <w:r w:rsidR="00EB3405" w:rsidRPr="00CB13C1">
        <w:t xml:space="preserve"> </w:t>
      </w:r>
      <w:r>
        <w:t xml:space="preserve">A </w:t>
      </w:r>
      <w:r w:rsidR="00A46B54">
        <w:t xml:space="preserve">NOAEC </w:t>
      </w:r>
      <w:r>
        <w:t>of 1,500 ppm and a LOAE</w:t>
      </w:r>
      <w:r w:rsidR="00A46B54">
        <w:t>C</w:t>
      </w:r>
      <w:r w:rsidR="00E34C11">
        <w:t xml:space="preserve"> of 2,500 ppm a</w:t>
      </w:r>
      <w:r>
        <w:t xml:space="preserve">re reported in a </w:t>
      </w:r>
      <w:proofErr w:type="gramStart"/>
      <w:r w:rsidR="00681DB8">
        <w:t>12</w:t>
      </w:r>
      <w:r w:rsidR="00E34C11">
        <w:t xml:space="preserve"> </w:t>
      </w:r>
      <w:r w:rsidR="00681DB8">
        <w:t>week</w:t>
      </w:r>
      <w:proofErr w:type="gramEnd"/>
      <w:r w:rsidR="00EB3405">
        <w:t xml:space="preserve"> inhalation study involving volunteer human exposure (DFG</w:t>
      </w:r>
      <w:r w:rsidR="008D4B7F">
        <w:t>,</w:t>
      </w:r>
      <w:r w:rsidR="00EB3405">
        <w:t xml:space="preserve"> 2002)</w:t>
      </w:r>
      <w:r w:rsidR="00EB3405" w:rsidRPr="00CB13C1">
        <w:t>.</w:t>
      </w:r>
    </w:p>
    <w:p w14:paraId="744B2AFF" w14:textId="2717A612" w:rsidR="00EB3405" w:rsidRDefault="00EB3405">
      <w:r>
        <w:t xml:space="preserve">Based on the </w:t>
      </w:r>
      <w:r w:rsidR="00BB08C9">
        <w:t>weight of evidence, the current</w:t>
      </w:r>
      <w:r>
        <w:t xml:space="preserve"> TWA </w:t>
      </w:r>
      <w:r w:rsidR="00A46B54" w:rsidRPr="00EB3405">
        <w:rPr>
          <w:rFonts w:eastAsia="Calibri" w:cs="Times New Roman"/>
          <w:color w:val="000000" w:themeColor="text1"/>
        </w:rPr>
        <w:t>of 1,000 ppm (4,950 mg/m</w:t>
      </w:r>
      <w:r w:rsidR="00A46B54" w:rsidRPr="00EB3405">
        <w:rPr>
          <w:rFonts w:eastAsia="Calibri" w:cs="Times New Roman"/>
          <w:color w:val="000000" w:themeColor="text1"/>
          <w:vertAlign w:val="superscript"/>
        </w:rPr>
        <w:t>3</w:t>
      </w:r>
      <w:r w:rsidR="00A46B54" w:rsidRPr="00EB3405">
        <w:rPr>
          <w:rFonts w:eastAsia="Calibri" w:cs="Times New Roman"/>
          <w:color w:val="000000" w:themeColor="text1"/>
        </w:rPr>
        <w:t xml:space="preserve">) </w:t>
      </w:r>
      <w:r>
        <w:t xml:space="preserve">is </w:t>
      </w:r>
      <w:r w:rsidR="00BB08C9">
        <w:t xml:space="preserve">recommended to be retained and is </w:t>
      </w:r>
      <w:r>
        <w:t xml:space="preserve">considered sufficiently low to minimise </w:t>
      </w:r>
      <w:r w:rsidRPr="00C91D05">
        <w:t xml:space="preserve">the potential for </w:t>
      </w:r>
      <w:r w:rsidR="00681DB8">
        <w:t>cardiac sensitisation and arrhythmia in exposed workers</w:t>
      </w:r>
      <w:r>
        <w:t>.</w:t>
      </w:r>
    </w:p>
    <w:p w14:paraId="02BD5EFE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5F1EE8C" w14:textId="77777777" w:rsidR="005E6979" w:rsidRDefault="00681DB8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1D593426" w14:textId="1DC2F1E3" w:rsidR="00681DB8" w:rsidRDefault="00681DB8">
      <w:pPr>
        <w:rPr>
          <w:rFonts w:cs="Arial"/>
        </w:rPr>
      </w:pPr>
      <w:r>
        <w:rPr>
          <w:rFonts w:cs="Arial"/>
        </w:rPr>
        <w:t>Not c</w:t>
      </w:r>
      <w:r w:rsidRPr="00011ADB">
        <w:rPr>
          <w:rFonts w:cs="Arial"/>
        </w:rPr>
        <w:t>lassified as</w:t>
      </w:r>
      <w:r>
        <w:rPr>
          <w:rFonts w:cs="Arial"/>
        </w:rPr>
        <w:t xml:space="preserve"> a </w:t>
      </w:r>
      <w:r w:rsidRPr="00681DB8">
        <w:rPr>
          <w:rFonts w:cs="Arial"/>
        </w:rPr>
        <w:t>skin</w:t>
      </w:r>
      <w:r w:rsidR="008C7247">
        <w:rPr>
          <w:rFonts w:cs="Arial"/>
        </w:rPr>
        <w:t xml:space="preserve"> sensitiser</w:t>
      </w:r>
      <w:r w:rsidRPr="00681DB8">
        <w:rPr>
          <w:rFonts w:cs="Arial"/>
        </w:rPr>
        <w:t xml:space="preserve"> or respiratory</w:t>
      </w:r>
      <w:r w:rsidRPr="00011ADB">
        <w:rPr>
          <w:rFonts w:cs="Arial"/>
        </w:rPr>
        <w:t xml:space="preserve"> sensitiser according to </w:t>
      </w:r>
      <w:r>
        <w:rPr>
          <w:rFonts w:cs="Arial"/>
        </w:rPr>
        <w:t>the GHS.</w:t>
      </w:r>
    </w:p>
    <w:p w14:paraId="023264A2" w14:textId="056CB0EB" w:rsidR="00681DB8" w:rsidRPr="004C23F4" w:rsidRDefault="00721DCE" w:rsidP="00681DB8">
      <w:pPr>
        <w:rPr>
          <w:rFonts w:cs="Arial"/>
        </w:rPr>
      </w:pPr>
      <w:r>
        <w:rPr>
          <w:rFonts w:cs="Arial"/>
        </w:rPr>
        <w:t>There are i</w:t>
      </w:r>
      <w:r w:rsidR="00681DB8" w:rsidRPr="00820121">
        <w:rPr>
          <w:rFonts w:cs="Arial"/>
        </w:rPr>
        <w:t xml:space="preserve">nsufficient </w:t>
      </w:r>
      <w:r w:rsidR="008C7247">
        <w:rPr>
          <w:rFonts w:cs="Arial"/>
        </w:rPr>
        <w:t>data</w:t>
      </w:r>
      <w:r w:rsidR="008C7247" w:rsidRPr="00820121">
        <w:rPr>
          <w:rFonts w:cs="Arial"/>
        </w:rPr>
        <w:t xml:space="preserve"> </w:t>
      </w:r>
      <w:r w:rsidR="00681DB8" w:rsidRPr="00820121">
        <w:rPr>
          <w:rFonts w:cs="Arial"/>
        </w:rPr>
        <w:t>to recommend a skin notation.</w:t>
      </w:r>
    </w:p>
    <w:p w14:paraId="624B519F" w14:textId="77777777" w:rsidR="00681DB8" w:rsidRPr="004C23F4" w:rsidRDefault="00681DB8">
      <w:pPr>
        <w:rPr>
          <w:rFonts w:cs="Arial"/>
        </w:rPr>
        <w:sectPr w:rsidR="00681DB8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E87387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48F5B05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62E90DF2" w14:textId="77777777" w:rsidTr="009359A7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AA3A476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0E93B87" w14:textId="77777777" w:rsidTr="009359A7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1C8D6E8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F5A4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CF5A47">
                  <w:t>TWA: 1,000 ppm (4,950 mg/m</w:t>
                </w:r>
                <w:r w:rsidR="00CF5A47" w:rsidRPr="00CF5A47">
                  <w:rPr>
                    <w:vertAlign w:val="superscript"/>
                  </w:rPr>
                  <w:t>3</w:t>
                </w:r>
                <w:r w:rsidR="00CF5A47">
                  <w:t>)</w:t>
                </w:r>
              </w:sdtContent>
            </w:sdt>
          </w:p>
        </w:tc>
      </w:tr>
      <w:tr w:rsidR="00C978F0" w:rsidRPr="00DA352E" w14:paraId="7A8BD5C6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7E9D7B30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B00C750" w14:textId="77777777" w:rsidTr="009359A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94F826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CF5A47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CF5A47">
                  <w:t xml:space="preserve">TLV-TWA: </w:t>
                </w:r>
                <w:r w:rsidR="00CF5A47" w:rsidRPr="00CF5A47">
                  <w:t>1,000 ppm (4,950 mg/m</w:t>
                </w:r>
                <w:r w:rsidR="00CF5A47" w:rsidRPr="00CF5A47">
                  <w:rPr>
                    <w:vertAlign w:val="superscript"/>
                  </w:rPr>
                  <w:t>3</w:t>
                </w:r>
                <w:r w:rsidR="00CF5A47" w:rsidRPr="00CF5A47">
                  <w:t>)</w:t>
                </w:r>
              </w:sdtContent>
            </w:sdt>
          </w:p>
        </w:tc>
      </w:tr>
      <w:tr w:rsidR="00C978F0" w:rsidRPr="00DA352E" w14:paraId="1C814F42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57EB050E" w14:textId="77777777" w:rsidR="00CF5A47" w:rsidRDefault="00CF5A47" w:rsidP="00CF5A47">
            <w:pPr>
              <w:pStyle w:val="Tabletextprimarysource"/>
            </w:pPr>
            <w:r>
              <w:t>TLV-TWA recommended to minimise</w:t>
            </w:r>
            <w:r w:rsidR="00955AA1">
              <w:t xml:space="preserve"> </w:t>
            </w:r>
            <w:r>
              <w:t xml:space="preserve">the risk of </w:t>
            </w:r>
            <w:r w:rsidR="00955AA1">
              <w:t>cardiac sensitisation and arrhythmia</w:t>
            </w:r>
            <w:r>
              <w:t xml:space="preserve"> in exposed workers.</w:t>
            </w:r>
          </w:p>
          <w:p w14:paraId="6E2DBE61" w14:textId="77777777" w:rsidR="00CF5A47" w:rsidRDefault="00CF5A47" w:rsidP="00CF5A47">
            <w:pPr>
              <w:pStyle w:val="Tabletextprimarysource"/>
            </w:pPr>
            <w:r>
              <w:t>Summary of data:</w:t>
            </w:r>
          </w:p>
          <w:p w14:paraId="0FE1BF0D" w14:textId="77777777" w:rsidR="00CF5A47" w:rsidRDefault="00CF5A47" w:rsidP="003551B6">
            <w:pPr>
              <w:pStyle w:val="Tabletextprimarysource"/>
            </w:pPr>
            <w:r>
              <w:t>Human data:</w:t>
            </w:r>
          </w:p>
          <w:p w14:paraId="3F2A3CC0" w14:textId="40EEA6BF" w:rsidR="00721DCE" w:rsidRDefault="00955AA1" w:rsidP="003551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</w:t>
            </w:r>
            <w:r w:rsidR="00E34C11">
              <w:t>at</w:t>
            </w:r>
            <w:r>
              <w:t xml:space="preserve"> 10,000 ppm (2.5</w:t>
            </w:r>
            <w:r w:rsidR="00A51B35">
              <w:t xml:space="preserve"> </w:t>
            </w:r>
            <w:r>
              <w:t>h, single exposure) showed a 7% reduction in psychomotor test score, no other adverse effects</w:t>
            </w:r>
            <w:r w:rsidR="00721DCE">
              <w:t>.</w:t>
            </w:r>
          </w:p>
          <w:p w14:paraId="5269763A" w14:textId="77777777" w:rsidR="00CF5A47" w:rsidRDefault="00CF5A47" w:rsidP="003551B6">
            <w:pPr>
              <w:pStyle w:val="Tabletextprimarysource"/>
            </w:pPr>
            <w:r>
              <w:t>Animal data:</w:t>
            </w:r>
          </w:p>
          <w:p w14:paraId="447304DF" w14:textId="77777777" w:rsidR="00E34C11" w:rsidRDefault="00E34C11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at</w:t>
            </w:r>
            <w:r w:rsidR="00F2250C">
              <w:t xml:space="preserve"> 600,000 ppm (2 h, inhalation) lead to fatalities in rats </w:t>
            </w:r>
            <w:r>
              <w:t>but not in guinea pigs</w:t>
            </w:r>
          </w:p>
          <w:p w14:paraId="32E97F2A" w14:textId="5A994182" w:rsidR="00F2250C" w:rsidRDefault="00F2250C" w:rsidP="00E34C11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in another study rats, guinea pigs and cats survived several hours of exposure to 300,000</w:t>
            </w:r>
            <w:r w:rsidR="00843A32">
              <w:t>–</w:t>
            </w:r>
            <w:r>
              <w:t>800,000 ppm</w:t>
            </w:r>
          </w:p>
          <w:p w14:paraId="42C03DE8" w14:textId="3C09A7B4" w:rsidR="00F2250C" w:rsidRDefault="00F2250C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5/12 dogs exposed to 50,000 ppm (5 min, inhalation) in conjunction with </w:t>
            </w:r>
            <w:r w:rsidR="00E34C11">
              <w:t>IV</w:t>
            </w:r>
            <w:r>
              <w:t xml:space="preserve"> epinephrine resulted in cardiac arrhythmia</w:t>
            </w:r>
          </w:p>
          <w:p w14:paraId="6413CA57" w14:textId="2309EAC3" w:rsidR="00F2250C" w:rsidRDefault="00F2250C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Dogs, monkeys, rats, ra</w:t>
            </w:r>
            <w:r w:rsidR="00E34C11">
              <w:t>bbits and guinea pigs exposed at</w:t>
            </w:r>
            <w:r>
              <w:t xml:space="preserve"> 810 ppm (24 h/d, 90 d, inhalation) lead to no fatalities, microscopic liver injury was reported in guinea pigs, no other symptoms reported</w:t>
            </w:r>
          </w:p>
          <w:p w14:paraId="66465C5F" w14:textId="5EBC8FBB" w:rsidR="00F2250C" w:rsidRDefault="00F2250C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Dogs, mo</w:t>
            </w:r>
            <w:r w:rsidR="00E34C11">
              <w:t>nkeys and guinea pigs exposed at</w:t>
            </w:r>
            <w:r>
              <w:t xml:space="preserve"> 200,000 ppm (40 h/</w:t>
            </w:r>
            <w:proofErr w:type="spellStart"/>
            <w:r>
              <w:t>wk</w:t>
            </w:r>
            <w:proofErr w:type="spellEnd"/>
            <w:r>
              <w:t>, 10</w:t>
            </w:r>
            <w:r w:rsidR="00A51B35">
              <w:t>–</w:t>
            </w:r>
            <w:r>
              <w:t xml:space="preserve">12 </w:t>
            </w:r>
            <w:proofErr w:type="spellStart"/>
            <w:r>
              <w:t>wk</w:t>
            </w:r>
            <w:proofErr w:type="spellEnd"/>
            <w:r>
              <w:t>, inhalation) exhibited signs of milt narcosis and mild blood changes</w:t>
            </w:r>
          </w:p>
          <w:p w14:paraId="34529083" w14:textId="0BED8B43" w:rsidR="00F2250C" w:rsidRDefault="00F2250C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Dogs, cats,</w:t>
            </w:r>
            <w:r w:rsidR="00E34C11">
              <w:t xml:space="preserve"> rats and guinea pigs exposed at</w:t>
            </w:r>
            <w:r>
              <w:t xml:space="preserve"> 100,000 ppm (3.5 h/d, 4 </w:t>
            </w:r>
            <w:proofErr w:type="spellStart"/>
            <w:r>
              <w:t>wk</w:t>
            </w:r>
            <w:proofErr w:type="spellEnd"/>
            <w:r>
              <w:t xml:space="preserve">, inhalation) </w:t>
            </w:r>
            <w:r w:rsidR="00753E24">
              <w:t>produce no pathological changes</w:t>
            </w:r>
          </w:p>
          <w:p w14:paraId="5E7ECFEC" w14:textId="77777777" w:rsidR="00F2250C" w:rsidRDefault="00753E24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adverse effects in various reproductive and developmental tests</w:t>
            </w:r>
          </w:p>
          <w:p w14:paraId="41FB84E0" w14:textId="77777777" w:rsidR="00753E24" w:rsidRDefault="00753E24" w:rsidP="009359A7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Negative results in mutagenicity assays</w:t>
            </w:r>
            <w:r w:rsidR="00A51B35">
              <w:t>.</w:t>
            </w:r>
          </w:p>
          <w:p w14:paraId="69254DAE" w14:textId="77777777" w:rsidR="00721DCE" w:rsidRDefault="00721DCE" w:rsidP="003551B6">
            <w:pPr>
              <w:pStyle w:val="Tabletextprimarysource"/>
            </w:pPr>
          </w:p>
          <w:p w14:paraId="5721F0EA" w14:textId="77777777" w:rsidR="00753E24" w:rsidRDefault="00753E24" w:rsidP="003551B6">
            <w:pPr>
              <w:pStyle w:val="Tabletextprimarysource"/>
            </w:pPr>
            <w:r>
              <w:t>Assigned an A4, not classified as human carcinogen.</w:t>
            </w:r>
          </w:p>
          <w:p w14:paraId="4C241FA4" w14:textId="77777777" w:rsidR="004D3498" w:rsidRDefault="00753E24" w:rsidP="003551B6">
            <w:pPr>
              <w:pStyle w:val="Tabletextprimarysource"/>
            </w:pPr>
            <w:r>
              <w:t xml:space="preserve">Insufficient data available to assign neither a sensitiser </w:t>
            </w:r>
            <w:proofErr w:type="gramStart"/>
            <w:r>
              <w:t>or</w:t>
            </w:r>
            <w:proofErr w:type="gramEnd"/>
            <w:r>
              <w:t xml:space="preserve"> skin notation.</w:t>
            </w:r>
          </w:p>
          <w:p w14:paraId="20DEC03B" w14:textId="77777777" w:rsidR="00721DCE" w:rsidRPr="00DA352E" w:rsidRDefault="00721DCE" w:rsidP="003551B6">
            <w:pPr>
              <w:pStyle w:val="Tabletextprimarysource"/>
            </w:pPr>
          </w:p>
        </w:tc>
      </w:tr>
      <w:tr w:rsidR="00C978F0" w:rsidRPr="00DA352E" w14:paraId="1871607A" w14:textId="77777777" w:rsidTr="009359A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27CA56D1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F5A47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CF5A47">
                  <w:t>MAK: 1,000 ppm (5,000 mg/m</w:t>
                </w:r>
                <w:r w:rsidR="00CF5A47" w:rsidRPr="00CF5A47">
                  <w:rPr>
                    <w:vertAlign w:val="superscript"/>
                  </w:rPr>
                  <w:t>3</w:t>
                </w:r>
                <w:r w:rsidR="00CF5A47">
                  <w:t>)</w:t>
                </w:r>
              </w:sdtContent>
            </w:sdt>
          </w:p>
        </w:tc>
      </w:tr>
      <w:tr w:rsidR="00C978F0" w:rsidRPr="00DA352E" w14:paraId="13DE8B27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508EE5E9" w14:textId="77777777" w:rsidR="000F0723" w:rsidRDefault="003551B6" w:rsidP="000F0723">
            <w:pPr>
              <w:pStyle w:val="Tabletextprimarysource"/>
            </w:pPr>
            <w:r>
              <w:t>R</w:t>
            </w:r>
            <w:r w:rsidR="000F0723" w:rsidRPr="000F0723">
              <w:t>esults of studies on volunteers and animals demonstrate that the MAK value be retained.</w:t>
            </w:r>
          </w:p>
          <w:p w14:paraId="15170153" w14:textId="77777777" w:rsidR="000F0723" w:rsidRDefault="000F0723" w:rsidP="000F0723">
            <w:pPr>
              <w:pStyle w:val="Tabletextprimarysource"/>
            </w:pPr>
            <w:r>
              <w:t>Summary of additional data:</w:t>
            </w:r>
          </w:p>
          <w:p w14:paraId="2E9A9349" w14:textId="77777777" w:rsidR="000F0723" w:rsidRDefault="006E3107" w:rsidP="000F0723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</w:t>
            </w:r>
            <w:r w:rsidR="000F0723">
              <w:t xml:space="preserve"> data:</w:t>
            </w:r>
          </w:p>
          <w:p w14:paraId="7B1131F4" w14:textId="18038676" w:rsidR="000F0723" w:rsidRDefault="000F0723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 xml:space="preserve">Inhalation </w:t>
            </w:r>
            <w:r w:rsidR="00E34C11">
              <w:t>at</w:t>
            </w:r>
            <w:r>
              <w:t xml:space="preserve"> 200,000 ppm causes </w:t>
            </w:r>
            <w:r w:rsidRPr="000F0723">
              <w:t>eye irritation and dizziness</w:t>
            </w:r>
            <w:r>
              <w:t xml:space="preserve">, </w:t>
            </w:r>
            <w:r w:rsidRPr="000F0723">
              <w:t>symptoms are rapidly reversible</w:t>
            </w:r>
          </w:p>
          <w:p w14:paraId="5DB6670F" w14:textId="055DE87D" w:rsidR="00C978F0" w:rsidRDefault="000F0723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 xml:space="preserve">Inhalation </w:t>
            </w:r>
            <w:r w:rsidR="00E34C11">
              <w:t>at</w:t>
            </w:r>
            <w:r>
              <w:t xml:space="preserve"> 40,000 ppm</w:t>
            </w:r>
            <w:r w:rsidR="009E69F4">
              <w:t xml:space="preserve"> (80 min)</w:t>
            </w:r>
            <w:r>
              <w:t xml:space="preserve"> causes </w:t>
            </w:r>
            <w:r w:rsidR="009E69F4">
              <w:t xml:space="preserve">tingling sensations, </w:t>
            </w:r>
            <w:r w:rsidRPr="000F0723">
              <w:t>ringing in the ears</w:t>
            </w:r>
            <w:r w:rsidR="009E69F4">
              <w:t xml:space="preserve">, </w:t>
            </w:r>
            <w:r w:rsidRPr="000F0723">
              <w:t>encephalogram changes, deterioration in the results of psychological tests and indistinct speech</w:t>
            </w:r>
          </w:p>
          <w:p w14:paraId="399C8962" w14:textId="6B15CF94" w:rsidR="009E69F4" w:rsidRDefault="00E34C11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>Inhalation exposure at</w:t>
            </w:r>
            <w:r w:rsidR="009E69F4">
              <w:t xml:space="preserve"> 1,000 and 10,000 ppm (2.5 h, 2 exposures in 3 </w:t>
            </w:r>
            <w:proofErr w:type="spellStart"/>
            <w:r w:rsidR="009E69F4">
              <w:t>wk</w:t>
            </w:r>
            <w:proofErr w:type="spellEnd"/>
            <w:r w:rsidR="009E69F4">
              <w:t xml:space="preserve">) resulted in no observable effect at 1,000 ppm and slight </w:t>
            </w:r>
            <w:r w:rsidR="009E69F4" w:rsidRPr="009E69F4">
              <w:t>deterioration in the results of the psychomotor tests</w:t>
            </w:r>
            <w:r w:rsidR="009E69F4">
              <w:t xml:space="preserve"> at 10,000 ppm</w:t>
            </w:r>
          </w:p>
          <w:p w14:paraId="454F53C3" w14:textId="1C0F7260" w:rsidR="009E69F4" w:rsidRDefault="00E34C11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>NOAEC</w:t>
            </w:r>
            <w:r w:rsidR="009E69F4">
              <w:t>: 1,500 ppm (90 min/d, 5 d/</w:t>
            </w:r>
            <w:proofErr w:type="spellStart"/>
            <w:r w:rsidR="009E69F4">
              <w:t>wk</w:t>
            </w:r>
            <w:proofErr w:type="spellEnd"/>
            <w:r w:rsidR="009E69F4">
              <w:t>, 12</w:t>
            </w:r>
            <w:r w:rsidR="00A51B35">
              <w:t xml:space="preserve"> </w:t>
            </w:r>
            <w:proofErr w:type="spellStart"/>
            <w:r w:rsidR="009E69F4">
              <w:t>wk</w:t>
            </w:r>
            <w:proofErr w:type="spellEnd"/>
            <w:r w:rsidR="009E69F4">
              <w:t>, inhalation)</w:t>
            </w:r>
          </w:p>
          <w:p w14:paraId="0F4D2D8B" w14:textId="0CE8A5A1" w:rsidR="009E69F4" w:rsidRDefault="009E69F4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lastRenderedPageBreak/>
              <w:t>LOAE</w:t>
            </w:r>
            <w:r w:rsidR="00E34C11">
              <w:t>C</w:t>
            </w:r>
            <w:r>
              <w:t>: 2,500 ppm (90 min/d, 5 d/</w:t>
            </w:r>
            <w:proofErr w:type="spellStart"/>
            <w:r>
              <w:t>wk</w:t>
            </w:r>
            <w:proofErr w:type="spellEnd"/>
            <w:r>
              <w:t>, 12</w:t>
            </w:r>
            <w:r w:rsidR="00A51B35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, inhalation), symptoms included </w:t>
            </w:r>
            <w:r w:rsidRPr="009E69F4">
              <w:t>reduced dexterity, sleepiness and reduced ability to concentrate</w:t>
            </w:r>
          </w:p>
          <w:p w14:paraId="6847FCF1" w14:textId="77777777" w:rsidR="00721DCE" w:rsidRDefault="009E69F4" w:rsidP="009359A7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 xml:space="preserve">8 male subjects’ exposure to 1,000 ppm (8 h/d, 3 </w:t>
            </w:r>
            <w:proofErr w:type="spellStart"/>
            <w:r>
              <w:t>wk</w:t>
            </w:r>
            <w:proofErr w:type="spellEnd"/>
            <w:r>
              <w:t xml:space="preserve">, inhalation), </w:t>
            </w:r>
            <w:r w:rsidR="00D303AD">
              <w:t>e</w:t>
            </w:r>
            <w:r w:rsidR="00D303AD" w:rsidRPr="00D303AD">
              <w:t>xtensive medical examinations revealed no evidence of exposure-related effects</w:t>
            </w:r>
            <w:r w:rsidR="00A51B35">
              <w:t>.</w:t>
            </w:r>
          </w:p>
          <w:p w14:paraId="034F4A35" w14:textId="0BDAE9CC" w:rsidR="009359A7" w:rsidRPr="00DA352E" w:rsidRDefault="009359A7" w:rsidP="009359A7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right="357" w:hanging="360"/>
              <w:contextualSpacing w:val="0"/>
            </w:pPr>
          </w:p>
        </w:tc>
      </w:tr>
      <w:tr w:rsidR="00C978F0" w:rsidRPr="00DA352E" w14:paraId="4FC3E340" w14:textId="77777777" w:rsidTr="009359A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B8D1DFA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753E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sdt>
                  <w:sdtPr>
                    <w:id w:val="-768384973"/>
                    <w:placeholder>
                      <w:docPart w:val="6ACC1C9EA58043CB8D04DF776AB6FE42"/>
                    </w:placeholder>
                    <w:text/>
                  </w:sdtPr>
                  <w:sdtEndPr/>
                  <w:sdtContent>
                    <w:proofErr w:type="spellStart"/>
                    <w:r w:rsidR="00753E2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C978F0" w:rsidRPr="00DA352E" w14:paraId="63982991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28F1E984" w14:textId="77777777" w:rsidR="00C978F0" w:rsidRPr="00DA352E" w:rsidRDefault="000F0723" w:rsidP="003365A5">
            <w:pPr>
              <w:pStyle w:val="Tabletextprimarysource"/>
            </w:pPr>
            <w:r>
              <w:t>No report</w:t>
            </w:r>
            <w:r w:rsidR="00721DCE">
              <w:t>.</w:t>
            </w:r>
          </w:p>
        </w:tc>
      </w:tr>
      <w:tr w:rsidR="00DA352E" w:rsidRPr="00DA352E" w14:paraId="3DD7AFE7" w14:textId="77777777" w:rsidTr="009359A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F7F9DD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753E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2021737055"/>
                    <w:placeholder>
                      <w:docPart w:val="CDD576F11FF5478498BFDFE60303E272"/>
                    </w:placeholder>
                    <w:text/>
                  </w:sdtPr>
                  <w:sdtEndPr/>
                  <w:sdtContent>
                    <w:proofErr w:type="spellStart"/>
                    <w:r w:rsidR="00753E2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61F9AD85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1684067D" w14:textId="77777777" w:rsidR="00DA352E" w:rsidRPr="00DA352E" w:rsidRDefault="000F0723" w:rsidP="003365A5">
            <w:pPr>
              <w:pStyle w:val="Tabletextprimarysource"/>
            </w:pPr>
            <w:r>
              <w:t>No report</w:t>
            </w:r>
            <w:r w:rsidR="00721DCE">
              <w:t>.</w:t>
            </w:r>
          </w:p>
        </w:tc>
      </w:tr>
      <w:tr w:rsidR="00DA352E" w:rsidRPr="00DA352E" w14:paraId="291125D5" w14:textId="77777777" w:rsidTr="009359A7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282A56D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753E24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sdt>
                  <w:sdtPr>
                    <w:id w:val="939030815"/>
                    <w:placeholder>
                      <w:docPart w:val="98E8D281C12D4B34876DE7F618530F20"/>
                    </w:placeholder>
                    <w:text/>
                  </w:sdtPr>
                  <w:sdtEndPr/>
                  <w:sdtContent>
                    <w:proofErr w:type="spellStart"/>
                    <w:r w:rsidR="00753E24">
                      <w:t>NA</w:t>
                    </w:r>
                    <w:proofErr w:type="spellEnd"/>
                  </w:sdtContent>
                </w:sdt>
              </w:sdtContent>
            </w:sdt>
          </w:p>
        </w:tc>
      </w:tr>
      <w:tr w:rsidR="00DA352E" w:rsidRPr="00DA352E" w14:paraId="20977CF1" w14:textId="77777777" w:rsidTr="009359A7">
        <w:trPr>
          <w:gridAfter w:val="1"/>
          <w:wAfter w:w="8" w:type="pct"/>
        </w:trPr>
        <w:tc>
          <w:tcPr>
            <w:tcW w:w="4992" w:type="pct"/>
          </w:tcPr>
          <w:p w14:paraId="11E5310D" w14:textId="77777777" w:rsidR="00DA352E" w:rsidRPr="00DA352E" w:rsidRDefault="000F0723" w:rsidP="003365A5">
            <w:pPr>
              <w:pStyle w:val="Tabletextprimarysource"/>
            </w:pPr>
            <w:r>
              <w:t>No report</w:t>
            </w:r>
            <w:r w:rsidR="00721DCE">
              <w:t>.</w:t>
            </w:r>
          </w:p>
        </w:tc>
      </w:tr>
    </w:tbl>
    <w:p w14:paraId="6EA0EC6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E996CB4" w14:textId="61F16356" w:rsidR="007E2A4B" w:rsidRDefault="00D303AD">
      <w:r>
        <w:t>NIL</w:t>
      </w:r>
      <w:r w:rsidR="00E34C11">
        <w:t>.</w:t>
      </w:r>
    </w:p>
    <w:bookmarkEnd w:id="0"/>
    <w:p w14:paraId="4EEC0E08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698B9C82" w14:textId="77777777" w:rsidTr="00D303AD">
        <w:trPr>
          <w:trHeight w:val="454"/>
          <w:tblHeader/>
        </w:trPr>
        <w:tc>
          <w:tcPr>
            <w:tcW w:w="6603" w:type="dxa"/>
            <w:vAlign w:val="center"/>
          </w:tcPr>
          <w:p w14:paraId="50E31E2D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40972F3" w14:textId="77777777" w:rsidR="002E0D61" w:rsidRDefault="00D303A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99B7289" w14:textId="77777777" w:rsidTr="00D303A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C0004F7" w14:textId="77777777" w:rsidR="008A36CF" w:rsidRPr="006901A2" w:rsidRDefault="00D303A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7CB342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B85D37B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2BCFAF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80EC3C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97904E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4E17AC7" w14:textId="77777777" w:rsidTr="00812887">
        <w:trPr>
          <w:cantSplit/>
        </w:trPr>
        <w:tc>
          <w:tcPr>
            <w:tcW w:w="3227" w:type="dxa"/>
          </w:tcPr>
          <w:p w14:paraId="76F3A2C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7BB97599" w14:textId="77777777" w:rsidR="00687890" w:rsidRPr="00DD2F9B" w:rsidRDefault="00C63AFC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16C4F7DD" w14:textId="77777777" w:rsidTr="00812887">
        <w:trPr>
          <w:cantSplit/>
        </w:trPr>
        <w:tc>
          <w:tcPr>
            <w:tcW w:w="3227" w:type="dxa"/>
          </w:tcPr>
          <w:p w14:paraId="292FD213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A9AFC12" w14:textId="77777777" w:rsidR="007925F0" w:rsidRPr="00DD2F9B" w:rsidRDefault="00C63AFC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FA5857E" w14:textId="77777777" w:rsidTr="00812887">
        <w:trPr>
          <w:cantSplit/>
        </w:trPr>
        <w:tc>
          <w:tcPr>
            <w:tcW w:w="3227" w:type="dxa"/>
          </w:tcPr>
          <w:p w14:paraId="1D658B0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5B93C97C" w14:textId="77777777" w:rsidR="00AF483F" w:rsidRPr="00DD2F9B" w:rsidRDefault="00C63AFC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561876AF" w14:textId="77777777" w:rsidTr="00812887">
        <w:trPr>
          <w:cantSplit/>
        </w:trPr>
        <w:tc>
          <w:tcPr>
            <w:tcW w:w="3227" w:type="dxa"/>
          </w:tcPr>
          <w:p w14:paraId="1BFF1EBF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254B5569" w14:textId="77777777" w:rsidR="00687890" w:rsidRPr="00DD2F9B" w:rsidRDefault="00C63AFC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61F2DB5" w14:textId="77777777" w:rsidTr="00812887">
        <w:trPr>
          <w:cantSplit/>
        </w:trPr>
        <w:tc>
          <w:tcPr>
            <w:tcW w:w="3227" w:type="dxa"/>
          </w:tcPr>
          <w:p w14:paraId="038DF3B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CC5D2B" w14:textId="77777777" w:rsidR="00E41A26" w:rsidRPr="00DD2F9B" w:rsidRDefault="0011260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297F461C" w14:textId="77777777" w:rsidTr="00812887">
        <w:trPr>
          <w:cantSplit/>
        </w:trPr>
        <w:tc>
          <w:tcPr>
            <w:tcW w:w="3227" w:type="dxa"/>
          </w:tcPr>
          <w:p w14:paraId="252978F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31220C0" w14:textId="77777777" w:rsidR="002E0D61" w:rsidRPr="00DD2F9B" w:rsidRDefault="00112607" w:rsidP="00DD2F9B">
            <w:pPr>
              <w:pStyle w:val="Tablefont"/>
            </w:pPr>
            <w:r w:rsidRPr="00112607">
              <w:t>Carcinogenicity – A4</w:t>
            </w:r>
          </w:p>
        </w:tc>
      </w:tr>
      <w:tr w:rsidR="002E0D61" w:rsidRPr="004C23F4" w14:paraId="2BBBB331" w14:textId="77777777" w:rsidTr="00812887">
        <w:trPr>
          <w:cantSplit/>
        </w:trPr>
        <w:tc>
          <w:tcPr>
            <w:tcW w:w="3227" w:type="dxa"/>
          </w:tcPr>
          <w:p w14:paraId="12B16A4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B46F1EC" w14:textId="77777777" w:rsidR="002E0D61" w:rsidRPr="00DD2F9B" w:rsidRDefault="00654C99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4E6B3B6E" w14:textId="77777777" w:rsidTr="00812887">
        <w:trPr>
          <w:cantSplit/>
        </w:trPr>
        <w:tc>
          <w:tcPr>
            <w:tcW w:w="3227" w:type="dxa"/>
          </w:tcPr>
          <w:p w14:paraId="5AD62B14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53F74A8" w14:textId="77777777" w:rsidR="002E0D61" w:rsidRPr="00DD2F9B" w:rsidRDefault="00654C9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A7186C5" w14:textId="77777777" w:rsidTr="00812887">
        <w:trPr>
          <w:cantSplit/>
        </w:trPr>
        <w:tc>
          <w:tcPr>
            <w:tcW w:w="3227" w:type="dxa"/>
          </w:tcPr>
          <w:p w14:paraId="02D3C21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10CA42CE" w14:textId="77777777" w:rsidR="002E0D61" w:rsidRPr="00DD2F9B" w:rsidRDefault="00654C9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0554697" w14:textId="77777777" w:rsidTr="00812887">
        <w:trPr>
          <w:cantSplit/>
        </w:trPr>
        <w:tc>
          <w:tcPr>
            <w:tcW w:w="3227" w:type="dxa"/>
          </w:tcPr>
          <w:p w14:paraId="304C0B4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05AA412" w14:textId="77777777" w:rsidR="00386093" w:rsidRPr="00DD2F9B" w:rsidRDefault="00654C9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563D6CB" w14:textId="77777777" w:rsidTr="00812887">
        <w:trPr>
          <w:cantSplit/>
        </w:trPr>
        <w:tc>
          <w:tcPr>
            <w:tcW w:w="3227" w:type="dxa"/>
          </w:tcPr>
          <w:p w14:paraId="4281F90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F3B6A25" w14:textId="77777777" w:rsidR="00386093" w:rsidRPr="00DD2F9B" w:rsidRDefault="00654C9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234234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53A4C9B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59A7" w14:paraId="7B3DF4C6" w14:textId="77777777" w:rsidTr="009359A7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0F02D8A5" w14:textId="77777777" w:rsidR="009359A7" w:rsidRDefault="009359A7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>
              <w:tab/>
            </w:r>
          </w:p>
        </w:tc>
      </w:tr>
      <w:tr w:rsidR="009359A7" w14:paraId="5C05788C" w14:textId="77777777" w:rsidTr="009359A7">
        <w:trPr>
          <w:cantSplit/>
          <w:tblHeader/>
        </w:trPr>
        <w:tc>
          <w:tcPr>
            <w:tcW w:w="5000" w:type="pct"/>
            <w:tcBorders>
              <w:top w:val="single" w:sz="8" w:space="0" w:color="BFBFBF" w:themeColor="background1" w:themeShade="BF"/>
              <w:left w:val="nil"/>
              <w:bottom w:val="single" w:sz="8" w:space="0" w:color="BFBFBF" w:themeColor="background1" w:themeShade="BF"/>
              <w:right w:val="nil"/>
            </w:tcBorders>
            <w:vAlign w:val="center"/>
            <w:hideMark/>
          </w:tcPr>
          <w:p w14:paraId="12E45109" w14:textId="77777777" w:rsidR="009359A7" w:rsidRDefault="009359A7">
            <w:pPr>
              <w:pStyle w:val="Tablefont"/>
            </w:pPr>
            <w:r>
              <w:t>Insufficient data to assign a skin notation.</w:t>
            </w:r>
          </w:p>
        </w:tc>
        <w:bookmarkEnd w:id="3"/>
      </w:tr>
    </w:tbl>
    <w:p w14:paraId="2045D73C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16DE973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25ED364" w14:textId="77777777" w:rsidR="00EB3D1B" w:rsidRPr="00EB3405" w:rsidRDefault="00EB3D1B" w:rsidP="0039011E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AE07ED0" w14:textId="77777777" w:rsidR="00EB3D1B" w:rsidRDefault="00654C9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40A1AC3B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21F29C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55929E7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8A94DED" w14:textId="77777777" w:rsidR="001B79E5" w:rsidRDefault="00E973A2" w:rsidP="001B79E5">
                <w:pPr>
                  <w:pStyle w:val="Tablefont"/>
                </w:pPr>
                <w:r w:rsidRPr="00E973A2">
                  <w:t>120.91</w:t>
                </w:r>
              </w:p>
            </w:tc>
          </w:sdtContent>
        </w:sdt>
      </w:tr>
      <w:tr w:rsidR="00A31D99" w:rsidRPr="004C23F4" w14:paraId="6FC4842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091B4D7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0D3933E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E973A2">
                  <w:t>4.95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E973A2">
                  <w:t>0.202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EF348B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0F4CD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304EC8B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00AD43D" w14:textId="77777777" w:rsidTr="00EA6243">
        <w:trPr>
          <w:cantSplit/>
        </w:trPr>
        <w:tc>
          <w:tcPr>
            <w:tcW w:w="4077" w:type="dxa"/>
            <w:vAlign w:val="center"/>
          </w:tcPr>
          <w:p w14:paraId="263890FC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31ECF7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F47454B" w14:textId="77777777" w:rsidTr="00EA6243">
        <w:trPr>
          <w:cantSplit/>
        </w:trPr>
        <w:tc>
          <w:tcPr>
            <w:tcW w:w="4077" w:type="dxa"/>
            <w:vAlign w:val="center"/>
          </w:tcPr>
          <w:p w14:paraId="2A7CFC3B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7E535A2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5CCAF5D" w14:textId="77777777" w:rsidTr="00EA6243">
        <w:trPr>
          <w:cantSplit/>
        </w:trPr>
        <w:tc>
          <w:tcPr>
            <w:tcW w:w="4077" w:type="dxa"/>
            <w:vAlign w:val="center"/>
          </w:tcPr>
          <w:p w14:paraId="7C3A25F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DD02949" w14:textId="77777777" w:rsidR="00E06F40" w:rsidRPr="00A006A0" w:rsidRDefault="00374D2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8702E17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007D7CD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32A5281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500886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7D7FF6B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929DD2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616E83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46E797E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4D37DDDE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839D6FA" w14:textId="77777777" w:rsidR="00EB3405" w:rsidRDefault="00EB3405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</w:t>
      </w:r>
      <w:sdt>
        <w:sdtPr>
          <w:id w:val="1836950179"/>
          <w:placeholder>
            <w:docPart w:val="643A99DEF9764440BEE8374F6053DCE0"/>
          </w:placeholder>
          <w:temporary/>
          <w:showingPlcHdr/>
        </w:sdtPr>
        <w:sdtEndPr/>
        <w:sdtContent>
          <w:r w:rsidRPr="00EB3405">
            <w:rPr>
              <w:color w:val="000000" w:themeColor="text1"/>
            </w:rPr>
            <w:t>2002</w:t>
          </w:r>
        </w:sdtContent>
      </w:sdt>
      <w:r>
        <w:t xml:space="preserve">) </w:t>
      </w:r>
      <w:r w:rsidRPr="00EB3405">
        <w:t>Dichlorodifluoromethane</w:t>
      </w:r>
      <w:r>
        <w:t xml:space="preserve"> – MAK value documentation.</w:t>
      </w:r>
    </w:p>
    <w:p w14:paraId="7DF8FB2D" w14:textId="77777777" w:rsidR="006E3107" w:rsidRDefault="006E3107" w:rsidP="006E3107">
      <w:r>
        <w:t xml:space="preserve">US National Institute for Occupational Safety and Health (NIOSH) (1994) Immediately dangerous to life or health concentrations – dichlorodifluoromethane. </w:t>
      </w:r>
    </w:p>
    <w:p w14:paraId="53C8DCB1" w14:textId="77777777" w:rsidR="006E3107" w:rsidRPr="00351FE0" w:rsidRDefault="006E3107" w:rsidP="00084859"/>
    <w:sectPr w:rsidR="006E3107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25D74" w14:textId="77777777" w:rsidR="003E6F9C" w:rsidRDefault="003E6F9C" w:rsidP="00F43AD5">
      <w:pPr>
        <w:spacing w:after="0" w:line="240" w:lineRule="auto"/>
      </w:pPr>
      <w:r>
        <w:separator/>
      </w:r>
    </w:p>
  </w:endnote>
  <w:endnote w:type="continuationSeparator" w:id="0">
    <w:p w14:paraId="46AE8489" w14:textId="77777777" w:rsidR="003E6F9C" w:rsidRDefault="003E6F9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F8F1348" w14:textId="77777777" w:rsidR="008A36CF" w:rsidRDefault="000F0723" w:rsidP="0034744C">
        <w:pPr>
          <w:pStyle w:val="Footer"/>
          <w:rPr>
            <w:sz w:val="18"/>
            <w:szCs w:val="18"/>
          </w:rPr>
        </w:pPr>
        <w:r w:rsidRPr="000F0723">
          <w:rPr>
            <w:b/>
            <w:sz w:val="18"/>
            <w:szCs w:val="18"/>
          </w:rPr>
          <w:t xml:space="preserve">Dichlorodifluoromethane </w:t>
        </w:r>
        <w:r w:rsidR="008A36CF">
          <w:rPr>
            <w:b/>
            <w:sz w:val="18"/>
            <w:szCs w:val="18"/>
          </w:rPr>
          <w:t>(</w:t>
        </w:r>
        <w:r w:rsidRPr="000F0723">
          <w:rPr>
            <w:b/>
            <w:sz w:val="18"/>
            <w:szCs w:val="18"/>
          </w:rPr>
          <w:t>75-71-8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EE37F7F" w14:textId="45C1FB2B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B0A1F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C1047" w14:textId="77777777" w:rsidR="003E6F9C" w:rsidRDefault="003E6F9C" w:rsidP="00F43AD5">
      <w:pPr>
        <w:spacing w:after="0" w:line="240" w:lineRule="auto"/>
      </w:pPr>
      <w:r>
        <w:separator/>
      </w:r>
    </w:p>
  </w:footnote>
  <w:footnote w:type="continuationSeparator" w:id="0">
    <w:p w14:paraId="41907D89" w14:textId="77777777" w:rsidR="003E6F9C" w:rsidRDefault="003E6F9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3FAAC" w14:textId="453ECBF6" w:rsidR="00747EAE" w:rsidRDefault="00747EAE" w:rsidP="00747EAE">
    <w:pPr>
      <w:pStyle w:val="Header"/>
      <w:jc w:val="right"/>
    </w:pPr>
    <w:r>
      <w:rPr>
        <w:noProof/>
        <w:lang w:eastAsia="en-AU"/>
      </w:rPr>
      <w:drawing>
        <wp:inline distT="0" distB="0" distL="0" distR="0" wp14:anchorId="73339021" wp14:editId="393E243B">
          <wp:extent cx="2947670" cy="586740"/>
          <wp:effectExtent l="0" t="0" r="0" b="381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08568F5" w14:textId="3EE177F6" w:rsidR="008A36CF" w:rsidRDefault="008A36CF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BEC42" w14:textId="2F5CCD32" w:rsidR="00747EAE" w:rsidRDefault="00747EAE" w:rsidP="00747EAE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F2F0CB" wp14:editId="03FECD39">
          <wp:extent cx="2947670" cy="586740"/>
          <wp:effectExtent l="0" t="0" r="0" b="381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2203F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892C1D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0A7E69"/>
    <w:multiLevelType w:val="hybridMultilevel"/>
    <w:tmpl w:val="9D9C0DAE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300306757">
    <w:abstractNumId w:val="0"/>
  </w:num>
  <w:num w:numId="2" w16cid:durableId="1109206544">
    <w:abstractNumId w:val="0"/>
  </w:num>
  <w:num w:numId="3" w16cid:durableId="1884948027">
    <w:abstractNumId w:val="0"/>
  </w:num>
  <w:num w:numId="4" w16cid:durableId="1224876148">
    <w:abstractNumId w:val="0"/>
  </w:num>
  <w:num w:numId="5" w16cid:durableId="1862013709">
    <w:abstractNumId w:val="0"/>
  </w:num>
  <w:num w:numId="6" w16cid:durableId="218395047">
    <w:abstractNumId w:val="0"/>
  </w:num>
  <w:num w:numId="7" w16cid:durableId="723333176">
    <w:abstractNumId w:val="0"/>
  </w:num>
  <w:num w:numId="8" w16cid:durableId="14867069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0F0723"/>
    <w:rsid w:val="0010461E"/>
    <w:rsid w:val="00106FAA"/>
    <w:rsid w:val="00112607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09A5"/>
    <w:rsid w:val="00242D51"/>
    <w:rsid w:val="00244AD1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5322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85D"/>
    <w:rsid w:val="00351FE0"/>
    <w:rsid w:val="00352615"/>
    <w:rsid w:val="0035412B"/>
    <w:rsid w:val="003551B6"/>
    <w:rsid w:val="003567A8"/>
    <w:rsid w:val="00362895"/>
    <w:rsid w:val="00370DBF"/>
    <w:rsid w:val="00374D20"/>
    <w:rsid w:val="00386093"/>
    <w:rsid w:val="0039011E"/>
    <w:rsid w:val="003904A4"/>
    <w:rsid w:val="00391841"/>
    <w:rsid w:val="00391B6D"/>
    <w:rsid w:val="00394922"/>
    <w:rsid w:val="003A0E32"/>
    <w:rsid w:val="003A2B94"/>
    <w:rsid w:val="003A3D15"/>
    <w:rsid w:val="003B387D"/>
    <w:rsid w:val="003C0D58"/>
    <w:rsid w:val="003D4FA3"/>
    <w:rsid w:val="003E0807"/>
    <w:rsid w:val="003E51FB"/>
    <w:rsid w:val="003E6B39"/>
    <w:rsid w:val="003E6F9C"/>
    <w:rsid w:val="003F07E1"/>
    <w:rsid w:val="003F207C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3498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0AEE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7D67"/>
    <w:rsid w:val="005E6979"/>
    <w:rsid w:val="005E75CB"/>
    <w:rsid w:val="006013C1"/>
    <w:rsid w:val="0060669E"/>
    <w:rsid w:val="00610F2E"/>
    <w:rsid w:val="00611399"/>
    <w:rsid w:val="006158D2"/>
    <w:rsid w:val="00624C4E"/>
    <w:rsid w:val="00625200"/>
    <w:rsid w:val="006363A8"/>
    <w:rsid w:val="00636DB7"/>
    <w:rsid w:val="00650905"/>
    <w:rsid w:val="006532ED"/>
    <w:rsid w:val="006549F2"/>
    <w:rsid w:val="00654C99"/>
    <w:rsid w:val="006567B7"/>
    <w:rsid w:val="00657BFB"/>
    <w:rsid w:val="0066333C"/>
    <w:rsid w:val="006639B4"/>
    <w:rsid w:val="006650FE"/>
    <w:rsid w:val="0067305D"/>
    <w:rsid w:val="00677D9B"/>
    <w:rsid w:val="00681DB8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3107"/>
    <w:rsid w:val="006E5D05"/>
    <w:rsid w:val="00701053"/>
    <w:rsid w:val="00701507"/>
    <w:rsid w:val="00714021"/>
    <w:rsid w:val="00716A0F"/>
    <w:rsid w:val="00717D45"/>
    <w:rsid w:val="007208F7"/>
    <w:rsid w:val="007218AF"/>
    <w:rsid w:val="00721DCE"/>
    <w:rsid w:val="007365D1"/>
    <w:rsid w:val="00740E0E"/>
    <w:rsid w:val="00747EAE"/>
    <w:rsid w:val="00750212"/>
    <w:rsid w:val="00753E24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0A1F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084C"/>
    <w:rsid w:val="00804F5A"/>
    <w:rsid w:val="00810C6D"/>
    <w:rsid w:val="00812887"/>
    <w:rsid w:val="00826F21"/>
    <w:rsid w:val="00834CC8"/>
    <w:rsid w:val="00835E00"/>
    <w:rsid w:val="00837113"/>
    <w:rsid w:val="008414E4"/>
    <w:rsid w:val="00843A32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7247"/>
    <w:rsid w:val="008D026D"/>
    <w:rsid w:val="008D23AB"/>
    <w:rsid w:val="008D4B7F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9A7"/>
    <w:rsid w:val="0093760E"/>
    <w:rsid w:val="00946044"/>
    <w:rsid w:val="0094660B"/>
    <w:rsid w:val="00946A33"/>
    <w:rsid w:val="0095260E"/>
    <w:rsid w:val="00955AA1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E69F4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19C2"/>
    <w:rsid w:val="00A27E2D"/>
    <w:rsid w:val="00A31D99"/>
    <w:rsid w:val="00A357BA"/>
    <w:rsid w:val="00A35ADC"/>
    <w:rsid w:val="00A402A3"/>
    <w:rsid w:val="00A46B54"/>
    <w:rsid w:val="00A51B35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5998"/>
    <w:rsid w:val="00B76A41"/>
    <w:rsid w:val="00B8734B"/>
    <w:rsid w:val="00B87D4C"/>
    <w:rsid w:val="00B93646"/>
    <w:rsid w:val="00BA0B38"/>
    <w:rsid w:val="00BA1DBB"/>
    <w:rsid w:val="00BA4510"/>
    <w:rsid w:val="00BA529A"/>
    <w:rsid w:val="00BA6420"/>
    <w:rsid w:val="00BB08C9"/>
    <w:rsid w:val="00BB612A"/>
    <w:rsid w:val="00BC7677"/>
    <w:rsid w:val="00BD499F"/>
    <w:rsid w:val="00BD56DE"/>
    <w:rsid w:val="00BF2406"/>
    <w:rsid w:val="00BF720B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3AFC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2A79"/>
    <w:rsid w:val="00CF5A47"/>
    <w:rsid w:val="00D048F7"/>
    <w:rsid w:val="00D0517E"/>
    <w:rsid w:val="00D06420"/>
    <w:rsid w:val="00D140FC"/>
    <w:rsid w:val="00D21D8C"/>
    <w:rsid w:val="00D303AD"/>
    <w:rsid w:val="00D31357"/>
    <w:rsid w:val="00D33220"/>
    <w:rsid w:val="00D334D1"/>
    <w:rsid w:val="00D44C89"/>
    <w:rsid w:val="00D516CD"/>
    <w:rsid w:val="00D668E6"/>
    <w:rsid w:val="00D70670"/>
    <w:rsid w:val="00D70DE8"/>
    <w:rsid w:val="00D74D80"/>
    <w:rsid w:val="00D76624"/>
    <w:rsid w:val="00D87570"/>
    <w:rsid w:val="00D91CB9"/>
    <w:rsid w:val="00D96605"/>
    <w:rsid w:val="00D97989"/>
    <w:rsid w:val="00D97D8D"/>
    <w:rsid w:val="00DA352E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2417B"/>
    <w:rsid w:val="00E26A07"/>
    <w:rsid w:val="00E32595"/>
    <w:rsid w:val="00E34C11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3A2"/>
    <w:rsid w:val="00EA0A06"/>
    <w:rsid w:val="00EA6243"/>
    <w:rsid w:val="00EA74AB"/>
    <w:rsid w:val="00EB3405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50C"/>
    <w:rsid w:val="00F236DF"/>
    <w:rsid w:val="00F26D24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6A9623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F5A4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53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B34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B340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58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58D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17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6ACC1C9EA58043CB8D04DF776AB6FE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9325ED-6016-4E3B-BBB4-C0FD7DDDE516}"/>
      </w:docPartPr>
      <w:docPartBody>
        <w:p w:rsidR="009D51F3" w:rsidRDefault="00977305" w:rsidP="00977305">
          <w:pPr>
            <w:pStyle w:val="6ACC1C9EA58043CB8D04DF776AB6FE4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DD576F11FF5478498BFDFE60303E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FBA2F2-AFC2-4911-B628-4A4D37148E73}"/>
      </w:docPartPr>
      <w:docPartBody>
        <w:p w:rsidR="009D51F3" w:rsidRDefault="00977305" w:rsidP="00977305">
          <w:pPr>
            <w:pStyle w:val="CDD576F11FF5478498BFDFE60303E27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8E8D281C12D4B34876DE7F618530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707271-53C0-4B17-A552-9B14CD3F78C9}"/>
      </w:docPartPr>
      <w:docPartBody>
        <w:p w:rsidR="009D51F3" w:rsidRDefault="00977305" w:rsidP="00977305">
          <w:pPr>
            <w:pStyle w:val="98E8D281C12D4B34876DE7F618530F2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43A99DEF9764440BEE8374F6053DC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1A23E-90B1-4640-85D5-F4045DF0C5C0}"/>
      </w:docPartPr>
      <w:docPartBody>
        <w:p w:rsidR="009D51F3" w:rsidRDefault="00977305" w:rsidP="00977305">
          <w:pPr>
            <w:pStyle w:val="643A99DEF9764440BEE8374F6053DCE0"/>
          </w:pPr>
          <w:r w:rsidRPr="00DA129F">
            <w:rPr>
              <w:color w:val="00B050"/>
            </w:rPr>
            <w:t>20</w:t>
          </w:r>
          <w:r>
            <w:rPr>
              <w:color w:val="00B050"/>
            </w:rPr>
            <w:t>02</w:t>
          </w:r>
        </w:p>
      </w:docPartBody>
    </w:docPart>
    <w:docPart>
      <w:docPartPr>
        <w:name w:val="07314D6E68824C789D4958BA9E41EE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61C82E-93E8-438D-8613-2E4D640CC3B6}"/>
      </w:docPartPr>
      <w:docPartBody>
        <w:p w:rsidR="008120C2" w:rsidRDefault="006207A1" w:rsidP="006207A1">
          <w:pPr>
            <w:pStyle w:val="07314D6E68824C789D4958BA9E41EE13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5A6D"/>
    <w:rsid w:val="001F3F59"/>
    <w:rsid w:val="0035185D"/>
    <w:rsid w:val="006207A1"/>
    <w:rsid w:val="008120C2"/>
    <w:rsid w:val="00977305"/>
    <w:rsid w:val="009D51F3"/>
    <w:rsid w:val="00D21A9F"/>
    <w:rsid w:val="00E2417B"/>
    <w:rsid w:val="00F8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07A1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6ACC1C9EA58043CB8D04DF776AB6FE42">
    <w:name w:val="6ACC1C9EA58043CB8D04DF776AB6FE42"/>
    <w:rsid w:val="00977305"/>
    <w:rPr>
      <w:lang w:val="en-US" w:eastAsia="en-US"/>
    </w:rPr>
  </w:style>
  <w:style w:type="paragraph" w:customStyle="1" w:styleId="CDD576F11FF5478498BFDFE60303E272">
    <w:name w:val="CDD576F11FF5478498BFDFE60303E272"/>
    <w:rsid w:val="00977305"/>
    <w:rPr>
      <w:lang w:val="en-US" w:eastAsia="en-US"/>
    </w:rPr>
  </w:style>
  <w:style w:type="paragraph" w:customStyle="1" w:styleId="98E8D281C12D4B34876DE7F618530F20">
    <w:name w:val="98E8D281C12D4B34876DE7F618530F20"/>
    <w:rsid w:val="00977305"/>
    <w:rPr>
      <w:lang w:val="en-US" w:eastAsia="en-US"/>
    </w:rPr>
  </w:style>
  <w:style w:type="paragraph" w:customStyle="1" w:styleId="643A99DEF9764440BEE8374F6053DCE0">
    <w:name w:val="643A99DEF9764440BEE8374F6053DCE0"/>
    <w:rsid w:val="00977305"/>
    <w:rPr>
      <w:lang w:val="en-US" w:eastAsia="en-US"/>
    </w:rPr>
  </w:style>
  <w:style w:type="paragraph" w:customStyle="1" w:styleId="07314D6E68824C789D4958BA9E41EE13">
    <w:name w:val="07314D6E68824C789D4958BA9E41EE13"/>
    <w:rsid w:val="006207A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2D6C82-730F-48B5-AFEC-3B0B9CA4BE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BEB065-A93A-40BC-9FA0-72603C3B8859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metadata/properties"/>
    <ds:schemaRef ds:uri="a0509f21-ed56-4150-9955-96be669e5f2d"/>
    <ds:schemaRef ds:uri="http://schemas.microsoft.com/office/infopath/2007/PartnerControls"/>
    <ds:schemaRef ds:uri="1c567317-0c4d-4a62-8516-c22afd1b535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12D703E8-5294-42B8-8BE5-0491FA292E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C91DA1-01BC-4CBE-A5E3-4D3CED907E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2019-11-07T07:48:00Z</dcterms:created>
  <dcterms:modified xsi:type="dcterms:W3CDTF">2026-01-09T01:30:00Z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2025-12-22T05:14:15Z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95b467c0-0228-4259-8a17-36761f40571e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