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6BEE0888" w14:textId="77777777" w:rsidR="00BD499F" w:rsidRPr="004C23F4" w:rsidRDefault="00B5618A" w:rsidP="00B40C60">
          <w:pPr>
            <w:pStyle w:val="Heading1"/>
            <w:jc w:val="center"/>
            <w:rPr>
              <w:rFonts w:ascii="Arial" w:hAnsi="Arial" w:cs="Arial"/>
            </w:rPr>
          </w:pPr>
          <w:r>
            <w:rPr>
              <w:rFonts w:ascii="Arial" w:hAnsi="Arial" w:cs="Arial"/>
            </w:rPr>
            <w:t>dichloroacetylene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3"/>
        <w:gridCol w:w="5043"/>
      </w:tblGrid>
      <w:tr w:rsidR="00F43AD5" w:rsidRPr="004C23F4" w14:paraId="26D51C2F" w14:textId="77777777" w:rsidTr="006D5713">
        <w:trPr>
          <w:cantSplit/>
          <w:tblHeader/>
        </w:trPr>
        <w:tc>
          <w:tcPr>
            <w:tcW w:w="3983" w:type="dxa"/>
          </w:tcPr>
          <w:p w14:paraId="25CA2B7D" w14:textId="77777777" w:rsidR="00F43AD5" w:rsidRPr="00921DE7" w:rsidRDefault="00CB1CB1" w:rsidP="00B76A41">
            <w:pPr>
              <w:pStyle w:val="Tablerowright"/>
            </w:pPr>
            <w:r w:rsidRPr="00921DE7">
              <w:t>CAS number:</w:t>
            </w:r>
          </w:p>
        </w:tc>
        <w:tc>
          <w:tcPr>
            <w:tcW w:w="5043" w:type="dxa"/>
          </w:tcPr>
          <w:p w14:paraId="57F32B68" w14:textId="77777777" w:rsidR="00F43AD5" w:rsidRPr="00717D45" w:rsidRDefault="00A350EC" w:rsidP="00B76A41">
            <w:pPr>
              <w:pStyle w:val="Tablefont"/>
            </w:pPr>
            <w:r>
              <w:t>7572-29-4</w:t>
            </w:r>
          </w:p>
        </w:tc>
      </w:tr>
      <w:tr w:rsidR="00F43AD5" w:rsidRPr="004C23F4" w14:paraId="61C47168" w14:textId="77777777" w:rsidTr="006D5713">
        <w:trPr>
          <w:cantSplit/>
        </w:trPr>
        <w:tc>
          <w:tcPr>
            <w:tcW w:w="3983" w:type="dxa"/>
          </w:tcPr>
          <w:p w14:paraId="58A70406" w14:textId="77777777" w:rsidR="00F43AD5" w:rsidRPr="00921DE7" w:rsidRDefault="00CB1CB1" w:rsidP="00B76A41">
            <w:pPr>
              <w:pStyle w:val="Tablerowright"/>
            </w:pPr>
            <w:r w:rsidRPr="00921DE7">
              <w:t>Synonyms:</w:t>
            </w:r>
          </w:p>
        </w:tc>
        <w:tc>
          <w:tcPr>
            <w:tcW w:w="5043" w:type="dxa"/>
          </w:tcPr>
          <w:p w14:paraId="1A5248ED" w14:textId="679F72C8" w:rsidR="00F43AD5" w:rsidRPr="00717D45" w:rsidRDefault="00D577AB" w:rsidP="00B76A41">
            <w:pPr>
              <w:pStyle w:val="Tablefont"/>
            </w:pPr>
            <w:r>
              <w:t>DCA, D</w:t>
            </w:r>
            <w:r w:rsidR="00A350EC">
              <w:t>ichloroethyne</w:t>
            </w:r>
          </w:p>
        </w:tc>
      </w:tr>
      <w:tr w:rsidR="00F43AD5" w:rsidRPr="004C23F4" w14:paraId="64C981BA" w14:textId="77777777" w:rsidTr="006D5713">
        <w:trPr>
          <w:cantSplit/>
        </w:trPr>
        <w:tc>
          <w:tcPr>
            <w:tcW w:w="3983" w:type="dxa"/>
          </w:tcPr>
          <w:p w14:paraId="483F7D4B" w14:textId="77777777" w:rsidR="00F43AD5" w:rsidRPr="00921DE7" w:rsidRDefault="00CB1CB1" w:rsidP="00B76A41">
            <w:pPr>
              <w:pStyle w:val="Tablerowright"/>
            </w:pPr>
            <w:r w:rsidRPr="00921DE7">
              <w:t>Chemical formula:</w:t>
            </w:r>
          </w:p>
        </w:tc>
        <w:tc>
          <w:tcPr>
            <w:tcW w:w="5043" w:type="dxa"/>
          </w:tcPr>
          <w:p w14:paraId="46B69045" w14:textId="77777777" w:rsidR="00F43AD5" w:rsidRPr="00717D45" w:rsidRDefault="00DC473F" w:rsidP="00B76A41">
            <w:pPr>
              <w:pStyle w:val="Tablefont"/>
            </w:pPr>
            <w:r>
              <w:t>C</w:t>
            </w:r>
            <w:r w:rsidRPr="00DC473F">
              <w:rPr>
                <w:vertAlign w:val="subscript"/>
              </w:rPr>
              <w:t>2</w:t>
            </w:r>
            <w:r>
              <w:t>Cl</w:t>
            </w:r>
            <w:r w:rsidRPr="00DC473F">
              <w:rPr>
                <w:vertAlign w:val="subscript"/>
              </w:rPr>
              <w:t>2</w:t>
            </w:r>
          </w:p>
        </w:tc>
      </w:tr>
    </w:tbl>
    <w:p w14:paraId="159D252A" w14:textId="652016B1"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FB4C5D">
            <w:rPr>
              <w:rStyle w:val="WESstatus"/>
            </w:rPr>
            <w:t>(retained)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10"/>
        <w:gridCol w:w="5016"/>
      </w:tblGrid>
      <w:tr w:rsidR="002C7AFE" w:rsidRPr="004C23F4" w14:paraId="7F789A5E" w14:textId="77777777" w:rsidTr="00DC473F">
        <w:trPr>
          <w:cantSplit/>
          <w:tblHeader/>
        </w:trPr>
        <w:tc>
          <w:tcPr>
            <w:tcW w:w="4010" w:type="dxa"/>
            <w:vAlign w:val="center"/>
          </w:tcPr>
          <w:p w14:paraId="48A78BE8" w14:textId="77777777" w:rsidR="002C7AFE" w:rsidRPr="002C58FF" w:rsidRDefault="00921DE7" w:rsidP="00921DE7">
            <w:pPr>
              <w:pStyle w:val="Tablerowright"/>
            </w:pPr>
            <w:r>
              <w:t>TWA:</w:t>
            </w:r>
          </w:p>
        </w:tc>
        <w:tc>
          <w:tcPr>
            <w:tcW w:w="5016" w:type="dxa"/>
          </w:tcPr>
          <w:p w14:paraId="5EAF2057" w14:textId="25E2CC21" w:rsidR="002C7AFE" w:rsidRPr="00FB4C5D" w:rsidRDefault="00353FD2" w:rsidP="00017C82">
            <w:pPr>
              <w:pStyle w:val="Tablefont"/>
            </w:pPr>
            <w:r>
              <w:rPr>
                <w:b/>
              </w:rPr>
              <w:t>—</w:t>
            </w:r>
          </w:p>
        </w:tc>
      </w:tr>
      <w:tr w:rsidR="00DC473F" w:rsidRPr="004C23F4" w14:paraId="1A66BAE0" w14:textId="77777777" w:rsidTr="00DC473F">
        <w:trPr>
          <w:cantSplit/>
        </w:trPr>
        <w:tc>
          <w:tcPr>
            <w:tcW w:w="4010" w:type="dxa"/>
            <w:vAlign w:val="center"/>
          </w:tcPr>
          <w:p w14:paraId="50C71683" w14:textId="77777777" w:rsidR="00DC473F" w:rsidRPr="002C58FF" w:rsidRDefault="00DC473F" w:rsidP="00DC473F">
            <w:pPr>
              <w:pStyle w:val="Tablerowright"/>
            </w:pPr>
            <w:r w:rsidRPr="002C58FF">
              <w:t>STEL</w:t>
            </w:r>
            <w:r>
              <w:t>:</w:t>
            </w:r>
          </w:p>
        </w:tc>
        <w:tc>
          <w:tcPr>
            <w:tcW w:w="5016" w:type="dxa"/>
          </w:tcPr>
          <w:p w14:paraId="00B77DEE" w14:textId="77777777" w:rsidR="00DC473F" w:rsidRPr="00EB3D1B" w:rsidRDefault="00DC473F" w:rsidP="00DC473F">
            <w:pPr>
              <w:pStyle w:val="Tablefont"/>
              <w:rPr>
                <w:b/>
              </w:rPr>
            </w:pPr>
            <w:r>
              <w:rPr>
                <w:b/>
              </w:rPr>
              <w:t>—</w:t>
            </w:r>
          </w:p>
        </w:tc>
      </w:tr>
      <w:tr w:rsidR="00DC473F" w:rsidRPr="004C23F4" w14:paraId="4C2569D4" w14:textId="77777777" w:rsidTr="00DC473F">
        <w:trPr>
          <w:cantSplit/>
        </w:trPr>
        <w:tc>
          <w:tcPr>
            <w:tcW w:w="4010" w:type="dxa"/>
            <w:vAlign w:val="center"/>
          </w:tcPr>
          <w:p w14:paraId="721BEBAE" w14:textId="77777777" w:rsidR="00DC473F" w:rsidRPr="002C58FF" w:rsidRDefault="00DC473F" w:rsidP="00DC473F">
            <w:pPr>
              <w:pStyle w:val="Tablerowright"/>
            </w:pPr>
            <w:r>
              <w:t>Peak limitation:</w:t>
            </w:r>
          </w:p>
        </w:tc>
        <w:tc>
          <w:tcPr>
            <w:tcW w:w="5016" w:type="dxa"/>
          </w:tcPr>
          <w:p w14:paraId="342D626B" w14:textId="08BDC4C4" w:rsidR="00DC473F" w:rsidRPr="001745D5" w:rsidRDefault="00353FD2" w:rsidP="00DC473F">
            <w:pPr>
              <w:pStyle w:val="Tablefont"/>
              <w:rPr>
                <w:b/>
              </w:rPr>
            </w:pPr>
            <w:r w:rsidRPr="001745D5">
              <w:rPr>
                <w:b/>
              </w:rPr>
              <w:t>0.1 ppm (0.39 mg/m</w:t>
            </w:r>
            <w:r w:rsidRPr="001745D5">
              <w:rPr>
                <w:b/>
                <w:vertAlign w:val="superscript"/>
              </w:rPr>
              <w:t>3</w:t>
            </w:r>
            <w:r w:rsidRPr="001745D5">
              <w:rPr>
                <w:b/>
              </w:rPr>
              <w:t>)</w:t>
            </w:r>
          </w:p>
        </w:tc>
      </w:tr>
      <w:tr w:rsidR="00DC473F" w:rsidRPr="004C23F4" w14:paraId="2F39E80F" w14:textId="77777777" w:rsidTr="00DC473F">
        <w:trPr>
          <w:cantSplit/>
        </w:trPr>
        <w:tc>
          <w:tcPr>
            <w:tcW w:w="4010" w:type="dxa"/>
          </w:tcPr>
          <w:p w14:paraId="5259C461" w14:textId="77777777" w:rsidR="00DC473F" w:rsidRPr="002C58FF" w:rsidRDefault="00DC473F" w:rsidP="00DC473F">
            <w:pPr>
              <w:pStyle w:val="Tablerowright"/>
            </w:pPr>
            <w:r>
              <w:rPr>
                <w:b w:val="0"/>
                <w:bCs/>
                <w:color w:val="000000" w:themeColor="text1"/>
              </w:rPr>
              <w:tab/>
            </w:r>
            <w:r w:rsidRPr="003241A8">
              <w:t>Notations</w:t>
            </w:r>
            <w:r>
              <w:t>:</w:t>
            </w:r>
          </w:p>
        </w:tc>
        <w:tc>
          <w:tcPr>
            <w:tcW w:w="5016" w:type="dxa"/>
          </w:tcPr>
          <w:p w14:paraId="58CF9953" w14:textId="73323E36" w:rsidR="00DC473F" w:rsidRPr="001745D5" w:rsidRDefault="00EC0478" w:rsidP="00DC473F">
            <w:pPr>
              <w:pStyle w:val="Tablefont"/>
              <w:rPr>
                <w:b/>
              </w:rPr>
            </w:pPr>
            <w:r w:rsidRPr="001745D5">
              <w:rPr>
                <w:b/>
              </w:rPr>
              <w:t>Carc. 2</w:t>
            </w:r>
            <w:r w:rsidR="00353FD2" w:rsidRPr="001745D5">
              <w:rPr>
                <w:b/>
              </w:rPr>
              <w:t xml:space="preserve"> </w:t>
            </w:r>
          </w:p>
        </w:tc>
      </w:tr>
      <w:tr w:rsidR="00DC473F" w:rsidRPr="004C23F4" w14:paraId="3AF0EF19" w14:textId="77777777" w:rsidTr="00DC473F">
        <w:trPr>
          <w:cantSplit/>
        </w:trPr>
        <w:tc>
          <w:tcPr>
            <w:tcW w:w="4010" w:type="dxa"/>
            <w:vAlign w:val="center"/>
          </w:tcPr>
          <w:p w14:paraId="5B88584C" w14:textId="77777777" w:rsidR="00DC473F" w:rsidRPr="002C58FF" w:rsidRDefault="00DC473F" w:rsidP="00DC473F">
            <w:pPr>
              <w:pStyle w:val="Tablerowright"/>
            </w:pPr>
            <w:r>
              <w:t>IDLH:</w:t>
            </w:r>
          </w:p>
        </w:tc>
        <w:tc>
          <w:tcPr>
            <w:tcW w:w="5016" w:type="dxa"/>
          </w:tcPr>
          <w:p w14:paraId="18B03514" w14:textId="77777777" w:rsidR="00DC473F" w:rsidRPr="00EB3D1B" w:rsidRDefault="00DC473F" w:rsidP="00DC473F">
            <w:pPr>
              <w:pStyle w:val="Tablefont"/>
              <w:rPr>
                <w:b/>
              </w:rPr>
            </w:pPr>
            <w:r>
              <w:rPr>
                <w:b/>
              </w:rPr>
              <w:t>—</w:t>
            </w:r>
          </w:p>
        </w:tc>
      </w:tr>
      <w:tr w:rsidR="000719E2" w:rsidRPr="004C23F4" w14:paraId="3C6D01BD" w14:textId="77777777" w:rsidTr="003862EA">
        <w:trPr>
          <w:cantSplit/>
        </w:trPr>
        <w:tc>
          <w:tcPr>
            <w:tcW w:w="9026" w:type="dxa"/>
            <w:gridSpan w:val="2"/>
            <w:vAlign w:val="center"/>
          </w:tcPr>
          <w:p w14:paraId="5CAB8DD5" w14:textId="16DAF960" w:rsidR="000719E2" w:rsidRPr="00F2431D" w:rsidRDefault="000719E2" w:rsidP="000719E2">
            <w:pPr>
              <w:pStyle w:val="Tablefont"/>
            </w:pPr>
            <w:r w:rsidRPr="001901A7">
              <w:rPr>
                <w:b/>
              </w:rPr>
              <w:t>Sampling and analysis</w:t>
            </w:r>
            <w:r>
              <w:t>:</w:t>
            </w:r>
            <w:r w:rsidRPr="00EC521E">
              <w:rPr>
                <w:rStyle w:val="WESstatus"/>
                <w:color w:val="auto"/>
              </w:rPr>
              <w:t xml:space="preserve"> </w:t>
            </w:r>
            <w:sdt>
              <w:sdtPr>
                <w:rPr>
                  <w:rStyle w:val="WESstatus"/>
                  <w:color w:val="auto"/>
                </w:rPr>
                <w:id w:val="-2105258949"/>
                <w:placeholder>
                  <w:docPart w:val="C463C06C05DE4107A7333354236626D6"/>
                </w:placeholder>
                <w:comboBox>
                  <w:listItem w:displayText="(Click here to enter)" w:value="(Click here to enter)"/>
                  <w:listItem w:displayText="The recommended value is likely to be below the current limit of detection for standard sampling and analysis techniques." w:value="The recommended value is likely to be below the current limit of detection for standard sampling and analysis techniques."/>
                  <w:listItem w:displayText="The recommended value is quantifiable through available sampling and analysis techniques. " w:value="The recommended value is quantifiable through available sampling and analysis techniques. "/>
                  <w:listItem w:displayText="There is uncertainty regarding quantification of the recommended value with available sampling and/or analysis techniques." w:value="There is uncertainty regarding quantification of the recommended value with available sampling and/or analysis techniques."/>
                </w:comboBox>
              </w:sdtPr>
              <w:sdtEndPr>
                <w:rPr>
                  <w:rStyle w:val="WESstatus"/>
                </w:rPr>
              </w:sdtEndPr>
              <w:sdtContent>
                <w:r>
                  <w:rPr>
                    <w:rStyle w:val="WESstatus"/>
                    <w:color w:val="auto"/>
                  </w:rPr>
                  <w:t xml:space="preserve">The recommended value is quantifiable through available sampling and analysis techniques. </w:t>
                </w:r>
              </w:sdtContent>
            </w:sdt>
          </w:p>
        </w:tc>
      </w:tr>
    </w:tbl>
    <w:p w14:paraId="3CE895F0" w14:textId="77777777" w:rsidR="00CB1CB1" w:rsidRPr="001745D5" w:rsidRDefault="00F10C97" w:rsidP="003365A5">
      <w:pPr>
        <w:pStyle w:val="Heading2"/>
        <w:rPr>
          <w:color w:val="auto"/>
        </w:rPr>
      </w:pPr>
      <w:r w:rsidRPr="001745D5">
        <w:rPr>
          <w:color w:val="auto"/>
        </w:rPr>
        <w:t>Recommendation and basis for workplace exposure standard</w:t>
      </w:r>
    </w:p>
    <w:p w14:paraId="315A9A84" w14:textId="05082DE4" w:rsidR="00BB5A06" w:rsidRPr="001745D5" w:rsidRDefault="00EC0478" w:rsidP="00EC0478">
      <w:pPr>
        <w:rPr>
          <w:rFonts w:cs="Arial"/>
        </w:rPr>
      </w:pPr>
      <w:r w:rsidRPr="001745D5">
        <w:rPr>
          <w:rFonts w:eastAsia="Calibri" w:cs="Times New Roman"/>
        </w:rPr>
        <w:t xml:space="preserve">A peak limitation of </w:t>
      </w:r>
      <w:r w:rsidRPr="001745D5">
        <w:rPr>
          <w:rFonts w:cs="Arial"/>
        </w:rPr>
        <w:t>0.1 ppm (0.39 mg/m</w:t>
      </w:r>
      <w:r w:rsidRPr="001745D5">
        <w:rPr>
          <w:rFonts w:cs="Arial"/>
          <w:vertAlign w:val="superscript"/>
        </w:rPr>
        <w:t>3</w:t>
      </w:r>
      <w:r w:rsidRPr="001745D5">
        <w:rPr>
          <w:rFonts w:cs="Arial"/>
        </w:rPr>
        <w:t xml:space="preserve">) </w:t>
      </w:r>
      <w:r w:rsidRPr="001745D5">
        <w:rPr>
          <w:rFonts w:eastAsia="Calibri" w:cs="Times New Roman"/>
        </w:rPr>
        <w:t xml:space="preserve">is recommended to </w:t>
      </w:r>
      <w:r w:rsidR="00010CAD">
        <w:rPr>
          <w:rFonts w:cs="Arial"/>
        </w:rPr>
        <w:t>protect</w:t>
      </w:r>
      <w:r w:rsidRPr="001745D5">
        <w:rPr>
          <w:rFonts w:cs="Arial"/>
        </w:rPr>
        <w:t xml:space="preserve"> for </w:t>
      </w:r>
      <w:r w:rsidR="001901A7">
        <w:rPr>
          <w:rFonts w:cs="Arial"/>
        </w:rPr>
        <w:t xml:space="preserve">extreme nausea, </w:t>
      </w:r>
      <w:r w:rsidRPr="001745D5">
        <w:rPr>
          <w:rFonts w:cs="Arial"/>
        </w:rPr>
        <w:t xml:space="preserve">systemic effects </w:t>
      </w:r>
      <w:r w:rsidR="00010CAD" w:rsidRPr="001745D5">
        <w:rPr>
          <w:rFonts w:cs="Arial"/>
        </w:rPr>
        <w:t>including neurotox</w:t>
      </w:r>
      <w:r w:rsidR="00010CAD">
        <w:rPr>
          <w:rFonts w:cs="Arial"/>
        </w:rPr>
        <w:t xml:space="preserve">icity and possible </w:t>
      </w:r>
      <w:r w:rsidR="001901A7">
        <w:rPr>
          <w:rFonts w:cs="Arial"/>
        </w:rPr>
        <w:t xml:space="preserve">risk of </w:t>
      </w:r>
      <w:r w:rsidR="00010CAD">
        <w:rPr>
          <w:rFonts w:cs="Arial"/>
        </w:rPr>
        <w:t>cancer</w:t>
      </w:r>
      <w:r w:rsidR="00010CAD" w:rsidRPr="001745D5" w:rsidDel="00010CAD">
        <w:rPr>
          <w:rFonts w:cs="Arial"/>
        </w:rPr>
        <w:t xml:space="preserve"> </w:t>
      </w:r>
      <w:r w:rsidR="00010CAD">
        <w:rPr>
          <w:rFonts w:cs="Arial"/>
        </w:rPr>
        <w:t>in</w:t>
      </w:r>
      <w:r w:rsidRPr="001745D5">
        <w:rPr>
          <w:rFonts w:cs="Arial"/>
        </w:rPr>
        <w:t xml:space="preserve"> exposed workers</w:t>
      </w:r>
      <w:r w:rsidR="001745D5">
        <w:rPr>
          <w:rFonts w:cs="Arial"/>
        </w:rPr>
        <w:t>.</w:t>
      </w:r>
    </w:p>
    <w:p w14:paraId="6E14AC39" w14:textId="77777777" w:rsidR="00C7155E" w:rsidRPr="001745D5" w:rsidRDefault="00F10C97" w:rsidP="003365A5">
      <w:pPr>
        <w:pStyle w:val="Heading2"/>
        <w:rPr>
          <w:color w:val="auto"/>
        </w:rPr>
      </w:pPr>
      <w:r w:rsidRPr="001745D5">
        <w:rPr>
          <w:color w:val="auto"/>
        </w:rPr>
        <w:t>Discussion and conclusions</w:t>
      </w:r>
    </w:p>
    <w:p w14:paraId="135E29E5" w14:textId="3FD338B5" w:rsidR="005279D3" w:rsidRDefault="00EC0478" w:rsidP="006639B4">
      <w:pPr>
        <w:rPr>
          <w:rFonts w:cs="Arial"/>
        </w:rPr>
      </w:pPr>
      <w:r w:rsidRPr="001745D5">
        <w:rPr>
          <w:rFonts w:cs="Arial"/>
          <w:shd w:val="clear" w:color="auto" w:fill="FFFFFF"/>
        </w:rPr>
        <w:t xml:space="preserve">Dichloroacetylene </w:t>
      </w:r>
      <w:r w:rsidR="00F2431D">
        <w:rPr>
          <w:rFonts w:cs="Arial"/>
          <w:shd w:val="clear" w:color="auto" w:fill="FFFFFF"/>
        </w:rPr>
        <w:t xml:space="preserve">(DCA) </w:t>
      </w:r>
      <w:r w:rsidRPr="001745D5">
        <w:rPr>
          <w:rFonts w:cs="Arial"/>
          <w:shd w:val="clear" w:color="auto" w:fill="FFFFFF"/>
        </w:rPr>
        <w:t xml:space="preserve">is not commercially available in large </w:t>
      </w:r>
      <w:r w:rsidR="00D36D6C" w:rsidRPr="001745D5">
        <w:rPr>
          <w:rFonts w:cs="Arial"/>
          <w:shd w:val="clear" w:color="auto" w:fill="FFFFFF"/>
        </w:rPr>
        <w:t>quantities but</w:t>
      </w:r>
      <w:r w:rsidRPr="001745D5">
        <w:rPr>
          <w:rFonts w:cs="Arial"/>
          <w:shd w:val="clear" w:color="auto" w:fill="FFFFFF"/>
        </w:rPr>
        <w:t xml:space="preserve"> can be a</w:t>
      </w:r>
      <w:r w:rsidR="00010CAD">
        <w:rPr>
          <w:rFonts w:cs="Arial"/>
          <w:shd w:val="clear" w:color="auto" w:fill="FFFFFF"/>
        </w:rPr>
        <w:t xml:space="preserve"> generated as a</w:t>
      </w:r>
      <w:r w:rsidRPr="001745D5">
        <w:rPr>
          <w:rFonts w:cs="Arial"/>
          <w:shd w:val="clear" w:color="auto" w:fill="FFFFFF"/>
        </w:rPr>
        <w:t xml:space="preserve"> by-product of various processes.</w:t>
      </w:r>
      <w:r w:rsidRPr="001745D5">
        <w:rPr>
          <w:rFonts w:cs="Arial"/>
        </w:rPr>
        <w:t xml:space="preserve"> </w:t>
      </w:r>
    </w:p>
    <w:p w14:paraId="3FA8A704" w14:textId="19F52B23" w:rsidR="00F2431D" w:rsidRDefault="00296AFF" w:rsidP="00126AC7">
      <w:pPr>
        <w:pStyle w:val="ListBullet"/>
        <w:numPr>
          <w:ilvl w:val="0"/>
          <w:numId w:val="0"/>
        </w:numPr>
        <w:spacing w:before="60" w:after="60"/>
        <w:contextualSpacing w:val="0"/>
      </w:pPr>
      <w:r w:rsidRPr="001745D5">
        <w:rPr>
          <w:rFonts w:cs="Arial"/>
        </w:rPr>
        <w:t xml:space="preserve">Available human data </w:t>
      </w:r>
      <w:r w:rsidR="00AC413C" w:rsidRPr="001745D5">
        <w:rPr>
          <w:rFonts w:cs="Arial"/>
        </w:rPr>
        <w:t xml:space="preserve">is limited to </w:t>
      </w:r>
      <w:r w:rsidR="00AC413C" w:rsidRPr="00EC0478">
        <w:rPr>
          <w:rFonts w:cs="Arial"/>
        </w:rPr>
        <w:t>observations of poisoning in industrial settings, leading to</w:t>
      </w:r>
      <w:r w:rsidR="00AC413C">
        <w:rPr>
          <w:rFonts w:cs="Arial"/>
        </w:rPr>
        <w:t xml:space="preserve"> </w:t>
      </w:r>
      <w:r w:rsidR="00AC413C">
        <w:t>headaches, loss of appetite, extreme nausea and vomiting</w:t>
      </w:r>
      <w:r w:rsidR="009F66AD">
        <w:t xml:space="preserve"> (ACGIH, 2018). </w:t>
      </w:r>
      <w:r w:rsidR="00AC413C">
        <w:t xml:space="preserve">Animal studies show doses as low as 2 ppm </w:t>
      </w:r>
      <w:r w:rsidR="001901A7">
        <w:t xml:space="preserve">resulted in </w:t>
      </w:r>
      <w:r w:rsidR="00AC413C">
        <w:t>lower survival time</w:t>
      </w:r>
      <w:r w:rsidR="001901A7">
        <w:t>s</w:t>
      </w:r>
      <w:r w:rsidR="00AC413C">
        <w:t>, reduced body</w:t>
      </w:r>
      <w:r w:rsidR="001901A7">
        <w:t xml:space="preserve"> </w:t>
      </w:r>
      <w:r w:rsidR="00AC413C">
        <w:t>weight gain and kidney tumours in mice. Slightly higher concentrations resulted in increased incidences of adenocarcinomas of the kidney and liver tumours in rats. Despite evidence from appropriate animal studies suggesting possible carcinogenic effect</w:t>
      </w:r>
      <w:r w:rsidR="001745D5">
        <w:t>s, DCA’s genotoxicity</w:t>
      </w:r>
      <w:r w:rsidR="00AC413C">
        <w:t xml:space="preserve"> has </w:t>
      </w:r>
      <w:r w:rsidR="00443227">
        <w:t xml:space="preserve">not been </w:t>
      </w:r>
      <w:r w:rsidR="00AC413C">
        <w:t>sufficiently investigated</w:t>
      </w:r>
      <w:r w:rsidR="001901A7">
        <w:t xml:space="preserve"> in humans</w:t>
      </w:r>
      <w:r w:rsidR="00B91C58">
        <w:t xml:space="preserve"> (HCOTN, 2002)</w:t>
      </w:r>
      <w:r w:rsidR="001745D5">
        <w:t>.</w:t>
      </w:r>
      <w:r w:rsidR="00BA5B34">
        <w:t xml:space="preserve"> </w:t>
      </w:r>
    </w:p>
    <w:p w14:paraId="629B595C" w14:textId="1C22C9CC" w:rsidR="003862EA" w:rsidRDefault="00126AC7" w:rsidP="006639B4">
      <w:r>
        <w:t>Disabling nausea was experienced by 85</w:t>
      </w:r>
      <w:r w:rsidR="001901A7">
        <w:t xml:space="preserve"> per cent </w:t>
      </w:r>
      <w:r>
        <w:t>of individuals exposed for prolonged periods at 0.5</w:t>
      </w:r>
      <w:r w:rsidR="003F585D">
        <w:t xml:space="preserve"> to </w:t>
      </w:r>
      <w:r>
        <w:t xml:space="preserve">1.0 ppm. ACGIH recommended a TLV-Ceiling of 0.1 ppm to protect for nausea and </w:t>
      </w:r>
      <w:r w:rsidR="001901A7">
        <w:t xml:space="preserve">the possibility of </w:t>
      </w:r>
      <w:r>
        <w:t xml:space="preserve">more serious systemic </w:t>
      </w:r>
      <w:r w:rsidR="003862EA">
        <w:t>effect</w:t>
      </w:r>
      <w:r w:rsidR="001901A7">
        <w:t>s</w:t>
      </w:r>
      <w:r w:rsidR="003862EA">
        <w:t xml:space="preserve">. </w:t>
      </w:r>
    </w:p>
    <w:p w14:paraId="75320CF2" w14:textId="477886CD" w:rsidR="00860AB8" w:rsidRPr="00BA5B34" w:rsidRDefault="003862EA" w:rsidP="006639B4">
      <w:r>
        <w:t>Given</w:t>
      </w:r>
      <w:r w:rsidR="005279D3">
        <w:t xml:space="preserve"> the limited toxicological data, </w:t>
      </w:r>
      <w:r w:rsidR="001901A7">
        <w:t xml:space="preserve">a </w:t>
      </w:r>
      <w:r w:rsidR="005279D3">
        <w:t xml:space="preserve">peak limitation </w:t>
      </w:r>
      <w:r w:rsidR="00552C62">
        <w:t xml:space="preserve">of 0.1 ppm </w:t>
      </w:r>
      <w:r w:rsidR="005279D3">
        <w:t>is re</w:t>
      </w:r>
      <w:r w:rsidR="001901A7">
        <w:t>commended</w:t>
      </w:r>
      <w:r w:rsidR="005279D3">
        <w:t xml:space="preserve">. </w:t>
      </w:r>
      <w:r w:rsidR="00860AB8">
        <w:t xml:space="preserve">The recommended peak limitation is </w:t>
      </w:r>
      <w:r w:rsidR="00F53564">
        <w:t>also</w:t>
      </w:r>
      <w:r w:rsidR="00860AB8">
        <w:t xml:space="preserve"> protective for </w:t>
      </w:r>
      <w:r w:rsidR="00F53564">
        <w:t xml:space="preserve">long term </w:t>
      </w:r>
      <w:r w:rsidR="00860AB8">
        <w:t>effects</w:t>
      </w:r>
      <w:r w:rsidR="001901A7">
        <w:t xml:space="preserve"> in the kidneys and liver reported in animals</w:t>
      </w:r>
      <w:r w:rsidR="00860AB8">
        <w:t xml:space="preserve">.   </w:t>
      </w:r>
    </w:p>
    <w:p w14:paraId="25CAB79A" w14:textId="77777777" w:rsidR="004529F0" w:rsidRPr="004C23F4" w:rsidRDefault="004529F0" w:rsidP="004529F0">
      <w:pPr>
        <w:pStyle w:val="Heading2"/>
      </w:pPr>
      <w:r>
        <w:t>Recommendation for notations</w:t>
      </w:r>
    </w:p>
    <w:p w14:paraId="62E501B3" w14:textId="74C77EBC" w:rsidR="008C78F8" w:rsidRPr="004C23F4" w:rsidRDefault="00B91F59" w:rsidP="008C78F8">
      <w:pPr>
        <w:rPr>
          <w:rFonts w:cs="Arial"/>
        </w:rPr>
      </w:pPr>
      <w:r>
        <w:rPr>
          <w:rFonts w:cs="Arial"/>
        </w:rPr>
        <w:t>C</w:t>
      </w:r>
      <w:r w:rsidR="008C78F8">
        <w:rPr>
          <w:rFonts w:cs="Arial"/>
        </w:rPr>
        <w:t>lassified as a category 2</w:t>
      </w:r>
      <w:r w:rsidR="00B91C58">
        <w:rPr>
          <w:rFonts w:cs="Arial"/>
        </w:rPr>
        <w:t xml:space="preserve"> carcinogen</w:t>
      </w:r>
      <w:r w:rsidR="008C78F8">
        <w:rPr>
          <w:rFonts w:cs="Arial"/>
        </w:rPr>
        <w:t xml:space="preserve"> according to the Globally Harmoni</w:t>
      </w:r>
      <w:r w:rsidR="00B91C58">
        <w:rPr>
          <w:rFonts w:cs="Arial"/>
        </w:rPr>
        <w:t>z</w:t>
      </w:r>
      <w:r w:rsidR="008C78F8">
        <w:rPr>
          <w:rFonts w:cs="Arial"/>
        </w:rPr>
        <w:t>ed System of Classification and Labelling o</w:t>
      </w:r>
      <w:r w:rsidR="00785B31">
        <w:rPr>
          <w:rFonts w:cs="Arial"/>
        </w:rPr>
        <w:t>f</w:t>
      </w:r>
      <w:r w:rsidR="008C78F8">
        <w:rPr>
          <w:rFonts w:cs="Arial"/>
        </w:rPr>
        <w:t xml:space="preserve"> Chemicals (GHS). </w:t>
      </w:r>
    </w:p>
    <w:p w14:paraId="29C1E32B" w14:textId="34AC601D" w:rsidR="00DC473F" w:rsidRPr="00CF5949" w:rsidRDefault="00B91C58" w:rsidP="00DC473F">
      <w:pPr>
        <w:rPr>
          <w:rFonts w:cs="Arial"/>
        </w:rPr>
      </w:pPr>
      <w:r>
        <w:rPr>
          <w:rFonts w:cs="Arial"/>
        </w:rPr>
        <w:t>N</w:t>
      </w:r>
      <w:r w:rsidR="00CF5949" w:rsidRPr="00CF5949">
        <w:rPr>
          <w:rFonts w:cs="Arial"/>
        </w:rPr>
        <w:t xml:space="preserve">ot </w:t>
      </w:r>
      <w:r w:rsidR="00DC473F" w:rsidRPr="00CF5949">
        <w:rPr>
          <w:rFonts w:cs="Arial"/>
        </w:rPr>
        <w:t>classified as a skin</w:t>
      </w:r>
      <w:r>
        <w:rPr>
          <w:rFonts w:cs="Arial"/>
        </w:rPr>
        <w:t xml:space="preserve"> sensitiser</w:t>
      </w:r>
      <w:r w:rsidR="00DC473F" w:rsidRPr="00CF5949">
        <w:rPr>
          <w:rFonts w:cs="Arial"/>
        </w:rPr>
        <w:t xml:space="preserve"> or respiratory sensitiser according to the GHS.</w:t>
      </w:r>
    </w:p>
    <w:p w14:paraId="174ECEFA" w14:textId="457EFD7D" w:rsidR="0025734A" w:rsidRPr="004C23F4" w:rsidRDefault="007532EA">
      <w:pPr>
        <w:rPr>
          <w:rFonts w:cs="Arial"/>
        </w:rPr>
      </w:pPr>
      <w:r>
        <w:rPr>
          <w:rFonts w:cs="Arial"/>
          <w:szCs w:val="20"/>
        </w:rPr>
        <w:t xml:space="preserve">There are insufficient data to recommend a skin notation. </w:t>
      </w:r>
    </w:p>
    <w:p w14:paraId="4566FECC" w14:textId="77777777" w:rsidR="005E6979" w:rsidRPr="004C23F4" w:rsidRDefault="005E6979">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p>
    <w:p w14:paraId="1B49B7DF"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761F9EBB"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05794D5E" w14:textId="77777777" w:rsidTr="00DE26E8">
        <w:trPr>
          <w:gridAfter w:val="1"/>
          <w:wAfter w:w="8" w:type="pct"/>
          <w:cantSplit/>
          <w:trHeight w:val="393"/>
          <w:tblHeader/>
        </w:trPr>
        <w:tc>
          <w:tcPr>
            <w:tcW w:w="4992" w:type="pct"/>
            <w:shd w:val="clear" w:color="auto" w:fill="BFBFBF" w:themeFill="background1" w:themeFillShade="BF"/>
            <w:vAlign w:val="center"/>
          </w:tcPr>
          <w:p w14:paraId="36195908"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3CFCCC94" w14:textId="77777777" w:rsidTr="00DE26E8">
        <w:trPr>
          <w:cantSplit/>
        </w:trPr>
        <w:tc>
          <w:tcPr>
            <w:tcW w:w="5000" w:type="pct"/>
            <w:gridSpan w:val="2"/>
            <w:shd w:val="clear" w:color="auto" w:fill="F2F2F2" w:themeFill="background1" w:themeFillShade="F2"/>
          </w:tcPr>
          <w:p w14:paraId="1999D13D" w14:textId="082D85A4"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C2431D">
                  <w:t>1995</w:t>
                </w:r>
              </w:sdtContent>
            </w:sdt>
            <w:r w:rsidRPr="003365A5">
              <w:tab/>
            </w:r>
            <w:r>
              <w:tab/>
            </w:r>
            <w:sdt>
              <w:sdtPr>
                <w:alias w:val="SWA WES"/>
                <w:tag w:val="SWA WES"/>
                <w:id w:val="857077202"/>
                <w:placeholder>
                  <w:docPart w:val="81CFEC2FDBC5451289F394E66D92D1A0"/>
                </w:placeholder>
              </w:sdtPr>
              <w:sdtEndPr/>
              <w:sdtContent>
                <w:r w:rsidR="00EC0478">
                  <w:t>Peak</w:t>
                </w:r>
                <w:r w:rsidR="00010CAD">
                  <w:t xml:space="preserve"> limitation</w:t>
                </w:r>
                <w:r w:rsidR="00C2431D">
                  <w:t>: 0.1 ppm (0.39 mg/m</w:t>
                </w:r>
                <w:r w:rsidR="00C2431D" w:rsidRPr="00C2431D">
                  <w:rPr>
                    <w:vertAlign w:val="superscript"/>
                  </w:rPr>
                  <w:t>3</w:t>
                </w:r>
                <w:r w:rsidR="00C2431D">
                  <w:t>)</w:t>
                </w:r>
              </w:sdtContent>
            </w:sdt>
          </w:p>
        </w:tc>
      </w:tr>
      <w:tr w:rsidR="00C978F0" w:rsidRPr="00DA352E" w14:paraId="633C2043" w14:textId="77777777" w:rsidTr="00DE26E8">
        <w:trPr>
          <w:gridAfter w:val="1"/>
          <w:wAfter w:w="8" w:type="pct"/>
          <w:cantSplit/>
        </w:trPr>
        <w:tc>
          <w:tcPr>
            <w:tcW w:w="4992" w:type="pct"/>
          </w:tcPr>
          <w:p w14:paraId="4941252E" w14:textId="2A19E779" w:rsidR="006D2836" w:rsidRPr="00DA352E" w:rsidRDefault="006D2836" w:rsidP="00F3421A">
            <w:pPr>
              <w:pStyle w:val="ListBullet"/>
              <w:numPr>
                <w:ilvl w:val="0"/>
                <w:numId w:val="0"/>
              </w:numPr>
            </w:pPr>
          </w:p>
        </w:tc>
      </w:tr>
      <w:tr w:rsidR="00C978F0" w:rsidRPr="00DA352E" w14:paraId="0A4799E4" w14:textId="77777777" w:rsidTr="00DE26E8">
        <w:trPr>
          <w:gridAfter w:val="1"/>
          <w:wAfter w:w="8" w:type="pct"/>
          <w:cantSplit/>
        </w:trPr>
        <w:tc>
          <w:tcPr>
            <w:tcW w:w="4992" w:type="pct"/>
            <w:shd w:val="clear" w:color="auto" w:fill="F2F2F2" w:themeFill="background1" w:themeFillShade="F2"/>
          </w:tcPr>
          <w:p w14:paraId="14AEA048"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5569E2">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5569E2">
                  <w:t>TLV-Ceiling:</w:t>
                </w:r>
                <w:r w:rsidR="00F25986">
                  <w:t xml:space="preserve"> 0.1 ppm (0.39 mg/m</w:t>
                </w:r>
                <w:r w:rsidR="00F25986" w:rsidRPr="00F25986">
                  <w:rPr>
                    <w:vertAlign w:val="superscript"/>
                  </w:rPr>
                  <w:t>3</w:t>
                </w:r>
                <w:r w:rsidR="00F25986">
                  <w:t>)</w:t>
                </w:r>
              </w:sdtContent>
            </w:sdt>
          </w:p>
        </w:tc>
      </w:tr>
      <w:tr w:rsidR="00C978F0" w:rsidRPr="00DA352E" w14:paraId="038D3C8A" w14:textId="77777777" w:rsidTr="00DE26E8">
        <w:trPr>
          <w:gridAfter w:val="1"/>
          <w:wAfter w:w="8" w:type="pct"/>
          <w:cantSplit/>
        </w:trPr>
        <w:tc>
          <w:tcPr>
            <w:tcW w:w="4992" w:type="pct"/>
          </w:tcPr>
          <w:p w14:paraId="4E7B9A5D" w14:textId="2446A35B" w:rsidR="00F53564" w:rsidRDefault="00AC625B" w:rsidP="006D2836">
            <w:pPr>
              <w:pStyle w:val="Tabletextprimarysource"/>
            </w:pPr>
            <w:r>
              <w:t>TLV-Ceiling recommended to minimi</w:t>
            </w:r>
            <w:r w:rsidR="00B91C58">
              <w:t>s</w:t>
            </w:r>
            <w:r>
              <w:t>e the potential for nausea and more serious systemic effects.</w:t>
            </w:r>
            <w:r w:rsidR="00271151">
              <w:t xml:space="preserve"> </w:t>
            </w:r>
          </w:p>
          <w:p w14:paraId="49786C5E" w14:textId="77777777" w:rsidR="00F53564" w:rsidRDefault="00F53564" w:rsidP="00F53564">
            <w:pPr>
              <w:pStyle w:val="Tabletextprimarysource"/>
            </w:pPr>
            <w:r>
              <w:t>Summary of data:</w:t>
            </w:r>
          </w:p>
          <w:p w14:paraId="5C598F78" w14:textId="40B78C5A" w:rsidR="00D36D6C" w:rsidRDefault="00271151" w:rsidP="006D2836">
            <w:pPr>
              <w:pStyle w:val="Tabletextprimarysource"/>
            </w:pPr>
            <w:r>
              <w:t>An A3, confirmed animal carcinogen with unknown relevance to humans</w:t>
            </w:r>
            <w:r w:rsidR="006D5713">
              <w:t>; DCA is considered the most toxic and carcinogenic of all chlorinated aliphatic hydrocarbons.</w:t>
            </w:r>
          </w:p>
          <w:p w14:paraId="7E5EE987" w14:textId="6F2793AF" w:rsidR="00AC625B" w:rsidRDefault="00B91C58" w:rsidP="006D2836">
            <w:pPr>
              <w:pStyle w:val="Tabletextprimarysource"/>
            </w:pPr>
            <w:r>
              <w:t>Ins</w:t>
            </w:r>
            <w:r w:rsidR="00271151">
              <w:t>ufficient data available to r</w:t>
            </w:r>
            <w:r w:rsidR="001745D5">
              <w:t>ecommend Skin or SEN notations.</w:t>
            </w:r>
          </w:p>
          <w:p w14:paraId="12F9AADD" w14:textId="77777777" w:rsidR="006D2836" w:rsidRDefault="006D2836" w:rsidP="001745D5">
            <w:pPr>
              <w:pStyle w:val="ListBullet"/>
              <w:numPr>
                <w:ilvl w:val="0"/>
                <w:numId w:val="0"/>
              </w:numPr>
              <w:ind w:left="360" w:hanging="360"/>
            </w:pPr>
            <w:r>
              <w:t>Human data:</w:t>
            </w:r>
          </w:p>
          <w:p w14:paraId="72BE86A4" w14:textId="44F59C25" w:rsidR="00B91C58" w:rsidRDefault="006D2836" w:rsidP="004A761D">
            <w:pPr>
              <w:pStyle w:val="ListBullet"/>
              <w:spacing w:before="60" w:after="60"/>
              <w:ind w:left="714" w:hanging="357"/>
              <w:contextualSpacing w:val="0"/>
            </w:pPr>
            <w:r>
              <w:t xml:space="preserve">Toxicity observed following </w:t>
            </w:r>
            <w:r w:rsidR="00B91C58">
              <w:t>anaesthesia</w:t>
            </w:r>
            <w:r>
              <w:t xml:space="preserve"> with trichloroethylene</w:t>
            </w:r>
            <w:r w:rsidR="001745D5">
              <w:t xml:space="preserve"> </w:t>
            </w:r>
            <w:r w:rsidR="00B91C58">
              <w:t>(</w:t>
            </w:r>
            <w:r>
              <w:t>thermal decomposition leads to DCA</w:t>
            </w:r>
            <w:r w:rsidR="001745D5">
              <w:t>)</w:t>
            </w:r>
          </w:p>
          <w:p w14:paraId="0F1CA54C" w14:textId="15C9B04E" w:rsidR="006D2836" w:rsidRDefault="006D2836" w:rsidP="004A761D">
            <w:pPr>
              <w:pStyle w:val="ListBullet"/>
              <w:spacing w:before="60" w:after="60"/>
              <w:ind w:left="714" w:hanging="357"/>
              <w:contextualSpacing w:val="0"/>
            </w:pPr>
            <w:r>
              <w:t>Signs and symptoms of elevated exposure include headache, loss of appeti</w:t>
            </w:r>
            <w:r w:rsidR="009121BC">
              <w:t>te, extreme nausea and vomiting</w:t>
            </w:r>
          </w:p>
          <w:p w14:paraId="3F3AFFDB" w14:textId="2B26AEAF" w:rsidR="008C4AE7" w:rsidRDefault="008C4AE7" w:rsidP="004A761D">
            <w:pPr>
              <w:pStyle w:val="ListBullet"/>
              <w:spacing w:before="60" w:after="60"/>
              <w:ind w:left="714" w:hanging="357"/>
              <w:contextualSpacing w:val="0"/>
            </w:pPr>
            <w:r>
              <w:t xml:space="preserve">Effects of </w:t>
            </w:r>
            <w:r w:rsidR="006D2836">
              <w:t xml:space="preserve">DCA detected in </w:t>
            </w:r>
            <w:r>
              <w:t xml:space="preserve">nuclear </w:t>
            </w:r>
            <w:r w:rsidR="006D2836">
              <w:t>submarines and space craft crews</w:t>
            </w:r>
            <w:r>
              <w:t>:</w:t>
            </w:r>
            <w:r w:rsidR="006D2836">
              <w:t xml:space="preserve"> </w:t>
            </w:r>
          </w:p>
          <w:p w14:paraId="0B0341CC" w14:textId="1D74193A" w:rsidR="008C4AE7" w:rsidRDefault="005279D3" w:rsidP="004A761D">
            <w:pPr>
              <w:pStyle w:val="ListBullet"/>
              <w:numPr>
                <w:ilvl w:val="0"/>
                <w:numId w:val="2"/>
              </w:numPr>
              <w:spacing w:before="60" w:after="60"/>
              <w:contextualSpacing w:val="0"/>
            </w:pPr>
            <w:r>
              <w:t xml:space="preserve">symptoms included </w:t>
            </w:r>
            <w:r w:rsidR="006D2836">
              <w:t xml:space="preserve">loss of appetite, extreme nausea, vomiting, itchy eyes, sore gums, intense jaw pain, headaches and welts on face and mouth </w:t>
            </w:r>
          </w:p>
          <w:p w14:paraId="58FE1340" w14:textId="331D8947" w:rsidR="006D2836" w:rsidRDefault="008C4AE7" w:rsidP="004A761D">
            <w:pPr>
              <w:pStyle w:val="ListBullet"/>
              <w:numPr>
                <w:ilvl w:val="0"/>
                <w:numId w:val="2"/>
              </w:numPr>
              <w:spacing w:before="60" w:after="60"/>
              <w:contextualSpacing w:val="0"/>
            </w:pPr>
            <w:r>
              <w:t>d</w:t>
            </w:r>
            <w:r w:rsidR="006D2836">
              <w:t xml:space="preserve">isabling nausea experienced by 85% of individuals exposed for prolonged periods at </w:t>
            </w:r>
            <w:r w:rsidR="001745D5">
              <w:t>0.5</w:t>
            </w:r>
            <w:r w:rsidR="00955AC0">
              <w:t>–</w:t>
            </w:r>
            <w:r w:rsidR="00271151">
              <w:t>1.0 ppm</w:t>
            </w:r>
          </w:p>
          <w:p w14:paraId="26355265" w14:textId="02B503F1" w:rsidR="006D2836" w:rsidRDefault="00B91C58" w:rsidP="004A761D">
            <w:pPr>
              <w:pStyle w:val="ListBullet"/>
              <w:spacing w:before="60" w:after="60"/>
              <w:ind w:left="714" w:hanging="357"/>
              <w:contextualSpacing w:val="0"/>
            </w:pPr>
            <w:r>
              <w:t>P</w:t>
            </w:r>
            <w:r w:rsidR="006D2836">
              <w:t xml:space="preserve">oisoning of </w:t>
            </w:r>
            <w:r w:rsidR="008C4AE7">
              <w:t xml:space="preserve">2 </w:t>
            </w:r>
            <w:r w:rsidR="006D2836">
              <w:t>workers reported after cleaning a tank containing vinylidene chloride copolymers; the workers experienced polyneuritis of the cranial nerves, amongst oth</w:t>
            </w:r>
            <w:r w:rsidR="00271151">
              <w:t>er nerve and muscle impairments</w:t>
            </w:r>
          </w:p>
          <w:p w14:paraId="28A06697" w14:textId="1FD2AFC6" w:rsidR="00955AC0" w:rsidRDefault="006D2836" w:rsidP="006D5713">
            <w:pPr>
              <w:pStyle w:val="ListBullet"/>
              <w:spacing w:before="60" w:after="60"/>
              <w:ind w:left="714" w:hanging="357"/>
              <w:contextualSpacing w:val="0"/>
            </w:pPr>
            <w:r>
              <w:t>Research suggests that DCA is often the cause of poisonings attributed to vinylidene chloride</w:t>
            </w:r>
            <w:r w:rsidR="00955AC0">
              <w:t>.</w:t>
            </w:r>
          </w:p>
          <w:p w14:paraId="2701423E" w14:textId="53EC9ED5" w:rsidR="006D2836" w:rsidRDefault="006D2836" w:rsidP="00B91C58">
            <w:pPr>
              <w:pStyle w:val="ListBullet"/>
              <w:numPr>
                <w:ilvl w:val="0"/>
                <w:numId w:val="0"/>
              </w:numPr>
              <w:ind w:left="360" w:hanging="360"/>
            </w:pPr>
            <w:r>
              <w:t>Animal data:</w:t>
            </w:r>
          </w:p>
          <w:p w14:paraId="6A23C003" w14:textId="77798972" w:rsidR="008C4AE7" w:rsidRDefault="00B91C58" w:rsidP="004A761D">
            <w:pPr>
              <w:pStyle w:val="ListBullet"/>
              <w:spacing w:before="60" w:after="60"/>
              <w:ind w:left="714" w:hanging="357"/>
              <w:contextualSpacing w:val="0"/>
            </w:pPr>
            <w:r>
              <w:t>LC</w:t>
            </w:r>
            <w:r w:rsidRPr="001745D5">
              <w:rPr>
                <w:vertAlign w:val="subscript"/>
              </w:rPr>
              <w:t>50</w:t>
            </w:r>
            <w:r>
              <w:t>: 12</w:t>
            </w:r>
            <w:r w:rsidR="00955AC0">
              <w:t xml:space="preserve">4 </w:t>
            </w:r>
            <w:r>
              <w:t>ppm</w:t>
            </w:r>
            <w:r w:rsidR="001745D5">
              <w:t xml:space="preserve"> (mice, 1 h); 19</w:t>
            </w:r>
            <w:r w:rsidR="00955AC0">
              <w:t xml:space="preserve"> </w:t>
            </w:r>
            <w:r w:rsidR="001745D5">
              <w:t>ppm (mice, 6 h)</w:t>
            </w:r>
            <w:r w:rsidR="008C4AE7">
              <w:t>:</w:t>
            </w:r>
            <w:r w:rsidR="006D2836">
              <w:t xml:space="preserve"> </w:t>
            </w:r>
          </w:p>
          <w:p w14:paraId="4A2890B0" w14:textId="1E3D0077" w:rsidR="008C4AE7" w:rsidRDefault="008C4AE7" w:rsidP="004A761D">
            <w:pPr>
              <w:pStyle w:val="ListBullet"/>
              <w:numPr>
                <w:ilvl w:val="0"/>
                <w:numId w:val="3"/>
              </w:numPr>
              <w:spacing w:before="60" w:after="60"/>
              <w:contextualSpacing w:val="0"/>
            </w:pPr>
            <w:r>
              <w:t>d</w:t>
            </w:r>
            <w:r w:rsidR="006D2836">
              <w:t>eaths attributed to acute renal failure due to necrosis of the kidney tubules in the corticomedullary area</w:t>
            </w:r>
            <w:r w:rsidR="00E82B9B">
              <w:t xml:space="preserve">. </w:t>
            </w:r>
          </w:p>
          <w:p w14:paraId="68B33BE3" w14:textId="7F32D8A2" w:rsidR="00E82B9B" w:rsidRDefault="008C4AE7" w:rsidP="004A761D">
            <w:pPr>
              <w:pStyle w:val="ListBullet"/>
              <w:numPr>
                <w:ilvl w:val="0"/>
                <w:numId w:val="3"/>
              </w:numPr>
              <w:spacing w:before="60" w:after="60"/>
              <w:contextualSpacing w:val="0"/>
            </w:pPr>
            <w:r>
              <w:t>d</w:t>
            </w:r>
            <w:r w:rsidR="00E82B9B">
              <w:t>rain impairments consistent with neurotoxic symptoms observed in humans after DCA</w:t>
            </w:r>
            <w:r w:rsidR="00271151">
              <w:t xml:space="preserve"> intoxication evident</w:t>
            </w:r>
            <w:r w:rsidR="00E82B9B">
              <w:t xml:space="preserve"> </w:t>
            </w:r>
          </w:p>
          <w:p w14:paraId="37ECC2E5" w14:textId="7389D3C4" w:rsidR="004D2936" w:rsidRDefault="00E82B9B" w:rsidP="004A761D">
            <w:pPr>
              <w:pStyle w:val="ListBullet"/>
              <w:spacing w:before="60" w:after="60"/>
              <w:ind w:left="714" w:hanging="357"/>
              <w:contextualSpacing w:val="0"/>
            </w:pPr>
            <w:r>
              <w:t xml:space="preserve">Rats subjected to DCA-TCE mixtures at 2.8, 9.8 and 15.5 ppm for 6 h/d, 5 d/wk for 6 </w:t>
            </w:r>
            <w:r w:rsidR="009F66AD">
              <w:t>wk</w:t>
            </w:r>
            <w:r w:rsidR="004D2936">
              <w:t>:</w:t>
            </w:r>
            <w:r>
              <w:t xml:space="preserve"> </w:t>
            </w:r>
          </w:p>
          <w:p w14:paraId="20C3C763" w14:textId="1B5FC3D5" w:rsidR="008C4AE7" w:rsidRDefault="004D2936" w:rsidP="004A761D">
            <w:pPr>
              <w:pStyle w:val="ListBullet"/>
              <w:numPr>
                <w:ilvl w:val="0"/>
                <w:numId w:val="5"/>
              </w:numPr>
              <w:spacing w:before="60" w:after="60"/>
              <w:contextualSpacing w:val="0"/>
            </w:pPr>
            <w:r>
              <w:t>a</w:t>
            </w:r>
            <w:r w:rsidR="00E82B9B">
              <w:t xml:space="preserve"> continuous 90</w:t>
            </w:r>
            <w:r w:rsidR="00955AC0">
              <w:t xml:space="preserve"> </w:t>
            </w:r>
            <w:r w:rsidR="00E82B9B">
              <w:t xml:space="preserve">d exposure at 2.8 ppm was also conducted </w:t>
            </w:r>
          </w:p>
          <w:p w14:paraId="0EB68003" w14:textId="74EF6BC2" w:rsidR="008C4AE7" w:rsidRDefault="004D2936" w:rsidP="004A761D">
            <w:pPr>
              <w:pStyle w:val="ListBullet"/>
              <w:numPr>
                <w:ilvl w:val="0"/>
                <w:numId w:val="4"/>
              </w:numPr>
              <w:spacing w:before="60" w:after="60"/>
              <w:contextualSpacing w:val="0"/>
            </w:pPr>
            <w:r>
              <w:t>r</w:t>
            </w:r>
            <w:r w:rsidR="00E82B9B">
              <w:t>ats in all exposure scenarios experienced a slower rate (than controls) of weight gain/loss</w:t>
            </w:r>
            <w:r w:rsidR="006B51BB">
              <w:t xml:space="preserve"> and pronounced morphological changes in the kidneys</w:t>
            </w:r>
            <w:r w:rsidR="00E82B9B">
              <w:t xml:space="preserve"> </w:t>
            </w:r>
          </w:p>
          <w:p w14:paraId="76571CA3" w14:textId="25331D9D" w:rsidR="006D2836" w:rsidRDefault="004D2936" w:rsidP="004A761D">
            <w:pPr>
              <w:pStyle w:val="ListBullet"/>
              <w:numPr>
                <w:ilvl w:val="0"/>
                <w:numId w:val="4"/>
              </w:numPr>
              <w:spacing w:before="60" w:after="60"/>
              <w:contextualSpacing w:val="0"/>
            </w:pPr>
            <w:r>
              <w:t>r</w:t>
            </w:r>
            <w:r w:rsidR="00E82B9B">
              <w:t>ats in the 2.8 ppm continuous exposure scenario showed neurological involvement with bl</w:t>
            </w:r>
            <w:r w:rsidR="000A1552">
              <w:t>indness and hind</w:t>
            </w:r>
            <w:r w:rsidR="001745D5">
              <w:t xml:space="preserve"> </w:t>
            </w:r>
            <w:r w:rsidR="000A1552">
              <w:t>leg weakness</w:t>
            </w:r>
            <w:r w:rsidR="00E82B9B">
              <w:t xml:space="preserve"> </w:t>
            </w:r>
          </w:p>
          <w:p w14:paraId="36B7B46E" w14:textId="77777777" w:rsidR="004D2936" w:rsidRDefault="006B51BB" w:rsidP="004A761D">
            <w:pPr>
              <w:pStyle w:val="ListBullet"/>
              <w:spacing w:before="60" w:after="60"/>
              <w:ind w:left="714" w:hanging="357"/>
              <w:contextualSpacing w:val="0"/>
            </w:pPr>
            <w:r>
              <w:t xml:space="preserve">Multiple studies designed to </w:t>
            </w:r>
            <w:r w:rsidR="00F02EA5">
              <w:t>understand</w:t>
            </w:r>
            <w:r>
              <w:t xml:space="preserve"> the carcinogenicity</w:t>
            </w:r>
            <w:r w:rsidR="004D2936">
              <w:t>:</w:t>
            </w:r>
            <w:r>
              <w:t xml:space="preserve"> </w:t>
            </w:r>
          </w:p>
          <w:p w14:paraId="1CFCD00E" w14:textId="07FD8E0F" w:rsidR="00C978F0" w:rsidRDefault="001901A7" w:rsidP="004A761D">
            <w:pPr>
              <w:pStyle w:val="ListBullet"/>
              <w:numPr>
                <w:ilvl w:val="0"/>
                <w:numId w:val="6"/>
              </w:numPr>
              <w:spacing w:before="60" w:after="60"/>
              <w:contextualSpacing w:val="0"/>
            </w:pPr>
            <w:r>
              <w:t>M</w:t>
            </w:r>
            <w:r w:rsidR="006B51BB">
              <w:t>ice</w:t>
            </w:r>
            <w:r>
              <w:t xml:space="preserve"> and </w:t>
            </w:r>
            <w:r w:rsidR="006B51BB">
              <w:t xml:space="preserve">rats exposed </w:t>
            </w:r>
            <w:r w:rsidR="00D36D6C">
              <w:rPr>
                <w:iCs/>
              </w:rPr>
              <w:t xml:space="preserve">by </w:t>
            </w:r>
            <w:r>
              <w:t xml:space="preserve">inhalation at </w:t>
            </w:r>
            <w:r w:rsidR="00F02EA5">
              <w:t>2</w:t>
            </w:r>
            <w:r w:rsidR="00955AC0">
              <w:t>–</w:t>
            </w:r>
            <w:r w:rsidR="00F02EA5">
              <w:t>14 ppm for 6 h/d, 1</w:t>
            </w:r>
            <w:r w:rsidR="00955AC0">
              <w:t>–</w:t>
            </w:r>
            <w:r w:rsidR="00F02EA5">
              <w:t>2 d/wk, for 12</w:t>
            </w:r>
            <w:r w:rsidR="00955AC0">
              <w:t>–</w:t>
            </w:r>
            <w:r w:rsidR="00F02EA5">
              <w:t xml:space="preserve">18 mo, </w:t>
            </w:r>
            <w:r w:rsidR="00D36D6C">
              <w:t xml:space="preserve">were reported to have </w:t>
            </w:r>
            <w:r w:rsidR="00F02EA5">
              <w:t xml:space="preserve">increased incidences of adenocarcinomas and cystadenomas of the kidneys </w:t>
            </w:r>
            <w:r w:rsidR="00385705">
              <w:t>and</w:t>
            </w:r>
            <w:r w:rsidR="00F02EA5">
              <w:t xml:space="preserve"> cholangiomas of the liver. </w:t>
            </w:r>
          </w:p>
          <w:p w14:paraId="77E767FD" w14:textId="32E1D6DE" w:rsidR="00955AC0" w:rsidRPr="00DA352E" w:rsidRDefault="00955AC0" w:rsidP="008C4AE7">
            <w:pPr>
              <w:pStyle w:val="ListBullet"/>
              <w:numPr>
                <w:ilvl w:val="0"/>
                <w:numId w:val="0"/>
              </w:numPr>
              <w:ind w:left="720"/>
            </w:pPr>
          </w:p>
        </w:tc>
      </w:tr>
      <w:tr w:rsidR="00C978F0" w:rsidRPr="00DA352E" w14:paraId="3F10FD60" w14:textId="77777777" w:rsidTr="00DE26E8">
        <w:trPr>
          <w:gridAfter w:val="1"/>
          <w:wAfter w:w="8" w:type="pct"/>
          <w:cantSplit/>
        </w:trPr>
        <w:tc>
          <w:tcPr>
            <w:tcW w:w="4992" w:type="pct"/>
            <w:shd w:val="clear" w:color="auto" w:fill="F2F2F2" w:themeFill="background1" w:themeFillShade="F2"/>
          </w:tcPr>
          <w:p w14:paraId="5C5835B3"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E221A1">
                  <w:t>1993</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E221A1">
                  <w:t>Not assigned</w:t>
                </w:r>
              </w:sdtContent>
            </w:sdt>
          </w:p>
        </w:tc>
      </w:tr>
      <w:tr w:rsidR="00C978F0" w:rsidRPr="00DA352E" w14:paraId="534DD58C" w14:textId="77777777" w:rsidTr="00DE26E8">
        <w:trPr>
          <w:gridAfter w:val="1"/>
          <w:wAfter w:w="8" w:type="pct"/>
          <w:cantSplit/>
        </w:trPr>
        <w:tc>
          <w:tcPr>
            <w:tcW w:w="4992" w:type="pct"/>
          </w:tcPr>
          <w:p w14:paraId="09D5348E" w14:textId="195BDED9" w:rsidR="00C978F0" w:rsidRPr="00DA352E" w:rsidRDefault="009F66AD" w:rsidP="001901A7">
            <w:pPr>
              <w:pStyle w:val="Tabletextprimarysource"/>
            </w:pPr>
            <w:r>
              <w:t xml:space="preserve">No </w:t>
            </w:r>
            <w:r w:rsidR="001901A7">
              <w:t xml:space="preserve">additional </w:t>
            </w:r>
            <w:r>
              <w:t>information</w:t>
            </w:r>
            <w:r w:rsidR="00BD7BAB">
              <w:t>.</w:t>
            </w:r>
          </w:p>
        </w:tc>
      </w:tr>
      <w:tr w:rsidR="00C978F0" w:rsidRPr="00DA352E" w14:paraId="43A8F852" w14:textId="77777777" w:rsidTr="00DE26E8">
        <w:trPr>
          <w:gridAfter w:val="1"/>
          <w:wAfter w:w="8" w:type="pct"/>
          <w:cantSplit/>
        </w:trPr>
        <w:tc>
          <w:tcPr>
            <w:tcW w:w="4992" w:type="pct"/>
            <w:shd w:val="clear" w:color="auto" w:fill="F2F2F2" w:themeFill="background1" w:themeFillShade="F2"/>
          </w:tcPr>
          <w:p w14:paraId="6C062AE8" w14:textId="77777777"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EndPr/>
              <w:sdtContent>
                <w:r w:rsidR="00E221A1">
                  <w:t>NA</w:t>
                </w:r>
              </w:sdtContent>
            </w:sdt>
            <w:r w:rsidR="00916EC0" w:rsidRPr="003365A5">
              <w:tab/>
            </w:r>
            <w:r w:rsidR="0051509C">
              <w:tab/>
            </w:r>
            <w:sdt>
              <w:sdtPr>
                <w:alias w:val="SCOEL WES equivalent"/>
                <w:tag w:val="SCOEL WES equivalent"/>
                <w:id w:val="-1474213062"/>
                <w:placeholder>
                  <w:docPart w:val="9E827C9D0DA949E385F2E9AB4264125E"/>
                </w:placeholder>
              </w:sdtPr>
              <w:sdtEndPr/>
              <w:sdtContent>
                <w:r w:rsidR="00E221A1">
                  <w:t>NA</w:t>
                </w:r>
              </w:sdtContent>
            </w:sdt>
          </w:p>
        </w:tc>
      </w:tr>
      <w:tr w:rsidR="00C978F0" w:rsidRPr="00DA352E" w14:paraId="17E1C2A4" w14:textId="77777777" w:rsidTr="00DE26E8">
        <w:trPr>
          <w:gridAfter w:val="1"/>
          <w:wAfter w:w="8" w:type="pct"/>
          <w:cantSplit/>
        </w:trPr>
        <w:tc>
          <w:tcPr>
            <w:tcW w:w="4992" w:type="pct"/>
          </w:tcPr>
          <w:p w14:paraId="444B4D50" w14:textId="0775420F" w:rsidR="00C978F0" w:rsidRPr="00DA352E" w:rsidRDefault="009F66AD" w:rsidP="003365A5">
            <w:pPr>
              <w:pStyle w:val="Tabletextprimarysource"/>
            </w:pPr>
            <w:r>
              <w:t>No Report</w:t>
            </w:r>
            <w:r w:rsidR="00BD7BAB">
              <w:t>.</w:t>
            </w:r>
          </w:p>
        </w:tc>
      </w:tr>
      <w:tr w:rsidR="00DA352E" w:rsidRPr="00DA352E" w14:paraId="2E481D99" w14:textId="77777777" w:rsidTr="00DE26E8">
        <w:trPr>
          <w:gridAfter w:val="1"/>
          <w:wAfter w:w="8" w:type="pct"/>
          <w:cantSplit/>
        </w:trPr>
        <w:tc>
          <w:tcPr>
            <w:tcW w:w="4992" w:type="pct"/>
            <w:shd w:val="clear" w:color="auto" w:fill="F2F2F2" w:themeFill="background1" w:themeFillShade="F2"/>
          </w:tcPr>
          <w:p w14:paraId="4AF4D97B" w14:textId="77777777"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EndPr/>
              <w:sdtContent>
                <w:r w:rsidR="00E221A1">
                  <w:t>NA</w:t>
                </w:r>
              </w:sdtContent>
            </w:sdt>
            <w:r w:rsidR="00916EC0" w:rsidRPr="003365A5">
              <w:tab/>
            </w:r>
            <w:r w:rsidR="0051509C">
              <w:tab/>
            </w:r>
            <w:sdt>
              <w:sdtPr>
                <w:alias w:val="OARS/AIHA WES equivalent"/>
                <w:tag w:val="OARS/AIHA WES equivalent"/>
                <w:id w:val="-1320338798"/>
                <w:placeholder>
                  <w:docPart w:val="5E4DD00C3A334F93BF5CC79754EBC5EA"/>
                </w:placeholder>
              </w:sdtPr>
              <w:sdtEndPr/>
              <w:sdtContent>
                <w:r w:rsidR="00E221A1">
                  <w:t>NA</w:t>
                </w:r>
              </w:sdtContent>
            </w:sdt>
          </w:p>
        </w:tc>
      </w:tr>
      <w:tr w:rsidR="00DA352E" w:rsidRPr="00DA352E" w14:paraId="7D8012F9" w14:textId="77777777" w:rsidTr="00DE26E8">
        <w:trPr>
          <w:gridAfter w:val="1"/>
          <w:wAfter w:w="8" w:type="pct"/>
          <w:cantSplit/>
        </w:trPr>
        <w:tc>
          <w:tcPr>
            <w:tcW w:w="4992" w:type="pct"/>
          </w:tcPr>
          <w:p w14:paraId="1FA44F39" w14:textId="6226B1E0" w:rsidR="00DA352E" w:rsidRPr="00DA352E" w:rsidRDefault="009F66AD" w:rsidP="003365A5">
            <w:pPr>
              <w:pStyle w:val="Tabletextprimarysource"/>
            </w:pPr>
            <w:r>
              <w:t>No</w:t>
            </w:r>
            <w:r w:rsidR="00E221A1">
              <w:t xml:space="preserve"> </w:t>
            </w:r>
            <w:r>
              <w:t>Report</w:t>
            </w:r>
            <w:r w:rsidR="00BD7BAB">
              <w:t>.</w:t>
            </w:r>
          </w:p>
        </w:tc>
      </w:tr>
      <w:tr w:rsidR="00DA352E" w:rsidRPr="00DA352E" w14:paraId="77762A8A" w14:textId="77777777" w:rsidTr="00DE26E8">
        <w:trPr>
          <w:gridAfter w:val="1"/>
          <w:wAfter w:w="8" w:type="pct"/>
          <w:cantSplit/>
        </w:trPr>
        <w:tc>
          <w:tcPr>
            <w:tcW w:w="4992" w:type="pct"/>
            <w:shd w:val="clear" w:color="auto" w:fill="F2F2F2" w:themeFill="background1" w:themeFillShade="F2"/>
          </w:tcPr>
          <w:p w14:paraId="3564CF6C" w14:textId="2280E6DD" w:rsidR="000F31FC" w:rsidRPr="002D281D"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EndPr/>
              <w:sdtContent>
                <w:r w:rsidR="00863DFC" w:rsidRPr="000F31FC">
                  <w:t>2002</w:t>
                </w:r>
              </w:sdtContent>
            </w:sdt>
            <w:r w:rsidR="00916EC0" w:rsidRPr="003365A5">
              <w:tab/>
            </w:r>
            <w:r w:rsidR="0051509C">
              <w:tab/>
            </w:r>
            <w:sdt>
              <w:sdtPr>
                <w:alias w:val="HCOTN WES equivalent"/>
                <w:tag w:val="HCOTN WES equivalent"/>
                <w:id w:val="1471562734"/>
                <w:placeholder>
                  <w:docPart w:val="F3D4204BA37A4A21A656C76DA4274412"/>
                </w:placeholder>
              </w:sdtPr>
              <w:sdtEndPr/>
              <w:sdtContent>
                <w:r w:rsidR="00863DFC" w:rsidRPr="000F31FC">
                  <w:t>Not assigned</w:t>
                </w:r>
              </w:sdtContent>
            </w:sdt>
          </w:p>
        </w:tc>
      </w:tr>
      <w:tr w:rsidR="00DA352E" w:rsidRPr="00DA352E" w14:paraId="50D3F460" w14:textId="77777777" w:rsidTr="00DE26E8">
        <w:trPr>
          <w:gridAfter w:val="1"/>
          <w:wAfter w:w="8" w:type="pct"/>
          <w:cantSplit/>
        </w:trPr>
        <w:tc>
          <w:tcPr>
            <w:tcW w:w="4992" w:type="pct"/>
          </w:tcPr>
          <w:p w14:paraId="6CA21D82" w14:textId="68E142BD" w:rsidR="00BD7BAB" w:rsidRDefault="00BD7BAB" w:rsidP="004A761D">
            <w:pPr>
              <w:pStyle w:val="ListBullet"/>
              <w:numPr>
                <w:ilvl w:val="0"/>
                <w:numId w:val="0"/>
              </w:numPr>
              <w:spacing w:before="60" w:after="60"/>
              <w:ind w:left="360" w:hanging="360"/>
              <w:contextualSpacing w:val="0"/>
            </w:pPr>
            <w:r>
              <w:t>Summary of additional data:</w:t>
            </w:r>
          </w:p>
          <w:p w14:paraId="36CB755B" w14:textId="7A5409CB" w:rsidR="009F66AD" w:rsidRDefault="00F3421A" w:rsidP="004A761D">
            <w:pPr>
              <w:pStyle w:val="ListBullet"/>
              <w:spacing w:before="60" w:after="60"/>
              <w:ind w:left="714" w:hanging="357"/>
              <w:contextualSpacing w:val="0"/>
            </w:pPr>
            <w:r>
              <w:t xml:space="preserve">A </w:t>
            </w:r>
            <w:r w:rsidR="00385705">
              <w:t xml:space="preserve">human </w:t>
            </w:r>
            <w:r>
              <w:t>carcinogenic evaluation carried out review</w:t>
            </w:r>
            <w:r w:rsidR="00385705">
              <w:t>ed</w:t>
            </w:r>
            <w:r>
              <w:t xml:space="preserve"> multiple animal studies (</w:t>
            </w:r>
            <w:r w:rsidR="00385705">
              <w:t>as per ACGIH</w:t>
            </w:r>
            <w:r>
              <w:t xml:space="preserve">) and several IARC evaluations </w:t>
            </w:r>
          </w:p>
          <w:p w14:paraId="4FFA0051" w14:textId="2AD94428" w:rsidR="004D2936" w:rsidRDefault="00F3421A" w:rsidP="004A761D">
            <w:pPr>
              <w:pStyle w:val="ListBullet"/>
              <w:spacing w:before="60" w:after="60"/>
              <w:ind w:left="714" w:hanging="357"/>
              <w:contextualSpacing w:val="0"/>
            </w:pPr>
            <w:r>
              <w:t xml:space="preserve">The evaluation concluded that DCA has been insufficiently investigated and whilst the data does not warrant a classification as “carcinogenic to humans”, there remains cause for concern </w:t>
            </w:r>
          </w:p>
          <w:p w14:paraId="14E4D3CA" w14:textId="1FF3330B" w:rsidR="00DA352E" w:rsidRDefault="00F878EA" w:rsidP="004A761D">
            <w:pPr>
              <w:pStyle w:val="ListBullet"/>
              <w:spacing w:before="60" w:after="60"/>
              <w:ind w:left="714" w:hanging="357"/>
              <w:contextualSpacing w:val="0"/>
            </w:pPr>
            <w:r>
              <w:t>Recommended classification</w:t>
            </w:r>
            <w:r w:rsidR="00F3421A">
              <w:t xml:space="preserve"> as </w:t>
            </w:r>
            <w:r>
              <w:t xml:space="preserve">a </w:t>
            </w:r>
            <w:r w:rsidR="00F3421A">
              <w:t xml:space="preserve">suspected carcinogen to humans. </w:t>
            </w:r>
          </w:p>
          <w:p w14:paraId="0B4AD4D7" w14:textId="526F5A37" w:rsidR="00955AC0" w:rsidRPr="00DA352E" w:rsidRDefault="00955AC0" w:rsidP="008C4AE7">
            <w:pPr>
              <w:pStyle w:val="ListBullet"/>
              <w:numPr>
                <w:ilvl w:val="0"/>
                <w:numId w:val="0"/>
              </w:numPr>
              <w:ind w:left="720"/>
            </w:pPr>
          </w:p>
        </w:tc>
      </w:tr>
    </w:tbl>
    <w:p w14:paraId="6E52F085" w14:textId="5AD008C3" w:rsidR="00A20751" w:rsidRDefault="00A20751" w:rsidP="003365A5">
      <w:pPr>
        <w:pStyle w:val="Heading3"/>
      </w:pPr>
      <w:bookmarkStart w:id="0" w:name="SecondSource"/>
      <w:r w:rsidRPr="004C23F4">
        <w:t xml:space="preserve">Secondary </w:t>
      </w:r>
      <w:r w:rsidR="0088798F">
        <w:t xml:space="preserve">source reports relied upon </w:t>
      </w:r>
    </w:p>
    <w:p w14:paraId="79ED1A98" w14:textId="05754BF4" w:rsidR="00EC0478" w:rsidRPr="001745D5" w:rsidRDefault="00EC0478" w:rsidP="001745D5">
      <w:r>
        <w:rPr>
          <w:lang w:eastAsia="en-AU"/>
        </w:rPr>
        <w:t>NIL</w:t>
      </w:r>
      <w:r w:rsidR="001901A7">
        <w:rPr>
          <w:lang w:eastAsia="en-AU"/>
        </w:rPr>
        <w:t>.</w:t>
      </w:r>
    </w:p>
    <w:bookmarkEnd w:id="0"/>
    <w:p w14:paraId="67F38764"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597"/>
        <w:gridCol w:w="2429"/>
      </w:tblGrid>
      <w:tr w:rsidR="002E0D61" w14:paraId="4CD2F155" w14:textId="77777777" w:rsidTr="001745D5">
        <w:trPr>
          <w:trHeight w:val="454"/>
          <w:tblHeader/>
        </w:trPr>
        <w:tc>
          <w:tcPr>
            <w:tcW w:w="6597" w:type="dxa"/>
            <w:vAlign w:val="center"/>
          </w:tcPr>
          <w:p w14:paraId="049DF540"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9" w:type="dxa"/>
                <w:vAlign w:val="center"/>
              </w:tcPr>
              <w:p w14:paraId="3AD65DA2" w14:textId="1878A172" w:rsidR="002E0D61" w:rsidRDefault="00CD30EC" w:rsidP="00C3091E">
                <w:pPr>
                  <w:pStyle w:val="Tablefont"/>
                  <w:keepNext/>
                  <w:keepLines/>
                  <w:spacing w:before="40" w:after="40"/>
                </w:pPr>
                <w:r>
                  <w:t>Insufficient data</w:t>
                </w:r>
              </w:p>
            </w:tc>
          </w:sdtContent>
        </w:sdt>
      </w:tr>
      <w:tr w:rsidR="008A36CF" w14:paraId="562908BD" w14:textId="77777777" w:rsidTr="001745D5">
        <w:trPr>
          <w:trHeight w:val="454"/>
        </w:trPr>
        <w:tc>
          <w:tcPr>
            <w:tcW w:w="6597" w:type="dxa"/>
            <w:vAlign w:val="center"/>
          </w:tcPr>
          <w:p w14:paraId="53812FC8" w14:textId="77777777" w:rsidR="008A36CF" w:rsidRDefault="008A36CF" w:rsidP="008A36CF">
            <w:pPr>
              <w:pStyle w:val="Tablefont"/>
              <w:keepNext/>
              <w:keepLines/>
              <w:spacing w:before="40" w:after="40"/>
            </w:pPr>
            <w:r>
              <w:t>Is the chemical carcinogenic with a mutagenic mechanism of action?</w:t>
            </w:r>
          </w:p>
        </w:tc>
        <w:sdt>
          <w:sdtPr>
            <w:id w:val="-1035572737"/>
            <w:placeholder>
              <w:docPart w:val="5CBFEC560F894890BBD09B93174FFAE0"/>
            </w:placeholder>
            <w:comboBox>
              <w:listItem w:value="Choose an item."/>
              <w:listItem w:displayText="Yes" w:value="Yes"/>
              <w:listItem w:displayText="No" w:value="No"/>
              <w:listItem w:displayText="Insufficient data" w:value="Insufficient data"/>
              <w:listItem w:displayText="NA" w:value="NA"/>
            </w:comboBox>
          </w:sdtPr>
          <w:sdtEndPr/>
          <w:sdtContent>
            <w:tc>
              <w:tcPr>
                <w:tcW w:w="2429" w:type="dxa"/>
                <w:vAlign w:val="center"/>
              </w:tcPr>
              <w:p w14:paraId="1E12E6B2" w14:textId="1E5943AD" w:rsidR="008A36CF" w:rsidRDefault="00CD30EC" w:rsidP="008A36CF">
                <w:pPr>
                  <w:pStyle w:val="Tablefont"/>
                  <w:keepNext/>
                  <w:keepLines/>
                  <w:spacing w:before="40" w:after="40"/>
                </w:pPr>
                <w:r>
                  <w:t>Insufficient data</w:t>
                </w:r>
              </w:p>
            </w:tc>
          </w:sdtContent>
        </w:sdt>
      </w:tr>
      <w:tr w:rsidR="001901A7" w14:paraId="09853A4A" w14:textId="77777777" w:rsidTr="00FC28B6">
        <w:trPr>
          <w:trHeight w:val="454"/>
        </w:trPr>
        <w:sdt>
          <w:sdtPr>
            <w:rPr>
              <w:b/>
            </w:rPr>
            <w:id w:val="1830936485"/>
            <w:placeholder>
              <w:docPart w:val="45AD322AC0724419990096B5B2AB1691"/>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9026" w:type="dxa"/>
                <w:gridSpan w:val="2"/>
                <w:vAlign w:val="center"/>
              </w:tcPr>
              <w:p w14:paraId="0048F254" w14:textId="52C41E62" w:rsidR="001901A7" w:rsidRDefault="001901A7" w:rsidP="008A36CF">
                <w:pPr>
                  <w:pStyle w:val="Tablefont"/>
                  <w:keepNext/>
                  <w:keepLines/>
                  <w:spacing w:before="40" w:after="40"/>
                </w:pPr>
                <w:r>
                  <w:rPr>
                    <w:b/>
                  </w:rPr>
                  <w:t>Insufficient data are available to determine if the chemical is a non-threshold based genotoxic carcinogen.</w:t>
                </w:r>
              </w:p>
            </w:tc>
          </w:sdtContent>
        </w:sdt>
      </w:tr>
    </w:tbl>
    <w:bookmarkEnd w:id="1"/>
    <w:p w14:paraId="012A0B0E"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03C6E89F" w14:textId="77777777" w:rsidTr="00812887">
        <w:trPr>
          <w:cantSplit/>
          <w:tblHeader/>
        </w:trPr>
        <w:tc>
          <w:tcPr>
            <w:tcW w:w="3227" w:type="dxa"/>
            <w:shd w:val="clear" w:color="auto" w:fill="BFBFBF" w:themeFill="background1" w:themeFillShade="BF"/>
            <w:vAlign w:val="center"/>
          </w:tcPr>
          <w:p w14:paraId="44F6CB69"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4AE6653E" w14:textId="77777777" w:rsidR="00687890" w:rsidRPr="004C23F4" w:rsidRDefault="00687890" w:rsidP="00F4402E">
            <w:pPr>
              <w:pStyle w:val="Tableheader"/>
              <w:tabs>
                <w:tab w:val="right" w:pos="5272"/>
              </w:tabs>
            </w:pPr>
            <w:r w:rsidRPr="004C23F4">
              <w:t>Notations</w:t>
            </w:r>
            <w:r w:rsidR="003A2B94">
              <w:tab/>
            </w:r>
          </w:p>
        </w:tc>
      </w:tr>
      <w:tr w:rsidR="00687890" w:rsidRPr="004C23F4" w14:paraId="47039287" w14:textId="77777777" w:rsidTr="00812887">
        <w:trPr>
          <w:cantSplit/>
        </w:trPr>
        <w:tc>
          <w:tcPr>
            <w:tcW w:w="3227" w:type="dxa"/>
          </w:tcPr>
          <w:p w14:paraId="00D6E139" w14:textId="77777777" w:rsidR="004079B4" w:rsidRPr="004C23F4" w:rsidRDefault="00084513" w:rsidP="00F4402E">
            <w:pPr>
              <w:pStyle w:val="Tablefont"/>
            </w:pPr>
            <w:r w:rsidRPr="004C23F4">
              <w:t>SWA</w:t>
            </w:r>
          </w:p>
        </w:tc>
        <w:tc>
          <w:tcPr>
            <w:tcW w:w="6015" w:type="dxa"/>
          </w:tcPr>
          <w:p w14:paraId="4E8B09CB" w14:textId="3A8265F7" w:rsidR="00687890" w:rsidRPr="009F66AD" w:rsidRDefault="00B301D4" w:rsidP="00DD2F9B">
            <w:pPr>
              <w:pStyle w:val="Tablefont"/>
              <w:rPr>
                <w:rFonts w:cs="Arial"/>
                <w:szCs w:val="20"/>
              </w:rPr>
            </w:pPr>
            <w:r w:rsidRPr="009F66AD">
              <w:rPr>
                <w:rFonts w:cs="Arial"/>
                <w:szCs w:val="20"/>
                <w:lang w:val="en"/>
              </w:rPr>
              <w:t>Carc. 2</w:t>
            </w:r>
          </w:p>
        </w:tc>
      </w:tr>
      <w:tr w:rsidR="007925F0" w:rsidRPr="004C23F4" w14:paraId="04D49F4C" w14:textId="77777777" w:rsidTr="00812887">
        <w:trPr>
          <w:cantSplit/>
        </w:trPr>
        <w:tc>
          <w:tcPr>
            <w:tcW w:w="3227" w:type="dxa"/>
          </w:tcPr>
          <w:p w14:paraId="6F192BEB" w14:textId="77777777" w:rsidR="004079B4" w:rsidRPr="004C23F4" w:rsidRDefault="007925F0" w:rsidP="00F4402E">
            <w:pPr>
              <w:pStyle w:val="Tablefont"/>
            </w:pPr>
            <w:r>
              <w:t>HCIS</w:t>
            </w:r>
          </w:p>
        </w:tc>
        <w:tc>
          <w:tcPr>
            <w:tcW w:w="6015" w:type="dxa"/>
          </w:tcPr>
          <w:p w14:paraId="33B6BF46" w14:textId="77777777" w:rsidR="007925F0" w:rsidRPr="009F66AD" w:rsidRDefault="005569E2" w:rsidP="00DD2F9B">
            <w:pPr>
              <w:pStyle w:val="Tablefont"/>
              <w:rPr>
                <w:rFonts w:cs="Arial"/>
                <w:szCs w:val="20"/>
              </w:rPr>
            </w:pPr>
            <w:r w:rsidRPr="009F66AD">
              <w:rPr>
                <w:rFonts w:cs="Arial"/>
                <w:szCs w:val="20"/>
              </w:rPr>
              <w:t>Carcinogenicity – category 2</w:t>
            </w:r>
          </w:p>
        </w:tc>
      </w:tr>
      <w:tr w:rsidR="00AF483F" w:rsidRPr="004C23F4" w14:paraId="3F68FE07" w14:textId="77777777" w:rsidTr="00812887">
        <w:trPr>
          <w:cantSplit/>
        </w:trPr>
        <w:tc>
          <w:tcPr>
            <w:tcW w:w="3227" w:type="dxa"/>
          </w:tcPr>
          <w:p w14:paraId="6BEFE94B" w14:textId="77777777" w:rsidR="00AF483F" w:rsidRPr="004C23F4" w:rsidRDefault="00AF483F" w:rsidP="00F4402E">
            <w:pPr>
              <w:pStyle w:val="Tablefont"/>
            </w:pPr>
            <w:r>
              <w:t>NICNAS</w:t>
            </w:r>
          </w:p>
        </w:tc>
        <w:tc>
          <w:tcPr>
            <w:tcW w:w="6015" w:type="dxa"/>
          </w:tcPr>
          <w:p w14:paraId="6DD5D569" w14:textId="77777777" w:rsidR="00AF483F" w:rsidRPr="00B301D4" w:rsidRDefault="007C361A" w:rsidP="00DD2F9B">
            <w:pPr>
              <w:pStyle w:val="Tablefont"/>
              <w:rPr>
                <w:rFonts w:cs="Arial"/>
                <w:szCs w:val="20"/>
              </w:rPr>
            </w:pPr>
            <w:r w:rsidRPr="00B301D4">
              <w:rPr>
                <w:rFonts w:cs="Arial"/>
                <w:szCs w:val="20"/>
              </w:rPr>
              <w:t>NA</w:t>
            </w:r>
          </w:p>
        </w:tc>
      </w:tr>
      <w:tr w:rsidR="00687890" w:rsidRPr="004C23F4" w14:paraId="1A2ECB7A" w14:textId="77777777" w:rsidTr="00812887">
        <w:trPr>
          <w:cantSplit/>
        </w:trPr>
        <w:tc>
          <w:tcPr>
            <w:tcW w:w="3227" w:type="dxa"/>
          </w:tcPr>
          <w:p w14:paraId="39E62723" w14:textId="77777777" w:rsidR="004079B4" w:rsidRPr="004C23F4" w:rsidRDefault="00687890" w:rsidP="00F4402E">
            <w:pPr>
              <w:pStyle w:val="Tablefont"/>
            </w:pPr>
            <w:r w:rsidRPr="004C23F4">
              <w:t>EU Annex</w:t>
            </w:r>
          </w:p>
        </w:tc>
        <w:tc>
          <w:tcPr>
            <w:tcW w:w="6015" w:type="dxa"/>
          </w:tcPr>
          <w:p w14:paraId="4D784653" w14:textId="77777777" w:rsidR="00687890" w:rsidRPr="00B301D4" w:rsidRDefault="009E35B4" w:rsidP="009E35B4">
            <w:pPr>
              <w:rPr>
                <w:rFonts w:cs="Arial"/>
                <w:szCs w:val="20"/>
              </w:rPr>
            </w:pPr>
            <w:r w:rsidRPr="00B301D4">
              <w:rPr>
                <w:rFonts w:cs="Arial"/>
                <w:szCs w:val="20"/>
              </w:rPr>
              <w:t>Carcinogenicity – category 2</w:t>
            </w:r>
          </w:p>
        </w:tc>
      </w:tr>
      <w:tr w:rsidR="00E41A26" w:rsidRPr="004C23F4" w14:paraId="40B0B848" w14:textId="77777777" w:rsidTr="00812887">
        <w:trPr>
          <w:cantSplit/>
        </w:trPr>
        <w:tc>
          <w:tcPr>
            <w:tcW w:w="3227" w:type="dxa"/>
          </w:tcPr>
          <w:p w14:paraId="1040BB53" w14:textId="77777777" w:rsidR="00E41A26" w:rsidRDefault="00E41A26" w:rsidP="00F4402E">
            <w:pPr>
              <w:pStyle w:val="Tablefont"/>
            </w:pPr>
            <w:r>
              <w:t>ECHA</w:t>
            </w:r>
          </w:p>
        </w:tc>
        <w:tc>
          <w:tcPr>
            <w:tcW w:w="6015" w:type="dxa"/>
          </w:tcPr>
          <w:p w14:paraId="1E5F14E1" w14:textId="77777777" w:rsidR="00E41A26" w:rsidRPr="00B301D4" w:rsidRDefault="007C361A" w:rsidP="00DD2F9B">
            <w:pPr>
              <w:pStyle w:val="Tablefont"/>
              <w:rPr>
                <w:rFonts w:cs="Arial"/>
                <w:szCs w:val="20"/>
              </w:rPr>
            </w:pPr>
            <w:r w:rsidRPr="00B301D4">
              <w:rPr>
                <w:rFonts w:cs="Arial"/>
                <w:szCs w:val="20"/>
              </w:rPr>
              <w:t>NA</w:t>
            </w:r>
          </w:p>
        </w:tc>
      </w:tr>
      <w:tr w:rsidR="002E0D61" w:rsidRPr="004C23F4" w14:paraId="2FEA8836" w14:textId="77777777" w:rsidTr="00812887">
        <w:trPr>
          <w:cantSplit/>
        </w:trPr>
        <w:tc>
          <w:tcPr>
            <w:tcW w:w="3227" w:type="dxa"/>
          </w:tcPr>
          <w:p w14:paraId="569A7301" w14:textId="77777777" w:rsidR="004079B4" w:rsidRPr="004C23F4" w:rsidRDefault="002E0D61" w:rsidP="00F4402E">
            <w:pPr>
              <w:pStyle w:val="Tablefont"/>
            </w:pPr>
            <w:r>
              <w:t>ACGIH</w:t>
            </w:r>
          </w:p>
        </w:tc>
        <w:tc>
          <w:tcPr>
            <w:tcW w:w="6015" w:type="dxa"/>
          </w:tcPr>
          <w:p w14:paraId="7E3AC6D3" w14:textId="5CE0F82E" w:rsidR="002E0D61" w:rsidRPr="00B301D4" w:rsidRDefault="00B301D4" w:rsidP="009E35B4">
            <w:pPr>
              <w:rPr>
                <w:rFonts w:cs="Arial"/>
                <w:szCs w:val="20"/>
              </w:rPr>
            </w:pPr>
            <w:r>
              <w:rPr>
                <w:rFonts w:cs="Arial"/>
                <w:szCs w:val="20"/>
              </w:rPr>
              <w:t>Carcinogenicity – A3</w:t>
            </w:r>
          </w:p>
        </w:tc>
      </w:tr>
      <w:tr w:rsidR="002E0D61" w:rsidRPr="004C23F4" w14:paraId="02191133" w14:textId="77777777" w:rsidTr="00812887">
        <w:trPr>
          <w:cantSplit/>
        </w:trPr>
        <w:tc>
          <w:tcPr>
            <w:tcW w:w="3227" w:type="dxa"/>
          </w:tcPr>
          <w:p w14:paraId="53784753" w14:textId="77777777" w:rsidR="004079B4" w:rsidRPr="004C23F4" w:rsidRDefault="002E0D61" w:rsidP="00F4402E">
            <w:pPr>
              <w:pStyle w:val="Tablefont"/>
            </w:pPr>
            <w:r>
              <w:t>DFG</w:t>
            </w:r>
          </w:p>
        </w:tc>
        <w:tc>
          <w:tcPr>
            <w:tcW w:w="6015" w:type="dxa"/>
          </w:tcPr>
          <w:p w14:paraId="48550E79" w14:textId="77777777" w:rsidR="002E0D61" w:rsidRPr="00B301D4" w:rsidRDefault="00F62175" w:rsidP="00F62175">
            <w:pPr>
              <w:rPr>
                <w:rFonts w:cs="Arial"/>
                <w:szCs w:val="20"/>
              </w:rPr>
            </w:pPr>
            <w:r w:rsidRPr="00B301D4">
              <w:rPr>
                <w:rFonts w:cs="Arial"/>
                <w:szCs w:val="20"/>
              </w:rPr>
              <w:t>Carcinogenicity – 2</w:t>
            </w:r>
          </w:p>
        </w:tc>
      </w:tr>
      <w:tr w:rsidR="002E0D61" w:rsidRPr="004C23F4" w14:paraId="175389F8" w14:textId="77777777" w:rsidTr="00812887">
        <w:trPr>
          <w:cantSplit/>
        </w:trPr>
        <w:tc>
          <w:tcPr>
            <w:tcW w:w="3227" w:type="dxa"/>
          </w:tcPr>
          <w:p w14:paraId="16B591D2" w14:textId="77777777" w:rsidR="004079B4" w:rsidRPr="004C23F4" w:rsidRDefault="002E0D61" w:rsidP="00F4402E">
            <w:pPr>
              <w:pStyle w:val="Tablefont"/>
            </w:pPr>
            <w:r>
              <w:t>SCOEL</w:t>
            </w:r>
          </w:p>
        </w:tc>
        <w:tc>
          <w:tcPr>
            <w:tcW w:w="6015" w:type="dxa"/>
          </w:tcPr>
          <w:p w14:paraId="4EA7D2EC" w14:textId="77777777" w:rsidR="002E0D61" w:rsidRPr="00B301D4" w:rsidRDefault="00077909" w:rsidP="00DD2F9B">
            <w:pPr>
              <w:pStyle w:val="Tablefont"/>
              <w:rPr>
                <w:rFonts w:cs="Arial"/>
                <w:szCs w:val="20"/>
              </w:rPr>
            </w:pPr>
            <w:r w:rsidRPr="00B301D4">
              <w:rPr>
                <w:rFonts w:cs="Arial"/>
                <w:szCs w:val="20"/>
              </w:rPr>
              <w:t>NA</w:t>
            </w:r>
          </w:p>
        </w:tc>
      </w:tr>
      <w:tr w:rsidR="002E0D61" w:rsidRPr="004C23F4" w14:paraId="2995B242" w14:textId="77777777" w:rsidTr="00812887">
        <w:trPr>
          <w:cantSplit/>
        </w:trPr>
        <w:tc>
          <w:tcPr>
            <w:tcW w:w="3227" w:type="dxa"/>
          </w:tcPr>
          <w:p w14:paraId="7AE0A796" w14:textId="77777777" w:rsidR="004079B4" w:rsidRDefault="002E0D61" w:rsidP="00F4402E">
            <w:pPr>
              <w:pStyle w:val="Tablefont"/>
            </w:pPr>
            <w:r>
              <w:t>HCOTN</w:t>
            </w:r>
          </w:p>
        </w:tc>
        <w:tc>
          <w:tcPr>
            <w:tcW w:w="6015" w:type="dxa"/>
          </w:tcPr>
          <w:p w14:paraId="178A240D" w14:textId="100B548D" w:rsidR="002E0D61" w:rsidRPr="00B301D4" w:rsidRDefault="00B301D4" w:rsidP="00F62175">
            <w:pPr>
              <w:rPr>
                <w:rFonts w:cs="Arial"/>
                <w:szCs w:val="20"/>
              </w:rPr>
            </w:pPr>
            <w:r>
              <w:rPr>
                <w:rFonts w:cs="Arial"/>
                <w:szCs w:val="20"/>
              </w:rPr>
              <w:t>Carcinogenicity – category 3</w:t>
            </w:r>
          </w:p>
        </w:tc>
      </w:tr>
      <w:tr w:rsidR="00386093" w:rsidRPr="004C23F4" w14:paraId="1E01812E" w14:textId="77777777" w:rsidTr="00812887">
        <w:trPr>
          <w:cantSplit/>
        </w:trPr>
        <w:tc>
          <w:tcPr>
            <w:tcW w:w="3227" w:type="dxa"/>
          </w:tcPr>
          <w:p w14:paraId="6EE455E8" w14:textId="77777777" w:rsidR="004079B4" w:rsidRDefault="00386093" w:rsidP="00F4402E">
            <w:pPr>
              <w:pStyle w:val="Tablefont"/>
            </w:pPr>
            <w:r>
              <w:t>IARC</w:t>
            </w:r>
          </w:p>
        </w:tc>
        <w:tc>
          <w:tcPr>
            <w:tcW w:w="6015" w:type="dxa"/>
          </w:tcPr>
          <w:p w14:paraId="48C08D82" w14:textId="77777777" w:rsidR="00386093" w:rsidRPr="00B301D4" w:rsidRDefault="00F62175" w:rsidP="00F62175">
            <w:pPr>
              <w:rPr>
                <w:rFonts w:cs="Arial"/>
                <w:szCs w:val="20"/>
              </w:rPr>
            </w:pPr>
            <w:r w:rsidRPr="00B301D4">
              <w:rPr>
                <w:rFonts w:cs="Arial"/>
                <w:szCs w:val="20"/>
              </w:rPr>
              <w:t>Carcinogenicity – Group 3</w:t>
            </w:r>
          </w:p>
        </w:tc>
      </w:tr>
      <w:tr w:rsidR="00386093" w:rsidRPr="004C23F4" w14:paraId="4FEF670E" w14:textId="77777777" w:rsidTr="00812887">
        <w:trPr>
          <w:cantSplit/>
        </w:trPr>
        <w:tc>
          <w:tcPr>
            <w:tcW w:w="3227" w:type="dxa"/>
          </w:tcPr>
          <w:p w14:paraId="3AC58A18" w14:textId="77777777" w:rsidR="004079B4" w:rsidRDefault="00386093" w:rsidP="00F4402E">
            <w:pPr>
              <w:pStyle w:val="Tablefont"/>
              <w:keepNext/>
            </w:pPr>
            <w:r>
              <w:t>US NIOSH</w:t>
            </w:r>
          </w:p>
        </w:tc>
        <w:tc>
          <w:tcPr>
            <w:tcW w:w="6015" w:type="dxa"/>
          </w:tcPr>
          <w:p w14:paraId="474F8007" w14:textId="77777777" w:rsidR="00386093" w:rsidRPr="00B301D4" w:rsidRDefault="007C361A" w:rsidP="00D87570">
            <w:pPr>
              <w:pStyle w:val="Tablefont"/>
              <w:keepNext/>
              <w:rPr>
                <w:rFonts w:cs="Arial"/>
                <w:szCs w:val="20"/>
              </w:rPr>
            </w:pPr>
            <w:r w:rsidRPr="00B301D4">
              <w:rPr>
                <w:rFonts w:cs="Arial"/>
                <w:szCs w:val="20"/>
              </w:rPr>
              <w:t>NA</w:t>
            </w:r>
          </w:p>
        </w:tc>
      </w:tr>
    </w:tbl>
    <w:bookmarkEnd w:id="2"/>
    <w:p w14:paraId="2E516E1C"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04FA02D7"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DDFE507" w14:textId="77777777" w:rsidTr="001901A7">
        <w:trPr>
          <w:cantSplit/>
          <w:tblHeader/>
        </w:trPr>
        <w:tc>
          <w:tcPr>
            <w:tcW w:w="5000" w:type="pct"/>
            <w:vAlign w:val="center"/>
          </w:tcPr>
          <w:p w14:paraId="064B9D58" w14:textId="4474ACEE" w:rsidR="00932DCE" w:rsidRPr="001901A7" w:rsidRDefault="001901A7" w:rsidP="00F4402E">
            <w:pPr>
              <w:pStyle w:val="Tableheader"/>
              <w:keepNext/>
              <w:tabs>
                <w:tab w:val="right" w:pos="8800"/>
              </w:tabs>
              <w:rPr>
                <w:b w:val="0"/>
              </w:rPr>
            </w:pPr>
            <w:bookmarkStart w:id="3" w:name="SkinNot"/>
            <w:r>
              <w:rPr>
                <w:b w:val="0"/>
              </w:rPr>
              <w:t>Insufficient data to warrant a skin notation.</w:t>
            </w:r>
            <w:r w:rsidR="00177CA1" w:rsidRPr="001901A7">
              <w:rPr>
                <w:b w:val="0"/>
              </w:rPr>
              <w:tab/>
            </w:r>
          </w:p>
        </w:tc>
      </w:tr>
    </w:tbl>
    <w:bookmarkEnd w:id="3"/>
    <w:p w14:paraId="4FB8E5C1"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9"/>
        <w:gridCol w:w="4757"/>
      </w:tblGrid>
      <w:tr w:rsidR="00EB3D1B" w14:paraId="1D017018" w14:textId="77777777" w:rsidTr="00610F2E">
        <w:trPr>
          <w:trHeight w:val="454"/>
          <w:tblHeader/>
        </w:trPr>
        <w:tc>
          <w:tcPr>
            <w:tcW w:w="4361" w:type="dxa"/>
            <w:vAlign w:val="center"/>
          </w:tcPr>
          <w:p w14:paraId="0352EC3E"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1F3DB2CF" w14:textId="26780DA5" w:rsidR="00EB3D1B" w:rsidRDefault="00C5042A" w:rsidP="00EB3D1B">
                <w:pPr>
                  <w:pStyle w:val="Tablefont"/>
                </w:pPr>
                <w:r>
                  <w:t>No</w:t>
                </w:r>
              </w:p>
            </w:tc>
          </w:sdtContent>
        </w:sdt>
      </w:tr>
    </w:tbl>
    <w:p w14:paraId="5B35F85F"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58443E3C" w14:textId="77777777" w:rsidTr="00EA6243">
        <w:trPr>
          <w:cantSplit/>
          <w:tblHeader/>
        </w:trPr>
        <w:tc>
          <w:tcPr>
            <w:tcW w:w="4077" w:type="dxa"/>
            <w:vAlign w:val="center"/>
          </w:tcPr>
          <w:p w14:paraId="4086426F"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79AF61B4" w14:textId="78A3CA9C" w:rsidR="001B79E5" w:rsidRDefault="00C5042A" w:rsidP="001B79E5">
                <w:pPr>
                  <w:pStyle w:val="Tablefont"/>
                </w:pPr>
                <w:r>
                  <w:t>94.93</w:t>
                </w:r>
              </w:p>
            </w:tc>
          </w:sdtContent>
        </w:sdt>
      </w:tr>
      <w:tr w:rsidR="00A31D99" w:rsidRPr="004C23F4" w14:paraId="381F6B24" w14:textId="77777777" w:rsidTr="00EA6243">
        <w:trPr>
          <w:cantSplit/>
          <w:tblHeader/>
        </w:trPr>
        <w:tc>
          <w:tcPr>
            <w:tcW w:w="4077" w:type="dxa"/>
            <w:vAlign w:val="center"/>
          </w:tcPr>
          <w:p w14:paraId="4D1469C6"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232AB2F0" w14:textId="605B07B6" w:rsidR="00A31D99" w:rsidRDefault="00A0643F" w:rsidP="00A174CC">
            <w:pPr>
              <w:pStyle w:val="Tablefont"/>
            </w:pPr>
            <w:r>
              <w:t xml:space="preserve">1 ppm = </w:t>
            </w:r>
            <w:sdt>
              <w:sdtPr>
                <w:id w:val="-371151491"/>
                <w:placeholder>
                  <w:docPart w:val="A7231FB73EFF4B2B92EB3BD21C0CEA01"/>
                </w:placeholder>
              </w:sdtPr>
              <w:sdtEndPr/>
              <w:sdtContent>
                <w:r w:rsidR="00B301D4">
                  <w:t>3.88</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B301D4">
                  <w:t>0.26</w:t>
                </w:r>
              </w:sdtContent>
            </w:sdt>
            <w:r>
              <w:t xml:space="preserve"> ppm</w:t>
            </w:r>
          </w:p>
        </w:tc>
      </w:tr>
      <w:tr w:rsidR="00687890" w:rsidRPr="004C23F4" w14:paraId="067AAFC1" w14:textId="77777777" w:rsidTr="00EA6243">
        <w:trPr>
          <w:cantSplit/>
          <w:tblHeader/>
        </w:trPr>
        <w:tc>
          <w:tcPr>
            <w:tcW w:w="4077" w:type="dxa"/>
            <w:vAlign w:val="center"/>
          </w:tcPr>
          <w:p w14:paraId="285E28A2"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3F499F8D"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C4F9B2F" w14:textId="77777777" w:rsidTr="00EA6243">
        <w:trPr>
          <w:cantSplit/>
        </w:trPr>
        <w:tc>
          <w:tcPr>
            <w:tcW w:w="4077" w:type="dxa"/>
            <w:vAlign w:val="center"/>
          </w:tcPr>
          <w:p w14:paraId="2BB53630"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61EC9651"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32113A4F" w14:textId="77777777" w:rsidTr="00EA6243">
        <w:trPr>
          <w:cantSplit/>
        </w:trPr>
        <w:tc>
          <w:tcPr>
            <w:tcW w:w="4077" w:type="dxa"/>
            <w:vAlign w:val="center"/>
          </w:tcPr>
          <w:p w14:paraId="25013A49" w14:textId="77777777" w:rsidR="00687890" w:rsidRPr="00263255" w:rsidRDefault="00687890" w:rsidP="00263255">
            <w:pPr>
              <w:pStyle w:val="Tablefont"/>
            </w:pPr>
            <w:r w:rsidRPr="00263255">
              <w:t>This chemical is a by-product of a process:</w:t>
            </w:r>
          </w:p>
        </w:tc>
        <w:sdt>
          <w:sdtPr>
            <w:id w:val="-863134491"/>
            <w14:checkbox>
              <w14:checked w14:val="1"/>
              <w14:checkedState w14:val="00FC" w14:font="Wingdings"/>
              <w14:uncheckedState w14:val="2610" w14:font="MS Gothic"/>
            </w14:checkbox>
          </w:sdtPr>
          <w:sdtEndPr/>
          <w:sdtContent>
            <w:tc>
              <w:tcPr>
                <w:tcW w:w="5165" w:type="dxa"/>
                <w:vAlign w:val="center"/>
              </w:tcPr>
              <w:p w14:paraId="3B25BEB0" w14:textId="6631CF3F" w:rsidR="00687890" w:rsidRPr="004C23F4" w:rsidRDefault="00B301D4" w:rsidP="00717D45">
                <w:pPr>
                  <w:pStyle w:val="Tablefont"/>
                </w:pPr>
                <w:r>
                  <w:sym w:font="Wingdings" w:char="F0FC"/>
                </w:r>
              </w:p>
            </w:tc>
          </w:sdtContent>
        </w:sdt>
      </w:tr>
      <w:tr w:rsidR="00E06F40" w:rsidRPr="004C23F4" w14:paraId="3E9913AF" w14:textId="77777777" w:rsidTr="00EA6243">
        <w:trPr>
          <w:cantSplit/>
        </w:trPr>
        <w:tc>
          <w:tcPr>
            <w:tcW w:w="4077" w:type="dxa"/>
            <w:vAlign w:val="center"/>
          </w:tcPr>
          <w:p w14:paraId="59F6B06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67DA5919" w14:textId="77777777" w:rsidR="00E06F40" w:rsidRPr="00A006A0" w:rsidRDefault="003C4267"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1195073B"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23108258" w14:textId="77777777" w:rsidTr="00F053FA">
        <w:trPr>
          <w:tblHeader/>
        </w:trPr>
        <w:tc>
          <w:tcPr>
            <w:tcW w:w="4077" w:type="dxa"/>
            <w:shd w:val="clear" w:color="auto" w:fill="BFBFBF" w:themeFill="background1" w:themeFillShade="BF"/>
            <w:vAlign w:val="center"/>
          </w:tcPr>
          <w:p w14:paraId="1D431011"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30CC2768" w14:textId="77777777" w:rsidR="00224EE2" w:rsidRPr="004C23F4" w:rsidRDefault="00224EE2" w:rsidP="00EB3D1B">
            <w:pPr>
              <w:pStyle w:val="Tableheader"/>
              <w:keepNext/>
              <w:keepLines/>
            </w:pPr>
            <w:r>
              <w:t>Standard</w:t>
            </w:r>
          </w:p>
        </w:tc>
      </w:tr>
      <w:tr w:rsidR="007F1005" w:rsidRPr="004C23F4" w14:paraId="36C3F703" w14:textId="77777777" w:rsidTr="00F053FA">
        <w:trPr>
          <w:tblHeader/>
        </w:trPr>
        <w:sdt>
          <w:sdtPr>
            <w:id w:val="-25557549"/>
            <w:placeholder>
              <w:docPart w:val="2BF891C0AB704CDAB9BC6E80D556473F"/>
            </w:placeholder>
            <w:text/>
          </w:sdtPr>
          <w:sdtEndPr/>
          <w:sdtContent>
            <w:tc>
              <w:tcPr>
                <w:tcW w:w="4077" w:type="dxa"/>
                <w:vAlign w:val="center"/>
              </w:tcPr>
              <w:p w14:paraId="4B654156" w14:textId="7BE0F1AD" w:rsidR="007F1005" w:rsidRPr="004C23F4" w:rsidRDefault="003562D7" w:rsidP="00EB3D1B">
                <w:pPr>
                  <w:pStyle w:val="Tablefont"/>
                  <w:keepLines/>
                </w:pPr>
                <w:r>
                  <w:t>1995</w:t>
                </w:r>
              </w:p>
            </w:tc>
          </w:sdtContent>
        </w:sdt>
        <w:tc>
          <w:tcPr>
            <w:tcW w:w="5165" w:type="dxa"/>
            <w:vAlign w:val="center"/>
          </w:tcPr>
          <w:p w14:paraId="06885225" w14:textId="6566828F" w:rsidR="007F1005" w:rsidRPr="008C1E46" w:rsidRDefault="008C1E46">
            <w:pPr>
              <w:pStyle w:val="Tablefont"/>
              <w:keepLines/>
            </w:pPr>
            <w:r>
              <w:t>TWA: 0.1</w:t>
            </w:r>
            <w:r w:rsidR="00772109">
              <w:t xml:space="preserve"> </w:t>
            </w:r>
            <w:r>
              <w:t>ppm (0.39 mg/m</w:t>
            </w:r>
            <w:r>
              <w:rPr>
                <w:vertAlign w:val="superscript"/>
              </w:rPr>
              <w:t>3</w:t>
            </w:r>
            <w:r>
              <w:t>)</w:t>
            </w:r>
          </w:p>
        </w:tc>
      </w:tr>
    </w:tbl>
    <w:bookmarkEnd w:id="4"/>
    <w:p w14:paraId="16E7EFF4" w14:textId="77777777" w:rsidR="00F87D92" w:rsidRDefault="00F87D92" w:rsidP="00EF7F78">
      <w:pPr>
        <w:pStyle w:val="Heading2"/>
        <w:tabs>
          <w:tab w:val="right" w:pos="8505"/>
        </w:tabs>
      </w:pPr>
      <w:r>
        <w:t>References</w:t>
      </w:r>
      <w:r w:rsidR="00EF7F78">
        <w:tab/>
      </w:r>
    </w:p>
    <w:p w14:paraId="5AED3084" w14:textId="552624D4" w:rsidR="007F1005" w:rsidRDefault="006650FE" w:rsidP="00084859">
      <w:r>
        <w:t>American Conference of Industrial Hygienists (ACGIH</w:t>
      </w:r>
      <w:r>
        <w:rPr>
          <w:vertAlign w:val="superscript"/>
        </w:rPr>
        <w:t>®</w:t>
      </w:r>
      <w:r w:rsidR="00741D5C">
        <w:t xml:space="preserve">) </w:t>
      </w:r>
      <w:r>
        <w:t>(201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7"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54904651" w14:textId="2F9A933B" w:rsidR="00A85D3A" w:rsidRDefault="00A85D3A" w:rsidP="00A85D3A">
      <w:r w:rsidRPr="002022B6">
        <w:t>Deutsche Forschungsgemeinschaft (DFG)</w:t>
      </w:r>
      <w:r w:rsidR="00741D5C">
        <w:t xml:space="preserve"> </w:t>
      </w:r>
      <w:r>
        <w:t>(</w:t>
      </w:r>
      <w:r w:rsidR="00D8033D">
        <w:t>1993</w:t>
      </w:r>
      <w:r>
        <w:t xml:space="preserve">) </w:t>
      </w:r>
      <w:r w:rsidR="00D8033D">
        <w:t>Dichloroacetylene</w:t>
      </w:r>
      <w:r>
        <w:t xml:space="preserve"> – MAK value documentation.</w:t>
      </w:r>
    </w:p>
    <w:p w14:paraId="765BD63D" w14:textId="3CB65DC5" w:rsidR="00A85D3A" w:rsidRDefault="00A85D3A" w:rsidP="00A85D3A">
      <w:r w:rsidRPr="002022B6">
        <w:t>Health Council of the Netherlands</w:t>
      </w:r>
      <w:r w:rsidR="00741D5C">
        <w:t xml:space="preserve"> (HCOTN) </w:t>
      </w:r>
      <w:r>
        <w:t>(</w:t>
      </w:r>
      <w:r w:rsidR="004F6E0A">
        <w:t>2002</w:t>
      </w:r>
      <w:r>
        <w:t xml:space="preserve">) </w:t>
      </w:r>
      <w:r w:rsidR="004F6E0A">
        <w:t>Dichloroacetylene</w:t>
      </w:r>
      <w:r w:rsidRPr="005F7416">
        <w:t xml:space="preserve">. </w:t>
      </w:r>
      <w:r w:rsidR="004F6E0A" w:rsidRPr="004F6E0A">
        <w:t>Evaluation of the carcinogenicity and genotoxicity</w:t>
      </w:r>
      <w:r w:rsidRPr="005F7416">
        <w:t xml:space="preserve">. The Hague: Health Council of the Netherlands; publication no. </w:t>
      </w:r>
      <w:r w:rsidR="00AF3823">
        <w:t>2002/04OSH</w:t>
      </w:r>
      <w:r>
        <w:t>.</w:t>
      </w:r>
    </w:p>
    <w:p w14:paraId="79A5B932" w14:textId="44AEEA1E" w:rsidR="00D8033D" w:rsidRDefault="00D8033D" w:rsidP="00A85D3A">
      <w:r w:rsidRPr="002022B6">
        <w:t>International Agency for Research on Cancer</w:t>
      </w:r>
      <w:r w:rsidR="005873D7">
        <w:t xml:space="preserve"> (</w:t>
      </w:r>
      <w:r w:rsidR="00741D5C">
        <w:t>IARC) (1999).</w:t>
      </w:r>
      <w:r w:rsidR="005873D7">
        <w:t xml:space="preserve"> Volume 71, </w:t>
      </w:r>
      <w:r w:rsidR="00083315">
        <w:rPr>
          <w:rFonts w:cs="Helvetica"/>
          <w:lang w:val="en"/>
        </w:rPr>
        <w:t>Re-evaluation of some organic chemicals, hydrazine and h</w:t>
      </w:r>
      <w:r w:rsidR="005873D7">
        <w:rPr>
          <w:rFonts w:cs="Helvetica"/>
          <w:lang w:val="en"/>
        </w:rPr>
        <w:t>ydrog</w:t>
      </w:r>
      <w:r w:rsidR="00083315">
        <w:rPr>
          <w:rFonts w:cs="Helvetica"/>
          <w:lang w:val="en"/>
        </w:rPr>
        <w:t>en p</w:t>
      </w:r>
      <w:r w:rsidR="005873D7">
        <w:rPr>
          <w:rFonts w:cs="Helvetica"/>
          <w:lang w:val="en"/>
        </w:rPr>
        <w:t>eroxide</w:t>
      </w:r>
      <w:r>
        <w:t>. IARC Monographs on the evaluation of t</w:t>
      </w:r>
      <w:r w:rsidR="00ED7C2C">
        <w:t>he carcinogenic risk to humans.</w:t>
      </w:r>
    </w:p>
    <w:p w14:paraId="11047BFD" w14:textId="77777777" w:rsidR="00ED7C2C" w:rsidRPr="00D65E60" w:rsidRDefault="00ED7C2C" w:rsidP="00ED7C2C">
      <w:r w:rsidRPr="00D65E60">
        <w:t>Tenth Adaptation to Technical Progress Commission Regulation (EU) No 2017/776 amending, for the purposes of its adaptation to technical and scientific progress, Regulation (EC) No 1272/2008 of the European Parliament and of the Council on classification, labelling and packaging of substances and mixtures (the CLP Regulation).</w:t>
      </w:r>
    </w:p>
    <w:p w14:paraId="49B9FD77" w14:textId="027DC6F0" w:rsidR="00741D5C" w:rsidRDefault="00741D5C" w:rsidP="00A85D3A"/>
    <w:sectPr w:rsidR="00741D5C"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411C7" w14:textId="77777777" w:rsidR="000B0549" w:rsidRDefault="000B0549" w:rsidP="00F43AD5">
      <w:pPr>
        <w:spacing w:after="0" w:line="240" w:lineRule="auto"/>
      </w:pPr>
      <w:r>
        <w:separator/>
      </w:r>
    </w:p>
  </w:endnote>
  <w:endnote w:type="continuationSeparator" w:id="0">
    <w:p w14:paraId="38B8BAC6" w14:textId="77777777" w:rsidR="000B0549" w:rsidRDefault="000B0549"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2CAA4" w14:textId="77777777" w:rsidR="00982548" w:rsidRDefault="009825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050EA4E4" w14:textId="77777777" w:rsidR="00296AFF" w:rsidRDefault="00296AFF" w:rsidP="0034744C">
        <w:pPr>
          <w:pStyle w:val="Footer"/>
          <w:rPr>
            <w:sz w:val="18"/>
            <w:szCs w:val="18"/>
          </w:rPr>
        </w:pPr>
        <w:r>
          <w:rPr>
            <w:b/>
            <w:sz w:val="18"/>
            <w:szCs w:val="18"/>
          </w:rPr>
          <w:t>Dichloroacetylene (7572-29-4)</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1DD88317" w14:textId="46126D76" w:rsidR="00296AFF" w:rsidRPr="00F43AD5" w:rsidRDefault="00296AF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982548">
          <w:rPr>
            <w:noProof/>
            <w:sz w:val="18"/>
            <w:szCs w:val="18"/>
          </w:rPr>
          <w:t>4</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E22B" w14:textId="77777777" w:rsidR="00982548" w:rsidRDefault="009825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ABA9D" w14:textId="77777777" w:rsidR="000B0549" w:rsidRDefault="000B0549" w:rsidP="00F43AD5">
      <w:pPr>
        <w:spacing w:after="0" w:line="240" w:lineRule="auto"/>
      </w:pPr>
      <w:r>
        <w:separator/>
      </w:r>
    </w:p>
  </w:footnote>
  <w:footnote w:type="continuationSeparator" w:id="0">
    <w:p w14:paraId="1F1E2065" w14:textId="77777777" w:rsidR="000B0549" w:rsidRDefault="000B0549"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DF388" w14:textId="279B630D" w:rsidR="00523B5C" w:rsidRDefault="00523B5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5E6AD" w14:textId="0F33A059" w:rsidR="00296AFF" w:rsidRDefault="00296AFF" w:rsidP="00F43AD5">
    <w:pPr>
      <w:pStyle w:val="Header"/>
      <w:jc w:val="right"/>
    </w:pPr>
    <w:r>
      <w:rPr>
        <w:noProof/>
        <w:lang w:eastAsia="en-AU"/>
      </w:rPr>
      <w:drawing>
        <wp:inline distT="0" distB="0" distL="0" distR="0" wp14:anchorId="4B2D9A42" wp14:editId="2F83B476">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532D02" w14:textId="72043CBF" w:rsidR="00523B5C" w:rsidRDefault="00523B5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198CA" w14:textId="40040053" w:rsidR="006A7F97" w:rsidRDefault="006A7F9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889A0" w14:textId="748D4E1C" w:rsidR="00296AFF" w:rsidRDefault="00296AFF" w:rsidP="00F43A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6334B" w14:textId="4A9B39C4" w:rsidR="006A7F97" w:rsidRDefault="006A7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97668D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2BD2950"/>
    <w:multiLevelType w:val="hybridMultilevel"/>
    <w:tmpl w:val="2A4AD1FE"/>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2" w15:restartNumberingAfterBreak="0">
    <w:nsid w:val="1935437F"/>
    <w:multiLevelType w:val="hybridMultilevel"/>
    <w:tmpl w:val="4E0448CA"/>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3" w15:restartNumberingAfterBreak="0">
    <w:nsid w:val="59931996"/>
    <w:multiLevelType w:val="hybridMultilevel"/>
    <w:tmpl w:val="D1BEE08A"/>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4" w15:restartNumberingAfterBreak="0">
    <w:nsid w:val="5FB86980"/>
    <w:multiLevelType w:val="hybridMultilevel"/>
    <w:tmpl w:val="E5188C4E"/>
    <w:lvl w:ilvl="0" w:tplc="0C090003">
      <w:start w:val="1"/>
      <w:numFmt w:val="bullet"/>
      <w:lvlText w:val="o"/>
      <w:lvlJc w:val="left"/>
      <w:pPr>
        <w:ind w:left="1077" w:hanging="360"/>
      </w:pPr>
      <w:rPr>
        <w:rFonts w:ascii="Courier New" w:hAnsi="Courier New" w:cs="Courier New"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5" w15:restartNumberingAfterBreak="0">
    <w:nsid w:val="624238DA"/>
    <w:multiLevelType w:val="hybridMultilevel"/>
    <w:tmpl w:val="F6E2E868"/>
    <w:lvl w:ilvl="0" w:tplc="0C090003">
      <w:start w:val="1"/>
      <w:numFmt w:val="bullet"/>
      <w:lvlText w:val="o"/>
      <w:lvlJc w:val="left"/>
      <w:pPr>
        <w:ind w:left="1434" w:hanging="360"/>
      </w:pPr>
      <w:rPr>
        <w:rFonts w:ascii="Courier New" w:hAnsi="Courier New" w:cs="Courier New"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num w:numId="1" w16cid:durableId="1291520736">
    <w:abstractNumId w:val="0"/>
  </w:num>
  <w:num w:numId="2" w16cid:durableId="1879197529">
    <w:abstractNumId w:val="5"/>
  </w:num>
  <w:num w:numId="3" w16cid:durableId="631130788">
    <w:abstractNumId w:val="3"/>
  </w:num>
  <w:num w:numId="4" w16cid:durableId="1475101708">
    <w:abstractNumId w:val="4"/>
  </w:num>
  <w:num w:numId="5" w16cid:durableId="1385563406">
    <w:abstractNumId w:val="2"/>
  </w:num>
  <w:num w:numId="6" w16cid:durableId="277246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1024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38E9"/>
    <w:rsid w:val="00007B80"/>
    <w:rsid w:val="00010CAD"/>
    <w:rsid w:val="00013A22"/>
    <w:rsid w:val="00014C3F"/>
    <w:rsid w:val="00017C82"/>
    <w:rsid w:val="00032B88"/>
    <w:rsid w:val="000458A6"/>
    <w:rsid w:val="00046DF5"/>
    <w:rsid w:val="00052060"/>
    <w:rsid w:val="0005574A"/>
    <w:rsid w:val="00055FE1"/>
    <w:rsid w:val="00056EC2"/>
    <w:rsid w:val="00060B48"/>
    <w:rsid w:val="00067F32"/>
    <w:rsid w:val="00071807"/>
    <w:rsid w:val="000719E2"/>
    <w:rsid w:val="00076E52"/>
    <w:rsid w:val="00077909"/>
    <w:rsid w:val="000803E1"/>
    <w:rsid w:val="00083315"/>
    <w:rsid w:val="00084513"/>
    <w:rsid w:val="00084859"/>
    <w:rsid w:val="00092D94"/>
    <w:rsid w:val="000A1552"/>
    <w:rsid w:val="000B0549"/>
    <w:rsid w:val="000B0868"/>
    <w:rsid w:val="000B3E12"/>
    <w:rsid w:val="000B3E78"/>
    <w:rsid w:val="000B7B48"/>
    <w:rsid w:val="000C096D"/>
    <w:rsid w:val="000C139A"/>
    <w:rsid w:val="000C2053"/>
    <w:rsid w:val="000C248C"/>
    <w:rsid w:val="000D291C"/>
    <w:rsid w:val="000E445B"/>
    <w:rsid w:val="000E5A54"/>
    <w:rsid w:val="000E63D3"/>
    <w:rsid w:val="000E67CF"/>
    <w:rsid w:val="000F31FC"/>
    <w:rsid w:val="000F533E"/>
    <w:rsid w:val="001018A4"/>
    <w:rsid w:val="0010461E"/>
    <w:rsid w:val="00106FAA"/>
    <w:rsid w:val="00113443"/>
    <w:rsid w:val="001269A7"/>
    <w:rsid w:val="00126AC7"/>
    <w:rsid w:val="00131092"/>
    <w:rsid w:val="00140E6A"/>
    <w:rsid w:val="00143AE4"/>
    <w:rsid w:val="00146545"/>
    <w:rsid w:val="00146B75"/>
    <w:rsid w:val="0015266D"/>
    <w:rsid w:val="0015288A"/>
    <w:rsid w:val="00160F47"/>
    <w:rsid w:val="00173683"/>
    <w:rsid w:val="001745D5"/>
    <w:rsid w:val="00177CA1"/>
    <w:rsid w:val="001803FD"/>
    <w:rsid w:val="00182BAA"/>
    <w:rsid w:val="001837F3"/>
    <w:rsid w:val="00183823"/>
    <w:rsid w:val="00183942"/>
    <w:rsid w:val="001901A7"/>
    <w:rsid w:val="001A009E"/>
    <w:rsid w:val="001A1287"/>
    <w:rsid w:val="001A3859"/>
    <w:rsid w:val="001A3C9D"/>
    <w:rsid w:val="001A43F8"/>
    <w:rsid w:val="001B79E5"/>
    <w:rsid w:val="001D56F0"/>
    <w:rsid w:val="001D663B"/>
    <w:rsid w:val="001D7B41"/>
    <w:rsid w:val="001E232A"/>
    <w:rsid w:val="001E29CE"/>
    <w:rsid w:val="001E46DA"/>
    <w:rsid w:val="001E7D80"/>
    <w:rsid w:val="001F3538"/>
    <w:rsid w:val="001F4B6C"/>
    <w:rsid w:val="001F62CB"/>
    <w:rsid w:val="001F6ED0"/>
    <w:rsid w:val="001F6EFA"/>
    <w:rsid w:val="001F72E6"/>
    <w:rsid w:val="001F73C5"/>
    <w:rsid w:val="002046A6"/>
    <w:rsid w:val="00204956"/>
    <w:rsid w:val="00213640"/>
    <w:rsid w:val="00221547"/>
    <w:rsid w:val="002216FC"/>
    <w:rsid w:val="00222533"/>
    <w:rsid w:val="00222F30"/>
    <w:rsid w:val="00224EE2"/>
    <w:rsid w:val="00227EC7"/>
    <w:rsid w:val="002352F6"/>
    <w:rsid w:val="00244AD1"/>
    <w:rsid w:val="002463BC"/>
    <w:rsid w:val="002465CE"/>
    <w:rsid w:val="0025734A"/>
    <w:rsid w:val="00263255"/>
    <w:rsid w:val="00271151"/>
    <w:rsid w:val="00276494"/>
    <w:rsid w:val="00277B0C"/>
    <w:rsid w:val="00296AFF"/>
    <w:rsid w:val="002B1A2C"/>
    <w:rsid w:val="002C34F2"/>
    <w:rsid w:val="002C35F8"/>
    <w:rsid w:val="002C58FF"/>
    <w:rsid w:val="002C7AFE"/>
    <w:rsid w:val="002D05D2"/>
    <w:rsid w:val="002D281D"/>
    <w:rsid w:val="002D7C2C"/>
    <w:rsid w:val="002E0D61"/>
    <w:rsid w:val="002E4C7B"/>
    <w:rsid w:val="002E6D1B"/>
    <w:rsid w:val="002F3C3A"/>
    <w:rsid w:val="0030740C"/>
    <w:rsid w:val="00315833"/>
    <w:rsid w:val="003215EE"/>
    <w:rsid w:val="003224BF"/>
    <w:rsid w:val="003241A8"/>
    <w:rsid w:val="003253F0"/>
    <w:rsid w:val="003337DA"/>
    <w:rsid w:val="00334EFB"/>
    <w:rsid w:val="00335CDE"/>
    <w:rsid w:val="003365A5"/>
    <w:rsid w:val="00337FD0"/>
    <w:rsid w:val="0034641C"/>
    <w:rsid w:val="00347192"/>
    <w:rsid w:val="0034744C"/>
    <w:rsid w:val="00351FE0"/>
    <w:rsid w:val="00352615"/>
    <w:rsid w:val="00353FD2"/>
    <w:rsid w:val="0035412B"/>
    <w:rsid w:val="003562D7"/>
    <w:rsid w:val="003567A8"/>
    <w:rsid w:val="00362895"/>
    <w:rsid w:val="0036784F"/>
    <w:rsid w:val="00370DBF"/>
    <w:rsid w:val="00385705"/>
    <w:rsid w:val="00386093"/>
    <w:rsid w:val="003862EA"/>
    <w:rsid w:val="003904A4"/>
    <w:rsid w:val="00391841"/>
    <w:rsid w:val="00391B6D"/>
    <w:rsid w:val="00394922"/>
    <w:rsid w:val="003A0E32"/>
    <w:rsid w:val="003A2B94"/>
    <w:rsid w:val="003A2D8C"/>
    <w:rsid w:val="003B387D"/>
    <w:rsid w:val="003C0D58"/>
    <w:rsid w:val="003C4267"/>
    <w:rsid w:val="003D4FA3"/>
    <w:rsid w:val="003D5338"/>
    <w:rsid w:val="003D579F"/>
    <w:rsid w:val="003E0807"/>
    <w:rsid w:val="003E2C2B"/>
    <w:rsid w:val="003E51FB"/>
    <w:rsid w:val="003E6B39"/>
    <w:rsid w:val="003F07E1"/>
    <w:rsid w:val="003F2355"/>
    <w:rsid w:val="003F43E7"/>
    <w:rsid w:val="003F585D"/>
    <w:rsid w:val="004030BC"/>
    <w:rsid w:val="00403F7D"/>
    <w:rsid w:val="00406785"/>
    <w:rsid w:val="004079B4"/>
    <w:rsid w:val="00417A56"/>
    <w:rsid w:val="00420957"/>
    <w:rsid w:val="00422A10"/>
    <w:rsid w:val="00430179"/>
    <w:rsid w:val="004414B5"/>
    <w:rsid w:val="00443227"/>
    <w:rsid w:val="004437B1"/>
    <w:rsid w:val="00444482"/>
    <w:rsid w:val="00444B42"/>
    <w:rsid w:val="00445E44"/>
    <w:rsid w:val="004509E2"/>
    <w:rsid w:val="004515EE"/>
    <w:rsid w:val="004529F0"/>
    <w:rsid w:val="00460A03"/>
    <w:rsid w:val="00472A11"/>
    <w:rsid w:val="00472AAD"/>
    <w:rsid w:val="00474E33"/>
    <w:rsid w:val="00476803"/>
    <w:rsid w:val="00476B45"/>
    <w:rsid w:val="00485BFD"/>
    <w:rsid w:val="004867A2"/>
    <w:rsid w:val="004873F2"/>
    <w:rsid w:val="00490D4C"/>
    <w:rsid w:val="00493A35"/>
    <w:rsid w:val="0049527A"/>
    <w:rsid w:val="004966BF"/>
    <w:rsid w:val="00497984"/>
    <w:rsid w:val="004A415C"/>
    <w:rsid w:val="004A4442"/>
    <w:rsid w:val="004A5088"/>
    <w:rsid w:val="004A761D"/>
    <w:rsid w:val="004C1E3F"/>
    <w:rsid w:val="004C23F4"/>
    <w:rsid w:val="004C3475"/>
    <w:rsid w:val="004C58B6"/>
    <w:rsid w:val="004D16A3"/>
    <w:rsid w:val="004D2936"/>
    <w:rsid w:val="004D4AA1"/>
    <w:rsid w:val="004D6D68"/>
    <w:rsid w:val="004E5EDD"/>
    <w:rsid w:val="004F448A"/>
    <w:rsid w:val="004F493D"/>
    <w:rsid w:val="004F65E8"/>
    <w:rsid w:val="004F6E0A"/>
    <w:rsid w:val="0050005E"/>
    <w:rsid w:val="00502B88"/>
    <w:rsid w:val="005142C4"/>
    <w:rsid w:val="0051509C"/>
    <w:rsid w:val="00515984"/>
    <w:rsid w:val="00523B5C"/>
    <w:rsid w:val="005272E2"/>
    <w:rsid w:val="005279D3"/>
    <w:rsid w:val="0053108F"/>
    <w:rsid w:val="00532B56"/>
    <w:rsid w:val="00534B10"/>
    <w:rsid w:val="005446A2"/>
    <w:rsid w:val="00544D2F"/>
    <w:rsid w:val="005477AB"/>
    <w:rsid w:val="00551BD8"/>
    <w:rsid w:val="00552C62"/>
    <w:rsid w:val="005569E2"/>
    <w:rsid w:val="00581055"/>
    <w:rsid w:val="005873D7"/>
    <w:rsid w:val="00591E38"/>
    <w:rsid w:val="005A19C5"/>
    <w:rsid w:val="005A3034"/>
    <w:rsid w:val="005A462D"/>
    <w:rsid w:val="005B253B"/>
    <w:rsid w:val="005B771D"/>
    <w:rsid w:val="005C5D16"/>
    <w:rsid w:val="005C5E63"/>
    <w:rsid w:val="005D3193"/>
    <w:rsid w:val="005D4A6E"/>
    <w:rsid w:val="005E6979"/>
    <w:rsid w:val="005E75CB"/>
    <w:rsid w:val="006013C1"/>
    <w:rsid w:val="0060669E"/>
    <w:rsid w:val="00610F2E"/>
    <w:rsid w:val="00611399"/>
    <w:rsid w:val="00624227"/>
    <w:rsid w:val="00624C4E"/>
    <w:rsid w:val="00625200"/>
    <w:rsid w:val="00632013"/>
    <w:rsid w:val="006363A8"/>
    <w:rsid w:val="00636DB7"/>
    <w:rsid w:val="00637D1A"/>
    <w:rsid w:val="00644C7E"/>
    <w:rsid w:val="00650905"/>
    <w:rsid w:val="006532ED"/>
    <w:rsid w:val="006549F2"/>
    <w:rsid w:val="006567B7"/>
    <w:rsid w:val="00657BFB"/>
    <w:rsid w:val="0066333C"/>
    <w:rsid w:val="006639B4"/>
    <w:rsid w:val="00664BFF"/>
    <w:rsid w:val="006650FE"/>
    <w:rsid w:val="0067305D"/>
    <w:rsid w:val="00677D9B"/>
    <w:rsid w:val="006867F3"/>
    <w:rsid w:val="00687890"/>
    <w:rsid w:val="006901A2"/>
    <w:rsid w:val="00690368"/>
    <w:rsid w:val="0069079C"/>
    <w:rsid w:val="00690B53"/>
    <w:rsid w:val="00695B72"/>
    <w:rsid w:val="006A0BED"/>
    <w:rsid w:val="006A7F97"/>
    <w:rsid w:val="006B160A"/>
    <w:rsid w:val="006B27FB"/>
    <w:rsid w:val="006B4E6C"/>
    <w:rsid w:val="006B50B6"/>
    <w:rsid w:val="006B51BB"/>
    <w:rsid w:val="006C6B0D"/>
    <w:rsid w:val="006C7467"/>
    <w:rsid w:val="006D2836"/>
    <w:rsid w:val="006D5713"/>
    <w:rsid w:val="006D79EA"/>
    <w:rsid w:val="006E5D05"/>
    <w:rsid w:val="00701053"/>
    <w:rsid w:val="00701507"/>
    <w:rsid w:val="00712876"/>
    <w:rsid w:val="00714021"/>
    <w:rsid w:val="00716A0F"/>
    <w:rsid w:val="00717D45"/>
    <w:rsid w:val="007208F7"/>
    <w:rsid w:val="007218AF"/>
    <w:rsid w:val="007365D1"/>
    <w:rsid w:val="00740E0E"/>
    <w:rsid w:val="00741D5C"/>
    <w:rsid w:val="00750212"/>
    <w:rsid w:val="007532EA"/>
    <w:rsid w:val="00754779"/>
    <w:rsid w:val="0075716D"/>
    <w:rsid w:val="00765F14"/>
    <w:rsid w:val="00770E31"/>
    <w:rsid w:val="00772109"/>
    <w:rsid w:val="0077484C"/>
    <w:rsid w:val="007770F1"/>
    <w:rsid w:val="00783FB1"/>
    <w:rsid w:val="00785B31"/>
    <w:rsid w:val="00785CDD"/>
    <w:rsid w:val="00791847"/>
    <w:rsid w:val="007925F0"/>
    <w:rsid w:val="007939B3"/>
    <w:rsid w:val="0079509C"/>
    <w:rsid w:val="00796708"/>
    <w:rsid w:val="007A3120"/>
    <w:rsid w:val="007A4126"/>
    <w:rsid w:val="007B1B42"/>
    <w:rsid w:val="007C30EB"/>
    <w:rsid w:val="007C361A"/>
    <w:rsid w:val="007D53B3"/>
    <w:rsid w:val="007E063C"/>
    <w:rsid w:val="007E2A4B"/>
    <w:rsid w:val="007E307D"/>
    <w:rsid w:val="007E6A4E"/>
    <w:rsid w:val="007E6C94"/>
    <w:rsid w:val="007F1005"/>
    <w:rsid w:val="007F25E0"/>
    <w:rsid w:val="007F5328"/>
    <w:rsid w:val="00802035"/>
    <w:rsid w:val="00804F5A"/>
    <w:rsid w:val="00810C6D"/>
    <w:rsid w:val="00812887"/>
    <w:rsid w:val="00826F21"/>
    <w:rsid w:val="00834CC8"/>
    <w:rsid w:val="00835E00"/>
    <w:rsid w:val="00837113"/>
    <w:rsid w:val="008414E4"/>
    <w:rsid w:val="00843E21"/>
    <w:rsid w:val="0084508E"/>
    <w:rsid w:val="0085209B"/>
    <w:rsid w:val="0085327B"/>
    <w:rsid w:val="00857A8A"/>
    <w:rsid w:val="00860AB8"/>
    <w:rsid w:val="008630EE"/>
    <w:rsid w:val="00863DFC"/>
    <w:rsid w:val="00864D13"/>
    <w:rsid w:val="00865971"/>
    <w:rsid w:val="00871CD5"/>
    <w:rsid w:val="008745A2"/>
    <w:rsid w:val="008768A8"/>
    <w:rsid w:val="0088798F"/>
    <w:rsid w:val="00887E4B"/>
    <w:rsid w:val="008915C8"/>
    <w:rsid w:val="008A36CF"/>
    <w:rsid w:val="008A3BC4"/>
    <w:rsid w:val="008B403C"/>
    <w:rsid w:val="008B7983"/>
    <w:rsid w:val="008C1E46"/>
    <w:rsid w:val="008C2511"/>
    <w:rsid w:val="008C4AE7"/>
    <w:rsid w:val="008C78F8"/>
    <w:rsid w:val="008D026D"/>
    <w:rsid w:val="008D23AB"/>
    <w:rsid w:val="008D4B8B"/>
    <w:rsid w:val="008D5A78"/>
    <w:rsid w:val="008D6E35"/>
    <w:rsid w:val="008E7B64"/>
    <w:rsid w:val="008F04B3"/>
    <w:rsid w:val="008F261F"/>
    <w:rsid w:val="008F5DCD"/>
    <w:rsid w:val="00900951"/>
    <w:rsid w:val="009118A6"/>
    <w:rsid w:val="009121BC"/>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1C9E"/>
    <w:rsid w:val="0095260E"/>
    <w:rsid w:val="00955AC0"/>
    <w:rsid w:val="0095611A"/>
    <w:rsid w:val="009578DD"/>
    <w:rsid w:val="00961124"/>
    <w:rsid w:val="009621B6"/>
    <w:rsid w:val="00974F2D"/>
    <w:rsid w:val="00977524"/>
    <w:rsid w:val="00977E88"/>
    <w:rsid w:val="00982548"/>
    <w:rsid w:val="00984920"/>
    <w:rsid w:val="0099303A"/>
    <w:rsid w:val="0099310A"/>
    <w:rsid w:val="009971C2"/>
    <w:rsid w:val="009A1254"/>
    <w:rsid w:val="009B2FF2"/>
    <w:rsid w:val="009B380C"/>
    <w:rsid w:val="009B4843"/>
    <w:rsid w:val="009B6543"/>
    <w:rsid w:val="009B7A17"/>
    <w:rsid w:val="009C199D"/>
    <w:rsid w:val="009C278F"/>
    <w:rsid w:val="009C2B94"/>
    <w:rsid w:val="009C5874"/>
    <w:rsid w:val="009D3B5A"/>
    <w:rsid w:val="009E0C05"/>
    <w:rsid w:val="009E0D1C"/>
    <w:rsid w:val="009E2214"/>
    <w:rsid w:val="009E355A"/>
    <w:rsid w:val="009E35B4"/>
    <w:rsid w:val="009E63E2"/>
    <w:rsid w:val="009F04D2"/>
    <w:rsid w:val="009F05CF"/>
    <w:rsid w:val="009F0F3A"/>
    <w:rsid w:val="009F66AD"/>
    <w:rsid w:val="00A01D0C"/>
    <w:rsid w:val="00A052EB"/>
    <w:rsid w:val="00A0643F"/>
    <w:rsid w:val="00A067EE"/>
    <w:rsid w:val="00A10D62"/>
    <w:rsid w:val="00A10FCE"/>
    <w:rsid w:val="00A16D91"/>
    <w:rsid w:val="00A174CC"/>
    <w:rsid w:val="00A2073D"/>
    <w:rsid w:val="00A20751"/>
    <w:rsid w:val="00A27E2D"/>
    <w:rsid w:val="00A31D99"/>
    <w:rsid w:val="00A350EC"/>
    <w:rsid w:val="00A357BA"/>
    <w:rsid w:val="00A35ADC"/>
    <w:rsid w:val="00A402A3"/>
    <w:rsid w:val="00A53681"/>
    <w:rsid w:val="00A633D4"/>
    <w:rsid w:val="00A6461A"/>
    <w:rsid w:val="00A84504"/>
    <w:rsid w:val="00A85D3A"/>
    <w:rsid w:val="00A8672F"/>
    <w:rsid w:val="00A93057"/>
    <w:rsid w:val="00A93547"/>
    <w:rsid w:val="00A968B0"/>
    <w:rsid w:val="00AB2672"/>
    <w:rsid w:val="00AB2817"/>
    <w:rsid w:val="00AB43C4"/>
    <w:rsid w:val="00AC0E87"/>
    <w:rsid w:val="00AC32E7"/>
    <w:rsid w:val="00AC3A9F"/>
    <w:rsid w:val="00AC413C"/>
    <w:rsid w:val="00AC625B"/>
    <w:rsid w:val="00AC6D2F"/>
    <w:rsid w:val="00AE2745"/>
    <w:rsid w:val="00AE2F64"/>
    <w:rsid w:val="00AE77A7"/>
    <w:rsid w:val="00AF3823"/>
    <w:rsid w:val="00AF42CB"/>
    <w:rsid w:val="00AF483F"/>
    <w:rsid w:val="00AF5E07"/>
    <w:rsid w:val="00AF5F06"/>
    <w:rsid w:val="00B00A25"/>
    <w:rsid w:val="00B1422A"/>
    <w:rsid w:val="00B1765C"/>
    <w:rsid w:val="00B204E7"/>
    <w:rsid w:val="00B213C4"/>
    <w:rsid w:val="00B301D4"/>
    <w:rsid w:val="00B40C60"/>
    <w:rsid w:val="00B479A9"/>
    <w:rsid w:val="00B51E42"/>
    <w:rsid w:val="00B52EDF"/>
    <w:rsid w:val="00B5618A"/>
    <w:rsid w:val="00B66203"/>
    <w:rsid w:val="00B71188"/>
    <w:rsid w:val="00B76A41"/>
    <w:rsid w:val="00B87D4C"/>
    <w:rsid w:val="00B91C58"/>
    <w:rsid w:val="00B91F59"/>
    <w:rsid w:val="00B93646"/>
    <w:rsid w:val="00BA0B38"/>
    <w:rsid w:val="00BA1DBB"/>
    <w:rsid w:val="00BA4510"/>
    <w:rsid w:val="00BA529A"/>
    <w:rsid w:val="00BA5B34"/>
    <w:rsid w:val="00BB5A06"/>
    <w:rsid w:val="00BB612A"/>
    <w:rsid w:val="00BD4528"/>
    <w:rsid w:val="00BD499F"/>
    <w:rsid w:val="00BD56DE"/>
    <w:rsid w:val="00BD7BAB"/>
    <w:rsid w:val="00BF2406"/>
    <w:rsid w:val="00C06E43"/>
    <w:rsid w:val="00C16315"/>
    <w:rsid w:val="00C2431D"/>
    <w:rsid w:val="00C3091E"/>
    <w:rsid w:val="00C40FF1"/>
    <w:rsid w:val="00C419E2"/>
    <w:rsid w:val="00C5020E"/>
    <w:rsid w:val="00C5042A"/>
    <w:rsid w:val="00C50C07"/>
    <w:rsid w:val="00C51CC4"/>
    <w:rsid w:val="00C5314F"/>
    <w:rsid w:val="00C57452"/>
    <w:rsid w:val="00C61EDF"/>
    <w:rsid w:val="00C6239D"/>
    <w:rsid w:val="00C6594B"/>
    <w:rsid w:val="00C65D73"/>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D2BFD"/>
    <w:rsid w:val="00CD30EC"/>
    <w:rsid w:val="00CE5AD6"/>
    <w:rsid w:val="00CE617F"/>
    <w:rsid w:val="00CE78EF"/>
    <w:rsid w:val="00CF5949"/>
    <w:rsid w:val="00D048F7"/>
    <w:rsid w:val="00D0517E"/>
    <w:rsid w:val="00D140FC"/>
    <w:rsid w:val="00D21D8C"/>
    <w:rsid w:val="00D31357"/>
    <w:rsid w:val="00D33220"/>
    <w:rsid w:val="00D334D1"/>
    <w:rsid w:val="00D360B9"/>
    <w:rsid w:val="00D36D6C"/>
    <w:rsid w:val="00D37243"/>
    <w:rsid w:val="00D44C89"/>
    <w:rsid w:val="00D516CD"/>
    <w:rsid w:val="00D577AB"/>
    <w:rsid w:val="00D65E60"/>
    <w:rsid w:val="00D668E6"/>
    <w:rsid w:val="00D70670"/>
    <w:rsid w:val="00D74D80"/>
    <w:rsid w:val="00D76624"/>
    <w:rsid w:val="00D8033D"/>
    <w:rsid w:val="00D82E8E"/>
    <w:rsid w:val="00D87570"/>
    <w:rsid w:val="00D91CB9"/>
    <w:rsid w:val="00D97989"/>
    <w:rsid w:val="00D97D8D"/>
    <w:rsid w:val="00DA352E"/>
    <w:rsid w:val="00DA42AD"/>
    <w:rsid w:val="00DC473F"/>
    <w:rsid w:val="00DC7694"/>
    <w:rsid w:val="00DD1BF6"/>
    <w:rsid w:val="00DD2F9B"/>
    <w:rsid w:val="00DE2513"/>
    <w:rsid w:val="00DE26E8"/>
    <w:rsid w:val="00DE66BF"/>
    <w:rsid w:val="00DF6F36"/>
    <w:rsid w:val="00E0084C"/>
    <w:rsid w:val="00E025AB"/>
    <w:rsid w:val="00E02B23"/>
    <w:rsid w:val="00E04099"/>
    <w:rsid w:val="00E06F40"/>
    <w:rsid w:val="00E07ABE"/>
    <w:rsid w:val="00E07CE8"/>
    <w:rsid w:val="00E1241A"/>
    <w:rsid w:val="00E221A1"/>
    <w:rsid w:val="00E26A07"/>
    <w:rsid w:val="00E32595"/>
    <w:rsid w:val="00E37CFD"/>
    <w:rsid w:val="00E41A26"/>
    <w:rsid w:val="00E44A72"/>
    <w:rsid w:val="00E46BCB"/>
    <w:rsid w:val="00E51CAF"/>
    <w:rsid w:val="00E60F04"/>
    <w:rsid w:val="00E62AAC"/>
    <w:rsid w:val="00E67C2F"/>
    <w:rsid w:val="00E67EF5"/>
    <w:rsid w:val="00E804EA"/>
    <w:rsid w:val="00E80A71"/>
    <w:rsid w:val="00E82337"/>
    <w:rsid w:val="00E82B9B"/>
    <w:rsid w:val="00E92499"/>
    <w:rsid w:val="00E928AC"/>
    <w:rsid w:val="00E949AF"/>
    <w:rsid w:val="00E96077"/>
    <w:rsid w:val="00EA0A06"/>
    <w:rsid w:val="00EA3925"/>
    <w:rsid w:val="00EA6243"/>
    <w:rsid w:val="00EA74AB"/>
    <w:rsid w:val="00EB3D1B"/>
    <w:rsid w:val="00EC0478"/>
    <w:rsid w:val="00ED1D89"/>
    <w:rsid w:val="00ED66BC"/>
    <w:rsid w:val="00ED7C2C"/>
    <w:rsid w:val="00EF1ACD"/>
    <w:rsid w:val="00EF233A"/>
    <w:rsid w:val="00EF303E"/>
    <w:rsid w:val="00EF3A40"/>
    <w:rsid w:val="00EF7F78"/>
    <w:rsid w:val="00F01B08"/>
    <w:rsid w:val="00F01C4D"/>
    <w:rsid w:val="00F02EA5"/>
    <w:rsid w:val="00F053FA"/>
    <w:rsid w:val="00F10C97"/>
    <w:rsid w:val="00F11C71"/>
    <w:rsid w:val="00F16019"/>
    <w:rsid w:val="00F20E68"/>
    <w:rsid w:val="00F22093"/>
    <w:rsid w:val="00F236DF"/>
    <w:rsid w:val="00F2431D"/>
    <w:rsid w:val="00F25986"/>
    <w:rsid w:val="00F3421A"/>
    <w:rsid w:val="00F43AD5"/>
    <w:rsid w:val="00F4402E"/>
    <w:rsid w:val="00F53564"/>
    <w:rsid w:val="00F56DD0"/>
    <w:rsid w:val="00F62175"/>
    <w:rsid w:val="00F6491C"/>
    <w:rsid w:val="00F67BBB"/>
    <w:rsid w:val="00F878EA"/>
    <w:rsid w:val="00F87D92"/>
    <w:rsid w:val="00F90AA7"/>
    <w:rsid w:val="00F92498"/>
    <w:rsid w:val="00F929F6"/>
    <w:rsid w:val="00F9496B"/>
    <w:rsid w:val="00F970C9"/>
    <w:rsid w:val="00FA06A8"/>
    <w:rsid w:val="00FA3DF5"/>
    <w:rsid w:val="00FA741F"/>
    <w:rsid w:val="00FB4C5D"/>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7"/>
    <o:shapelayout v:ext="edit">
      <o:idmap v:ext="edit" data="1"/>
    </o:shapelayout>
  </w:shapeDefaults>
  <w:decimalSymbol w:val="."/>
  <w:listSeparator w:val=","/>
  <w14:docId w14:val="54038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EF1ACD"/>
    <w:rPr>
      <w:sz w:val="16"/>
      <w:szCs w:val="16"/>
    </w:rPr>
  </w:style>
  <w:style w:type="paragraph" w:styleId="CommentText">
    <w:name w:val="annotation text"/>
    <w:basedOn w:val="Normal"/>
    <w:link w:val="CommentTextChar"/>
    <w:uiPriority w:val="99"/>
    <w:semiHidden/>
    <w:unhideWhenUsed/>
    <w:rsid w:val="00EF1ACD"/>
    <w:pPr>
      <w:spacing w:line="240" w:lineRule="auto"/>
    </w:pPr>
    <w:rPr>
      <w:szCs w:val="20"/>
    </w:rPr>
  </w:style>
  <w:style w:type="character" w:customStyle="1" w:styleId="CommentTextChar">
    <w:name w:val="Comment Text Char"/>
    <w:basedOn w:val="DefaultParagraphFont"/>
    <w:link w:val="CommentText"/>
    <w:uiPriority w:val="99"/>
    <w:semiHidden/>
    <w:rsid w:val="00EF1ACD"/>
    <w:rPr>
      <w:szCs w:val="20"/>
    </w:rPr>
  </w:style>
  <w:style w:type="paragraph" w:styleId="CommentSubject">
    <w:name w:val="annotation subject"/>
    <w:basedOn w:val="CommentText"/>
    <w:next w:val="CommentText"/>
    <w:link w:val="CommentSubjectChar"/>
    <w:uiPriority w:val="99"/>
    <w:semiHidden/>
    <w:unhideWhenUsed/>
    <w:rsid w:val="00EF1ACD"/>
    <w:rPr>
      <w:b/>
      <w:bCs/>
    </w:rPr>
  </w:style>
  <w:style w:type="character" w:customStyle="1" w:styleId="CommentSubjectChar">
    <w:name w:val="Comment Subject Char"/>
    <w:basedOn w:val="CommentTextChar"/>
    <w:link w:val="CommentSubject"/>
    <w:uiPriority w:val="99"/>
    <w:semiHidden/>
    <w:rsid w:val="00EF1ACD"/>
    <w:rPr>
      <w:b/>
      <w:bCs/>
      <w:szCs w:val="20"/>
    </w:rPr>
  </w:style>
  <w:style w:type="table" w:styleId="LightShading-Accent2">
    <w:name w:val="Light Shading Accent 2"/>
    <w:aliases w:val="SWA Table Style"/>
    <w:basedOn w:val="TableNormal"/>
    <w:uiPriority w:val="60"/>
    <w:rsid w:val="00A85D3A"/>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 w:type="paragraph" w:styleId="ListBullet">
    <w:name w:val="List Bullet"/>
    <w:basedOn w:val="Normal"/>
    <w:uiPriority w:val="99"/>
    <w:unhideWhenUsed/>
    <w:rsid w:val="00D577AB"/>
    <w:pPr>
      <w:numPr>
        <w:numId w:val="1"/>
      </w:numPr>
      <w:contextualSpacing/>
    </w:pPr>
  </w:style>
  <w:style w:type="paragraph" w:styleId="Revision">
    <w:name w:val="Revision"/>
    <w:hidden/>
    <w:uiPriority w:val="99"/>
    <w:semiHidden/>
    <w:rsid w:val="008D6E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5CBFEC560F894890BBD09B93174FFAE0"/>
        <w:category>
          <w:name w:val="General"/>
          <w:gallery w:val="placeholder"/>
        </w:category>
        <w:types>
          <w:type w:val="bbPlcHdr"/>
        </w:types>
        <w:behaviors>
          <w:behavior w:val="content"/>
        </w:behaviors>
        <w:guid w:val="{7DD8AA47-26C1-43F2-BE0B-3C03EF3669BD}"/>
      </w:docPartPr>
      <w:docPartBody>
        <w:p w:rsidR="00D21A9F" w:rsidRDefault="00D21A9F">
          <w:pPr>
            <w:pStyle w:val="5CBFEC560F894890BBD09B93174FFAE0"/>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C463C06C05DE4107A7333354236626D6"/>
        <w:category>
          <w:name w:val="General"/>
          <w:gallery w:val="placeholder"/>
        </w:category>
        <w:types>
          <w:type w:val="bbPlcHdr"/>
        </w:types>
        <w:behaviors>
          <w:behavior w:val="content"/>
        </w:behaviors>
        <w:guid w:val="{F655265C-28E5-40CB-B7FE-D67F0ED4874C}"/>
      </w:docPartPr>
      <w:docPartBody>
        <w:p w:rsidR="00BE3485" w:rsidRDefault="00802826" w:rsidP="00802826">
          <w:pPr>
            <w:pStyle w:val="C463C06C05DE4107A7333354236626D6"/>
          </w:pPr>
          <w:r>
            <w:rPr>
              <w:rStyle w:val="PlaceholderText"/>
            </w:rPr>
            <w:t>Has this value changed?</w:t>
          </w:r>
        </w:p>
      </w:docPartBody>
    </w:docPart>
    <w:docPart>
      <w:docPartPr>
        <w:name w:val="45AD322AC0724419990096B5B2AB1691"/>
        <w:category>
          <w:name w:val="General"/>
          <w:gallery w:val="placeholder"/>
        </w:category>
        <w:types>
          <w:type w:val="bbPlcHdr"/>
        </w:types>
        <w:behaviors>
          <w:behavior w:val="content"/>
        </w:behaviors>
        <w:guid w:val="{492A93BF-4A61-415F-80B8-C664DA3F0251}"/>
      </w:docPartPr>
      <w:docPartBody>
        <w:p w:rsidR="00423E3E" w:rsidRDefault="00232008" w:rsidP="00232008">
          <w:pPr>
            <w:pStyle w:val="45AD322AC0724419990096B5B2AB1691"/>
          </w:pPr>
          <w:r w:rsidRPr="001D56F0">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Bold">
    <w:altName w:val="Arial"/>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A5695"/>
    <w:rsid w:val="001B33EE"/>
    <w:rsid w:val="00232008"/>
    <w:rsid w:val="00337FD0"/>
    <w:rsid w:val="00423E3E"/>
    <w:rsid w:val="00485B0D"/>
    <w:rsid w:val="0073672A"/>
    <w:rsid w:val="00802826"/>
    <w:rsid w:val="0082066A"/>
    <w:rsid w:val="009C4E78"/>
    <w:rsid w:val="00BE3485"/>
    <w:rsid w:val="00D21A9F"/>
    <w:rsid w:val="00FD3D8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32008"/>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0168237C60E6479CAFA3D9A1A8409B78">
    <w:name w:val="0168237C60E6479CAFA3D9A1A8409B78"/>
  </w:style>
  <w:style w:type="paragraph" w:customStyle="1" w:styleId="5CBFEC560F894890BBD09B93174FFAE0">
    <w:name w:val="5CBFEC560F894890BBD09B93174FFAE0"/>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C463C06C05DE4107A7333354236626D6">
    <w:name w:val="C463C06C05DE4107A7333354236626D6"/>
    <w:rsid w:val="00802826"/>
  </w:style>
  <w:style w:type="paragraph" w:customStyle="1" w:styleId="45AD322AC0724419990096B5B2AB1691">
    <w:name w:val="45AD322AC0724419990096B5B2AB1691"/>
    <w:rsid w:val="002320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568D9B-45CF-4927-A653-20C73F7964B2}">
  <ds:schemaRefs>
    <ds:schemaRef ds:uri="http://purl.org/dc/terms/"/>
    <ds:schemaRef ds:uri="http://schemas.openxmlformats.org/package/2006/metadata/core-properties"/>
    <ds:schemaRef ds:uri="http://purl.org/dc/dcmitype/"/>
    <ds:schemaRef ds:uri="bf54d604-3e62-4e70-ba33-9e9084b96a66"/>
    <ds:schemaRef ds:uri="http://purl.org/dc/elements/1.1/"/>
    <ds:schemaRef ds:uri="http://schemas.microsoft.com/office/2006/documentManagement/types"/>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CEB7A4C-97E5-4940-BD46-99079DC40EBB}">
  <ds:schemaRefs>
    <ds:schemaRef ds:uri="http://schemas.microsoft.com/sharepoint/v3/contenttype/forms"/>
  </ds:schemaRefs>
</ds:datastoreItem>
</file>

<file path=customXml/itemProps3.xml><?xml version="1.0" encoding="utf-8"?>
<ds:datastoreItem xmlns:ds="http://schemas.openxmlformats.org/officeDocument/2006/customXml" ds:itemID="{80954002-E281-43B0-8F1C-12316D202610}">
  <ds:schemaRefs>
    <ds:schemaRef ds:uri="http://schemas.openxmlformats.org/officeDocument/2006/bibliography"/>
  </ds:schemaRefs>
</ds:datastoreItem>
</file>

<file path=customXml/itemProps4.xml><?xml version="1.0" encoding="utf-8"?>
<ds:datastoreItem xmlns:ds="http://schemas.openxmlformats.org/officeDocument/2006/customXml" ds:itemID="{5EDFB78C-35F3-4C54-8AB4-3BAFDF4642B5}"/>
</file>

<file path=docProps/app.xml><?xml version="1.0" encoding="utf-8"?>
<Properties xmlns="http://schemas.openxmlformats.org/officeDocument/2006/extended-properties" xmlns:vt="http://schemas.openxmlformats.org/officeDocument/2006/docPropsVTypes">
  <Template>Normal</Template>
  <TotalTime>0</TotalTime>
  <Pages>4</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2019-10-08T00:02:00Z</dcterms:created>
  <dcterms:modified xsi:type="dcterms:W3CDTF">2025-12-22T03:49:00Z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2025-12-22T03:49:21Z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44bc16ca-32ca-495b-8b3c-3b702bdfb82c</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