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693BA01B" w14:textId="418BF247" w:rsidR="00BD499F" w:rsidRPr="004C23F4" w:rsidRDefault="00212A63" w:rsidP="00B40C60">
          <w:pPr>
            <w:pStyle w:val="Heading1"/>
            <w:jc w:val="center"/>
            <w:rPr>
              <w:rFonts w:ascii="Arial" w:hAnsi="Arial" w:cs="Arial"/>
            </w:rPr>
          </w:pPr>
          <w:r w:rsidRPr="00212A63">
            <w:rPr>
              <w:rFonts w:ascii="Arial" w:hAnsi="Arial" w:cs="Arial"/>
            </w:rPr>
            <w:t>Dibutyl phenyl phosphate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8"/>
        <w:gridCol w:w="5038"/>
      </w:tblGrid>
      <w:tr w:rsidR="00F43AD5" w:rsidRPr="004C23F4" w14:paraId="2B57353B" w14:textId="77777777" w:rsidTr="003B7B1C">
        <w:trPr>
          <w:cantSplit/>
          <w:tblHeader/>
        </w:trPr>
        <w:tc>
          <w:tcPr>
            <w:tcW w:w="3988" w:type="dxa"/>
          </w:tcPr>
          <w:p w14:paraId="2F7A0FEA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38" w:type="dxa"/>
          </w:tcPr>
          <w:p w14:paraId="78C15141" w14:textId="67C51ABD" w:rsidR="00F43AD5" w:rsidRPr="00717D45" w:rsidRDefault="00212A63" w:rsidP="00B76A41">
            <w:pPr>
              <w:pStyle w:val="Tablefont"/>
            </w:pPr>
            <w:r w:rsidRPr="00212A63">
              <w:t>2528-36-1</w:t>
            </w:r>
          </w:p>
        </w:tc>
      </w:tr>
      <w:tr w:rsidR="00F43AD5" w:rsidRPr="004C23F4" w14:paraId="0593B9A7" w14:textId="77777777" w:rsidTr="003B7B1C">
        <w:trPr>
          <w:cantSplit/>
        </w:trPr>
        <w:tc>
          <w:tcPr>
            <w:tcW w:w="3988" w:type="dxa"/>
          </w:tcPr>
          <w:p w14:paraId="4BA1F3C5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38" w:type="dxa"/>
          </w:tcPr>
          <w:p w14:paraId="1F11B684" w14:textId="3A6CDAE4" w:rsidR="00F43AD5" w:rsidRPr="00717D45" w:rsidRDefault="00212A63" w:rsidP="00B76A41">
            <w:pPr>
              <w:pStyle w:val="Tablefont"/>
            </w:pPr>
            <w:r>
              <w:t xml:space="preserve">DBPP, </w:t>
            </w:r>
            <w:r w:rsidR="00E60276">
              <w:t>p</w:t>
            </w:r>
            <w:r>
              <w:t>hosphoric acid, dibutyl phenyl ester</w:t>
            </w:r>
          </w:p>
        </w:tc>
      </w:tr>
      <w:tr w:rsidR="00F43AD5" w:rsidRPr="004C23F4" w14:paraId="69C5E1F0" w14:textId="77777777" w:rsidTr="003B7B1C">
        <w:trPr>
          <w:cantSplit/>
        </w:trPr>
        <w:tc>
          <w:tcPr>
            <w:tcW w:w="3988" w:type="dxa"/>
          </w:tcPr>
          <w:p w14:paraId="0F45EB07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38" w:type="dxa"/>
          </w:tcPr>
          <w:p w14:paraId="0856173B" w14:textId="1937A8B2" w:rsidR="00F43AD5" w:rsidRPr="00717D45" w:rsidRDefault="00212A63" w:rsidP="00B76A41">
            <w:pPr>
              <w:pStyle w:val="Tablefont"/>
            </w:pPr>
            <w:r>
              <w:t>C</w:t>
            </w:r>
            <w:r w:rsidRPr="00212A63">
              <w:rPr>
                <w:vertAlign w:val="subscript"/>
              </w:rPr>
              <w:t>14</w:t>
            </w:r>
            <w:r>
              <w:t>H</w:t>
            </w:r>
            <w:r w:rsidRPr="00212A63">
              <w:rPr>
                <w:vertAlign w:val="subscript"/>
              </w:rPr>
              <w:t>23</w:t>
            </w:r>
            <w:r>
              <w:t>PO</w:t>
            </w:r>
            <w:r w:rsidRPr="00212A63">
              <w:rPr>
                <w:vertAlign w:val="subscript"/>
              </w:rPr>
              <w:t>4</w:t>
            </w:r>
          </w:p>
        </w:tc>
      </w:tr>
    </w:tbl>
    <w:p w14:paraId="44B92A5D" w14:textId="5FA27CD9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61039F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54602398" w14:textId="77777777" w:rsidTr="00230B73">
        <w:trPr>
          <w:cantSplit/>
          <w:tblHeader/>
        </w:trPr>
        <w:tc>
          <w:tcPr>
            <w:tcW w:w="3997" w:type="dxa"/>
            <w:vAlign w:val="center"/>
          </w:tcPr>
          <w:p w14:paraId="0E9B0FAC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9" w:type="dxa"/>
          </w:tcPr>
          <w:p w14:paraId="6DB503D0" w14:textId="64ACAA71" w:rsidR="002C7AFE" w:rsidRPr="00EB3D1B" w:rsidRDefault="0061039F" w:rsidP="00017C82">
            <w:pPr>
              <w:pStyle w:val="Tablefont"/>
              <w:rPr>
                <w:b/>
              </w:rPr>
            </w:pPr>
            <w:r w:rsidRPr="0061039F">
              <w:rPr>
                <w:b/>
              </w:rPr>
              <w:t>TWA: 0.3 ppm (3.5 mg/m</w:t>
            </w:r>
            <w:r w:rsidRPr="0061039F">
              <w:rPr>
                <w:b/>
                <w:vertAlign w:val="superscript"/>
              </w:rPr>
              <w:t>3</w:t>
            </w:r>
            <w:r w:rsidRPr="0061039F">
              <w:rPr>
                <w:b/>
              </w:rPr>
              <w:t>)</w:t>
            </w:r>
          </w:p>
        </w:tc>
      </w:tr>
      <w:tr w:rsidR="002C7AFE" w:rsidRPr="004C23F4" w14:paraId="7A07BEF7" w14:textId="77777777" w:rsidTr="00230B73">
        <w:trPr>
          <w:cantSplit/>
        </w:trPr>
        <w:tc>
          <w:tcPr>
            <w:tcW w:w="3997" w:type="dxa"/>
            <w:vAlign w:val="center"/>
          </w:tcPr>
          <w:p w14:paraId="074260C1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9" w:type="dxa"/>
          </w:tcPr>
          <w:p w14:paraId="18867A1F" w14:textId="7B3A9E2E" w:rsidR="002C7AFE" w:rsidRPr="00E60276" w:rsidRDefault="0061039F" w:rsidP="00017C82">
            <w:pPr>
              <w:pStyle w:val="Tablefont"/>
              <w:rPr>
                <w:b/>
              </w:rPr>
            </w:pPr>
            <w:r w:rsidRPr="00C8074E">
              <w:rPr>
                <w:b/>
              </w:rPr>
              <w:t>—</w:t>
            </w:r>
          </w:p>
        </w:tc>
      </w:tr>
      <w:tr w:rsidR="002C7AFE" w:rsidRPr="004C23F4" w14:paraId="45FAD00A" w14:textId="77777777" w:rsidTr="00230B73">
        <w:trPr>
          <w:cantSplit/>
        </w:trPr>
        <w:tc>
          <w:tcPr>
            <w:tcW w:w="3997" w:type="dxa"/>
            <w:vAlign w:val="center"/>
          </w:tcPr>
          <w:p w14:paraId="1636036B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9" w:type="dxa"/>
          </w:tcPr>
          <w:p w14:paraId="312DD2C0" w14:textId="63FEF33D" w:rsidR="002C7AFE" w:rsidRPr="00E60276" w:rsidRDefault="0061039F" w:rsidP="00017C82">
            <w:pPr>
              <w:pStyle w:val="Tablefont"/>
              <w:rPr>
                <w:b/>
              </w:rPr>
            </w:pPr>
            <w:r w:rsidRPr="00C8074E">
              <w:rPr>
                <w:b/>
              </w:rPr>
              <w:t>—</w:t>
            </w:r>
          </w:p>
        </w:tc>
      </w:tr>
      <w:tr w:rsidR="002C7AFE" w:rsidRPr="004C23F4" w14:paraId="715FEE67" w14:textId="77777777" w:rsidTr="00230B73">
        <w:trPr>
          <w:cantSplit/>
        </w:trPr>
        <w:tc>
          <w:tcPr>
            <w:tcW w:w="3997" w:type="dxa"/>
          </w:tcPr>
          <w:p w14:paraId="420BE3A1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9" w:type="dxa"/>
          </w:tcPr>
          <w:p w14:paraId="5D2862B7" w14:textId="3EA5B035" w:rsidR="002C7AFE" w:rsidRPr="00E60276" w:rsidRDefault="00C8074E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1BF35311" w14:textId="77777777" w:rsidTr="00230B73">
        <w:trPr>
          <w:cantSplit/>
        </w:trPr>
        <w:tc>
          <w:tcPr>
            <w:tcW w:w="3997" w:type="dxa"/>
            <w:vAlign w:val="center"/>
          </w:tcPr>
          <w:p w14:paraId="0849E327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9" w:type="dxa"/>
          </w:tcPr>
          <w:p w14:paraId="159BFADB" w14:textId="6EDD6E14" w:rsidR="002C7AFE" w:rsidRPr="00E60276" w:rsidRDefault="00212A63" w:rsidP="00017C82">
            <w:pPr>
              <w:pStyle w:val="Tablefont"/>
              <w:rPr>
                <w:b/>
              </w:rPr>
            </w:pPr>
            <w:r w:rsidRPr="00C8074E">
              <w:rPr>
                <w:b/>
              </w:rPr>
              <w:t>—</w:t>
            </w:r>
          </w:p>
        </w:tc>
      </w:tr>
      <w:tr w:rsidR="00230B73" w:rsidRPr="004C23F4" w14:paraId="778B5C07" w14:textId="77777777" w:rsidTr="00685D22">
        <w:trPr>
          <w:cantSplit/>
        </w:trPr>
        <w:tc>
          <w:tcPr>
            <w:tcW w:w="9026" w:type="dxa"/>
            <w:gridSpan w:val="2"/>
          </w:tcPr>
          <w:p w14:paraId="37489BBC" w14:textId="748959B1" w:rsidR="00230B73" w:rsidRPr="006A2D66" w:rsidRDefault="00230B73" w:rsidP="00017C82">
            <w:pPr>
              <w:pStyle w:val="Tablefont"/>
            </w:pPr>
            <w:r w:rsidRPr="0039000C">
              <w:rPr>
                <w:b/>
              </w:rPr>
              <w:t>Sampling and analysis</w:t>
            </w:r>
            <w:r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57D0919241F34D3796D924A7F8843D08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39000C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3856657D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CAA0E12" w14:textId="2C350DD6" w:rsidR="0061039F" w:rsidRPr="0080399B" w:rsidRDefault="0061039F" w:rsidP="0061039F">
      <w:pPr>
        <w:rPr>
          <w:rFonts w:eastAsia="Calibri" w:cs="Times New Roman"/>
        </w:rPr>
      </w:pPr>
      <w:r w:rsidRPr="0080399B">
        <w:rPr>
          <w:rFonts w:eastAsia="Calibri" w:cs="Times New Roman"/>
        </w:rPr>
        <w:t xml:space="preserve">A TWA of </w:t>
      </w:r>
      <w:r w:rsidRPr="0061039F">
        <w:rPr>
          <w:rFonts w:eastAsia="Calibri" w:cs="Times New Roman"/>
        </w:rPr>
        <w:t>0.3 ppm (3.5 mg/m</w:t>
      </w:r>
      <w:r w:rsidRPr="0061039F">
        <w:rPr>
          <w:rFonts w:eastAsia="Calibri" w:cs="Times New Roman"/>
          <w:vertAlign w:val="superscript"/>
        </w:rPr>
        <w:t>3</w:t>
      </w:r>
      <w:r w:rsidRPr="0061039F">
        <w:rPr>
          <w:rFonts w:eastAsia="Calibri" w:cs="Times New Roman"/>
        </w:rPr>
        <w:t>)</w:t>
      </w:r>
      <w:r w:rsidRPr="0080399B">
        <w:rPr>
          <w:rFonts w:eastAsia="Calibri" w:cs="Times New Roman"/>
        </w:rPr>
        <w:t xml:space="preserve"> is </w:t>
      </w:r>
      <w:r w:rsidR="006A2D66">
        <w:rPr>
          <w:rFonts w:eastAsia="Calibri" w:cs="Times New Roman"/>
        </w:rPr>
        <w:t>recommended</w:t>
      </w:r>
      <w:r w:rsidR="006A2D66" w:rsidRPr="0080399B">
        <w:rPr>
          <w:rFonts w:eastAsia="Calibri" w:cs="Times New Roman"/>
        </w:rPr>
        <w:t xml:space="preserve"> </w:t>
      </w:r>
      <w:r w:rsidRPr="0080399B">
        <w:rPr>
          <w:rFonts w:eastAsia="Calibri" w:cs="Times New Roman"/>
        </w:rPr>
        <w:t xml:space="preserve">to protect for </w:t>
      </w:r>
      <w:r>
        <w:t>eye, respiratory tract and skin irritation as well as cholinergic effects in exposed workers</w:t>
      </w:r>
      <w:r w:rsidRPr="0080399B">
        <w:rPr>
          <w:rFonts w:eastAsia="Calibri" w:cs="Times New Roman"/>
        </w:rPr>
        <w:t xml:space="preserve">. </w:t>
      </w:r>
    </w:p>
    <w:p w14:paraId="22EACA3E" w14:textId="77777777" w:rsidR="0061039F" w:rsidRDefault="0061039F" w:rsidP="0061039F">
      <w:pPr>
        <w:pStyle w:val="Heading2"/>
      </w:pPr>
      <w:r>
        <w:t>Discussion and conclusions</w:t>
      </w:r>
    </w:p>
    <w:p w14:paraId="245D7030" w14:textId="6E755AD0" w:rsidR="0061039F" w:rsidRDefault="0061039F" w:rsidP="0061039F">
      <w:pPr>
        <w:rPr>
          <w:rFonts w:cs="Arial"/>
        </w:rPr>
      </w:pPr>
      <w:r w:rsidRPr="0061039F">
        <w:rPr>
          <w:rFonts w:cs="Arial"/>
        </w:rPr>
        <w:t xml:space="preserve">Dibutyl phenyl phosphate </w:t>
      </w:r>
      <w:r>
        <w:rPr>
          <w:rFonts w:cs="Arial"/>
        </w:rPr>
        <w:t xml:space="preserve">is used </w:t>
      </w:r>
      <w:r w:rsidR="007548B7" w:rsidRPr="008F50A2">
        <w:rPr>
          <w:rFonts w:cs="Arial"/>
        </w:rPr>
        <w:t xml:space="preserve">in the production of </w:t>
      </w:r>
      <w:r w:rsidR="006A2D66">
        <w:rPr>
          <w:rFonts w:cs="Arial"/>
        </w:rPr>
        <w:t xml:space="preserve">aviation </w:t>
      </w:r>
      <w:r w:rsidR="007548B7">
        <w:rPr>
          <w:rFonts w:cs="Arial"/>
        </w:rPr>
        <w:t>hydraulic fluids</w:t>
      </w:r>
      <w:r w:rsidR="006A2D66">
        <w:rPr>
          <w:rFonts w:cs="Arial"/>
        </w:rPr>
        <w:t>.</w:t>
      </w:r>
    </w:p>
    <w:p w14:paraId="483F925A" w14:textId="3D3FB508" w:rsidR="00C903C6" w:rsidRDefault="007548B7" w:rsidP="0061039F">
      <w:r>
        <w:rPr>
          <w:rFonts w:cs="Arial"/>
        </w:rPr>
        <w:t xml:space="preserve">In an acute animal </w:t>
      </w:r>
      <w:r w:rsidR="0061039F">
        <w:rPr>
          <w:rFonts w:cs="Arial"/>
        </w:rPr>
        <w:t>exposure study</w:t>
      </w:r>
      <w:r w:rsidR="00C4117D">
        <w:rPr>
          <w:rFonts w:cs="Arial"/>
        </w:rPr>
        <w:t xml:space="preserve"> </w:t>
      </w:r>
      <w:r w:rsidR="00F71698">
        <w:rPr>
          <w:rFonts w:cs="Arial"/>
        </w:rPr>
        <w:t>conducted by a manufacturer involving dermal application</w:t>
      </w:r>
      <w:r>
        <w:rPr>
          <w:rFonts w:cs="Arial"/>
        </w:rPr>
        <w:t xml:space="preserve"> a </w:t>
      </w:r>
      <w:r>
        <w:t xml:space="preserve">reduction of plasma cholinesterase </w:t>
      </w:r>
      <w:r w:rsidR="003B7B1C">
        <w:t xml:space="preserve">(ChE) </w:t>
      </w:r>
      <w:r>
        <w:t xml:space="preserve">activity and reduction in brain and erythrocyte </w:t>
      </w:r>
      <w:r w:rsidR="003B7B1C">
        <w:t>ChE</w:t>
      </w:r>
      <w:r>
        <w:t xml:space="preserve"> activity</w:t>
      </w:r>
      <w:r w:rsidR="0061039F">
        <w:rPr>
          <w:rFonts w:cs="Arial"/>
        </w:rPr>
        <w:t xml:space="preserve"> was observed</w:t>
      </w:r>
      <w:r w:rsidR="0061039F" w:rsidRPr="00CC77B3">
        <w:rPr>
          <w:rFonts w:cs="Arial"/>
        </w:rPr>
        <w:t xml:space="preserve"> </w:t>
      </w:r>
      <w:r w:rsidR="0061039F">
        <w:rPr>
          <w:rFonts w:cs="Arial"/>
        </w:rPr>
        <w:t xml:space="preserve">with a </w:t>
      </w:r>
      <w:r w:rsidR="006A2D66">
        <w:rPr>
          <w:rFonts w:cs="Arial"/>
        </w:rPr>
        <w:t xml:space="preserve">systemic </w:t>
      </w:r>
      <w:r w:rsidR="0061039F">
        <w:rPr>
          <w:rFonts w:cs="Arial"/>
        </w:rPr>
        <w:t xml:space="preserve">NOEL of </w:t>
      </w:r>
      <w:r>
        <w:rPr>
          <w:rFonts w:cs="Arial"/>
        </w:rPr>
        <w:t>10</w:t>
      </w:r>
      <w:r w:rsidR="006A2D66">
        <w:rPr>
          <w:rFonts w:cs="Arial"/>
        </w:rPr>
        <w:t> </w:t>
      </w:r>
      <w:r>
        <w:rPr>
          <w:rFonts w:cs="Arial"/>
        </w:rPr>
        <w:t>mg/kg/d</w:t>
      </w:r>
      <w:r w:rsidR="00E60276">
        <w:rPr>
          <w:rFonts w:cs="Arial"/>
        </w:rPr>
        <w:t>ay</w:t>
      </w:r>
      <w:r>
        <w:rPr>
          <w:rFonts w:cs="Arial"/>
        </w:rPr>
        <w:t xml:space="preserve"> </w:t>
      </w:r>
      <w:r w:rsidR="0061039F">
        <w:rPr>
          <w:rFonts w:cs="Arial"/>
        </w:rPr>
        <w:t>(ACGIH</w:t>
      </w:r>
      <w:r w:rsidR="00C00ED5">
        <w:rPr>
          <w:rFonts w:cs="Arial"/>
        </w:rPr>
        <w:t>,</w:t>
      </w:r>
      <w:r w:rsidR="0061039F">
        <w:rPr>
          <w:rFonts w:cs="Arial"/>
        </w:rPr>
        <w:t xml:space="preserve"> 2018). </w:t>
      </w:r>
      <w:r>
        <w:rPr>
          <w:rFonts w:cs="Arial"/>
        </w:rPr>
        <w:t xml:space="preserve">In a </w:t>
      </w:r>
      <w:r w:rsidR="003129FB">
        <w:rPr>
          <w:rFonts w:cs="Arial"/>
        </w:rPr>
        <w:t>s</w:t>
      </w:r>
      <w:r w:rsidR="003129FB" w:rsidRPr="00703873">
        <w:rPr>
          <w:rFonts w:cs="Arial"/>
        </w:rPr>
        <w:t>ub chronic</w:t>
      </w:r>
      <w:r w:rsidR="0061039F">
        <w:rPr>
          <w:rFonts w:cs="Arial"/>
        </w:rPr>
        <w:t xml:space="preserve"> animal</w:t>
      </w:r>
      <w:r w:rsidR="0061039F" w:rsidRPr="00703873">
        <w:rPr>
          <w:rFonts w:cs="Arial"/>
        </w:rPr>
        <w:t xml:space="preserve"> </w:t>
      </w:r>
      <w:r>
        <w:rPr>
          <w:rFonts w:cs="Arial"/>
        </w:rPr>
        <w:t>exposure study</w:t>
      </w:r>
      <w:r w:rsidR="00457C40">
        <w:rPr>
          <w:rFonts w:cs="Arial"/>
        </w:rPr>
        <w:t>,</w:t>
      </w:r>
      <w:r>
        <w:rPr>
          <w:rFonts w:cs="Arial"/>
        </w:rPr>
        <w:t xml:space="preserve"> a NOAEL of </w:t>
      </w:r>
      <w:r w:rsidR="000A5A35">
        <w:rPr>
          <w:rFonts w:cs="Arial"/>
        </w:rPr>
        <w:t>5</w:t>
      </w:r>
      <w:r w:rsidR="00C00ED5">
        <w:rPr>
          <w:rFonts w:cs="Arial"/>
        </w:rPr>
        <w:t xml:space="preserve"> </w:t>
      </w:r>
      <w:r>
        <w:rPr>
          <w:rFonts w:cs="Arial"/>
        </w:rPr>
        <w:t>mg/kg/d</w:t>
      </w:r>
      <w:r w:rsidR="00E60276">
        <w:rPr>
          <w:rFonts w:cs="Arial"/>
        </w:rPr>
        <w:t>ay</w:t>
      </w:r>
      <w:r>
        <w:rPr>
          <w:rFonts w:cs="Arial"/>
        </w:rPr>
        <w:t xml:space="preserve"> was observed</w:t>
      </w:r>
      <w:r w:rsidR="003129FB">
        <w:rPr>
          <w:rFonts w:cs="Arial"/>
        </w:rPr>
        <w:t xml:space="preserve">, based on this the ACGIH (2018) calculated a human </w:t>
      </w:r>
      <w:r w:rsidR="003129FB">
        <w:t xml:space="preserve">NOAEL of </w:t>
      </w:r>
      <w:r w:rsidR="003129FB" w:rsidRPr="00055F0A">
        <w:t>35</w:t>
      </w:r>
      <w:r w:rsidR="003129FB">
        <w:t xml:space="preserve"> </w:t>
      </w:r>
      <w:r w:rsidR="003129FB" w:rsidRPr="00055F0A">
        <w:t>mg/m</w:t>
      </w:r>
      <w:r w:rsidR="003129FB">
        <w:rPr>
          <w:vertAlign w:val="superscript"/>
        </w:rPr>
        <w:t xml:space="preserve">3 </w:t>
      </w:r>
      <w:r w:rsidR="003129FB">
        <w:t>assuming</w:t>
      </w:r>
      <w:r w:rsidR="00C44B54">
        <w:t xml:space="preserve"> </w:t>
      </w:r>
      <w:r w:rsidR="003B7B1C">
        <w:t>generic conversion factors</w:t>
      </w:r>
      <w:r w:rsidR="00457C40">
        <w:t>.</w:t>
      </w:r>
      <w:r w:rsidR="00457C40" w:rsidDel="00457C40">
        <w:t xml:space="preserve"> </w:t>
      </w:r>
    </w:p>
    <w:p w14:paraId="6763C765" w14:textId="4A577B9E" w:rsidR="0061039F" w:rsidRPr="00B9541E" w:rsidRDefault="0039000C" w:rsidP="0061039F">
      <w:r>
        <w:t>T</w:t>
      </w:r>
      <w:r w:rsidR="0061039F">
        <w:t xml:space="preserve">he </w:t>
      </w:r>
      <w:r w:rsidR="00863905">
        <w:t xml:space="preserve">current </w:t>
      </w:r>
      <w:r w:rsidR="0061039F">
        <w:rPr>
          <w:rFonts w:eastAsia="Calibri" w:cs="Times New Roman"/>
        </w:rPr>
        <w:t>TWA</w:t>
      </w:r>
      <w:r>
        <w:rPr>
          <w:rFonts w:eastAsia="Calibri" w:cs="Times New Roman"/>
        </w:rPr>
        <w:t xml:space="preserve"> of 0.3 ppm (3.5 mg/m</w:t>
      </w:r>
      <w:r w:rsidRPr="0039000C">
        <w:rPr>
          <w:rFonts w:eastAsia="Calibri" w:cs="Times New Roman"/>
          <w:vertAlign w:val="superscript"/>
        </w:rPr>
        <w:t>3</w:t>
      </w:r>
      <w:r>
        <w:t>)</w:t>
      </w:r>
      <w:r w:rsidR="0061039F">
        <w:t xml:space="preserve"> is</w:t>
      </w:r>
      <w:r>
        <w:t xml:space="preserve"> </w:t>
      </w:r>
      <w:r w:rsidR="003B7B1C">
        <w:t>recommended</w:t>
      </w:r>
      <w:r w:rsidR="00863905">
        <w:t>. Its derivation is ba</w:t>
      </w:r>
      <w:r>
        <w:t>sed on the calculated NOAEL in humans and using</w:t>
      </w:r>
      <w:r w:rsidR="00AC2E82">
        <w:t xml:space="preserve"> an</w:t>
      </w:r>
      <w:r w:rsidR="0061039F">
        <w:t xml:space="preserve"> </w:t>
      </w:r>
      <w:r>
        <w:t xml:space="preserve">uncertainty factor of 10 for lack of human data. The TWA is </w:t>
      </w:r>
      <w:r w:rsidR="0061039F">
        <w:t xml:space="preserve">considered sufficiently low to minimise </w:t>
      </w:r>
      <w:r w:rsidR="0061039F" w:rsidRPr="00C91D05">
        <w:t xml:space="preserve">the potential for </w:t>
      </w:r>
      <w:r w:rsidR="003129FB">
        <w:t>eye, respiratory tract and skin irritation as well as cholinergic effects in exposed workers</w:t>
      </w:r>
      <w:r w:rsidR="0061039F">
        <w:rPr>
          <w:rFonts w:cs="Arial"/>
        </w:rPr>
        <w:t>.</w:t>
      </w:r>
    </w:p>
    <w:p w14:paraId="79E56666" w14:textId="77777777" w:rsidR="0061039F" w:rsidRPr="004C23F4" w:rsidRDefault="0061039F" w:rsidP="0061039F">
      <w:pPr>
        <w:pStyle w:val="Heading2"/>
      </w:pPr>
      <w:r>
        <w:t>Recommendation for notations</w:t>
      </w:r>
    </w:p>
    <w:p w14:paraId="709648CB" w14:textId="7CDBFA62" w:rsidR="0061039F" w:rsidRPr="00056A7C" w:rsidRDefault="0061039F" w:rsidP="0061039F">
      <w:pPr>
        <w:rPr>
          <w:rFonts w:cs="Arial"/>
        </w:rPr>
      </w:pPr>
      <w:r w:rsidRPr="00056A7C">
        <w:rPr>
          <w:rFonts w:cs="Arial"/>
        </w:rPr>
        <w:t>Not classified as a carcinogen according to the Globally Harmonized System of Classification and Labelling o</w:t>
      </w:r>
      <w:r w:rsidR="00C00ED5">
        <w:rPr>
          <w:rFonts w:cs="Arial"/>
        </w:rPr>
        <w:t>f</w:t>
      </w:r>
      <w:r w:rsidRPr="00056A7C">
        <w:rPr>
          <w:rFonts w:cs="Arial"/>
        </w:rPr>
        <w:t xml:space="preserve"> Chemicals (GHS). </w:t>
      </w:r>
    </w:p>
    <w:p w14:paraId="507389C2" w14:textId="5F5B3670" w:rsidR="0061039F" w:rsidRPr="00C8074E" w:rsidRDefault="0061039F" w:rsidP="0061039F">
      <w:pPr>
        <w:rPr>
          <w:rFonts w:cs="Arial"/>
        </w:rPr>
      </w:pPr>
      <w:r w:rsidRPr="00C8074E">
        <w:rPr>
          <w:rFonts w:cs="Arial"/>
        </w:rPr>
        <w:t xml:space="preserve">Not classified as a skin </w:t>
      </w:r>
      <w:r w:rsidR="00DF2CC1">
        <w:rPr>
          <w:rFonts w:cs="Arial"/>
        </w:rPr>
        <w:t xml:space="preserve">sensitiser </w:t>
      </w:r>
      <w:r w:rsidRPr="00C8074E">
        <w:rPr>
          <w:rFonts w:cs="Arial"/>
        </w:rPr>
        <w:t>or respiratory sensitiser according to the GHS.</w:t>
      </w:r>
    </w:p>
    <w:p w14:paraId="67CE0D68" w14:textId="71C2C5AF" w:rsidR="00230B73" w:rsidRDefault="00C8074E" w:rsidP="00C8074E">
      <w:pPr>
        <w:rPr>
          <w:rFonts w:cs="Arial"/>
        </w:rPr>
      </w:pPr>
      <w:r w:rsidRPr="00C8074E">
        <w:rPr>
          <w:rFonts w:cs="Arial"/>
        </w:rPr>
        <w:t>A skin notation is recommended based on evidence suggesting potential dermal absorption and adverse systemic effects in animals and effects on humans.</w:t>
      </w:r>
    </w:p>
    <w:p w14:paraId="5826B26D" w14:textId="77777777" w:rsidR="00230B73" w:rsidRDefault="00230B73">
      <w:pPr>
        <w:spacing w:after="200"/>
        <w:rPr>
          <w:rFonts w:cs="Arial"/>
        </w:rPr>
      </w:pPr>
      <w:r>
        <w:rPr>
          <w:rFonts w:cs="Arial"/>
        </w:rPr>
        <w:br w:type="page"/>
      </w:r>
    </w:p>
    <w:p w14:paraId="020AC20B" w14:textId="77777777" w:rsidR="00C8074E" w:rsidRPr="00C8074E" w:rsidRDefault="00C8074E" w:rsidP="00C8074E">
      <w:pPr>
        <w:rPr>
          <w:rFonts w:cs="Arial"/>
        </w:rPr>
      </w:pPr>
    </w:p>
    <w:p w14:paraId="2E3F6965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t>Appendix</w:t>
      </w:r>
    </w:p>
    <w:p w14:paraId="51BB03A2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63C3E47" w14:textId="77777777" w:rsidTr="00230B73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0E8743AF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4E8BA94" w14:textId="77777777" w:rsidTr="00230B73">
        <w:tc>
          <w:tcPr>
            <w:tcW w:w="5000" w:type="pct"/>
            <w:gridSpan w:val="2"/>
            <w:shd w:val="clear" w:color="auto" w:fill="F2F2F2" w:themeFill="background1" w:themeFillShade="F2"/>
          </w:tcPr>
          <w:p w14:paraId="002E225B" w14:textId="24B24402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212A63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212A63">
                  <w:t>TWA: 0.3 ppm (3.5 mg/m</w:t>
                </w:r>
                <w:r w:rsidR="00212A63" w:rsidRPr="00212A63">
                  <w:rPr>
                    <w:vertAlign w:val="superscript"/>
                  </w:rPr>
                  <w:t>3</w:t>
                </w:r>
                <w:r w:rsidR="00212A63">
                  <w:t>)</w:t>
                </w:r>
              </w:sdtContent>
            </w:sdt>
          </w:p>
        </w:tc>
      </w:tr>
      <w:tr w:rsidR="00C978F0" w:rsidRPr="00DA352E" w14:paraId="16EEC92A" w14:textId="77777777" w:rsidTr="00230B73">
        <w:trPr>
          <w:gridAfter w:val="1"/>
          <w:wAfter w:w="8" w:type="pct"/>
        </w:trPr>
        <w:tc>
          <w:tcPr>
            <w:tcW w:w="4992" w:type="pct"/>
          </w:tcPr>
          <w:p w14:paraId="7DD07855" w14:textId="26DA7F15" w:rsidR="00C978F0" w:rsidRPr="00230B73" w:rsidRDefault="00C978F0" w:rsidP="00230B73"/>
        </w:tc>
      </w:tr>
      <w:tr w:rsidR="00C978F0" w:rsidRPr="00DA352E" w14:paraId="0747C217" w14:textId="77777777" w:rsidTr="00230B7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1A80EAC" w14:textId="11C078AA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2A769B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2A769B">
                  <w:t>TLV-TWA: 0.3 ppm (3.5 mg/m</w:t>
                </w:r>
                <w:r w:rsidR="002A769B" w:rsidRPr="002A769B">
                  <w:rPr>
                    <w:vertAlign w:val="superscript"/>
                  </w:rPr>
                  <w:t>3</w:t>
                </w:r>
                <w:r w:rsidR="002A769B">
                  <w:t>)</w:t>
                </w:r>
              </w:sdtContent>
            </w:sdt>
          </w:p>
        </w:tc>
      </w:tr>
      <w:tr w:rsidR="00B15033" w:rsidRPr="00DA352E" w14:paraId="46D9EBE0" w14:textId="77777777" w:rsidTr="00230B73">
        <w:trPr>
          <w:gridAfter w:val="1"/>
          <w:wAfter w:w="8" w:type="pct"/>
          <w:trHeight w:val="290"/>
        </w:trPr>
        <w:tc>
          <w:tcPr>
            <w:tcW w:w="4992" w:type="pct"/>
          </w:tcPr>
          <w:p w14:paraId="001E88D8" w14:textId="77777777" w:rsidR="003B7B1C" w:rsidRDefault="00B15033" w:rsidP="00E60276">
            <w:pPr>
              <w:pStyle w:val="Tabletextprimarysource"/>
            </w:pPr>
            <w:r>
              <w:t xml:space="preserve">TLV-TWA recommended to minimise the risk of eye, respiratory tract and skin irritation </w:t>
            </w:r>
            <w:r w:rsidR="003B7B1C">
              <w:t>and</w:t>
            </w:r>
            <w:r>
              <w:t xml:space="preserve"> cholinergic effects in exposed workers. </w:t>
            </w:r>
          </w:p>
          <w:p w14:paraId="15989631" w14:textId="06F67548" w:rsidR="00B15033" w:rsidRDefault="00B15033" w:rsidP="00E60276">
            <w:pPr>
              <w:pStyle w:val="Tabletextprimarysource"/>
            </w:pPr>
            <w:r>
              <w:t xml:space="preserve">A skin notation is warranted based on gross, repeated dermal contact resulting in </w:t>
            </w:r>
            <w:r w:rsidR="003B7B1C">
              <w:t>effects in ChE</w:t>
            </w:r>
            <w:r>
              <w:t xml:space="preserve"> activity</w:t>
            </w:r>
            <w:r w:rsidR="00E60276">
              <w:t>.</w:t>
            </w:r>
          </w:p>
          <w:p w14:paraId="23B17A76" w14:textId="77777777" w:rsidR="003B7B1C" w:rsidRDefault="00B15033">
            <w:pPr>
              <w:pStyle w:val="Tabletextprimarysource"/>
            </w:pPr>
            <w:r>
              <w:t>Summary of data:</w:t>
            </w:r>
            <w:r w:rsidR="00B710DA">
              <w:t xml:space="preserve"> </w:t>
            </w:r>
          </w:p>
          <w:p w14:paraId="19C69E2F" w14:textId="37FDEE73" w:rsidR="00B15033" w:rsidRDefault="00B710DA" w:rsidP="003B7B1C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D</w:t>
            </w:r>
            <w:r w:rsidRPr="00EA55A5">
              <w:t>ata is based on unpublished findings by manufacturer</w:t>
            </w:r>
            <w:r>
              <w:t>s</w:t>
            </w:r>
          </w:p>
          <w:p w14:paraId="28502A3D" w14:textId="77777777" w:rsidR="003B7B1C" w:rsidRDefault="00B15033" w:rsidP="003B7B1C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Human data:</w:t>
            </w:r>
            <w:r w:rsidR="00EA55A5">
              <w:t xml:space="preserve"> </w:t>
            </w:r>
          </w:p>
          <w:p w14:paraId="3A50AA9D" w14:textId="40877995" w:rsidR="00B15033" w:rsidRDefault="00B15033" w:rsidP="00C8074E">
            <w:pPr>
              <w:pStyle w:val="ListBullet"/>
              <w:spacing w:before="60" w:after="60"/>
              <w:ind w:left="720"/>
              <w:contextualSpacing w:val="0"/>
            </w:pPr>
            <w:r>
              <w:t>Contact with eyes produced pain with no damage</w:t>
            </w:r>
          </w:p>
          <w:p w14:paraId="43AE1AA2" w14:textId="7F733384" w:rsidR="00B15033" w:rsidRDefault="00B15033" w:rsidP="00C8074E">
            <w:pPr>
              <w:pStyle w:val="ListBullet"/>
              <w:spacing w:before="60" w:after="60"/>
              <w:ind w:left="720"/>
              <w:contextualSpacing w:val="0"/>
            </w:pPr>
            <w:r>
              <w:t>Repeated and prolonged dermal exposure produced drying and cracking of exposed skin</w:t>
            </w:r>
          </w:p>
          <w:p w14:paraId="09408B47" w14:textId="1927A865" w:rsidR="00B15033" w:rsidRDefault="00B15033" w:rsidP="00C8074E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Aerosol and vapour </w:t>
            </w:r>
            <w:r w:rsidR="00032760">
              <w:t xml:space="preserve">exposure resulted in </w:t>
            </w:r>
            <w:r>
              <w:t>nasal and throat irritation leading to coughing and wheezing</w:t>
            </w:r>
          </w:p>
          <w:p w14:paraId="0C2BCEC8" w14:textId="00E794E3" w:rsidR="00B15033" w:rsidRDefault="00B15033" w:rsidP="00C8074E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Patch testing on 50 </w:t>
            </w:r>
            <w:r w:rsidR="007548B7">
              <w:t>volunteers</w:t>
            </w:r>
            <w:r>
              <w:t xml:space="preserve"> did not </w:t>
            </w:r>
            <w:r w:rsidR="00032760">
              <w:t xml:space="preserve">result in </w:t>
            </w:r>
            <w:r>
              <w:t xml:space="preserve">sensitisation or </w:t>
            </w:r>
            <w:r w:rsidR="007548B7">
              <w:t>primary</w:t>
            </w:r>
            <w:r>
              <w:t xml:space="preserve"> irritation</w:t>
            </w:r>
          </w:p>
          <w:p w14:paraId="0288CDB1" w14:textId="7841251F" w:rsidR="00055F0A" w:rsidRDefault="00922CAF" w:rsidP="00C8074E">
            <w:pPr>
              <w:pStyle w:val="ListBullet"/>
              <w:spacing w:before="60" w:after="60"/>
              <w:ind w:left="720"/>
              <w:contextualSpacing w:val="0"/>
            </w:pPr>
            <w:r>
              <w:t>Based</w:t>
            </w:r>
            <w:r w:rsidR="00055F0A">
              <w:t xml:space="preserve"> on the 90</w:t>
            </w:r>
            <w:r w:rsidR="00E60276">
              <w:t xml:space="preserve"> </w:t>
            </w:r>
            <w:r w:rsidR="00055F0A">
              <w:t xml:space="preserve">d rat dietary study NOAEL of 5 mg/kg/d a human NOAEL of </w:t>
            </w:r>
            <w:r w:rsidR="00055F0A" w:rsidRPr="00055F0A">
              <w:t>35</w:t>
            </w:r>
            <w:r w:rsidR="00C00ED5">
              <w:t xml:space="preserve"> </w:t>
            </w:r>
            <w:r w:rsidR="00055F0A" w:rsidRPr="00055F0A">
              <w:t>mg/m</w:t>
            </w:r>
            <w:r w:rsidR="00055F0A" w:rsidRPr="00055F0A">
              <w:rPr>
                <w:vertAlign w:val="superscript"/>
              </w:rPr>
              <w:t xml:space="preserve">3 </w:t>
            </w:r>
            <w:r w:rsidR="00055F0A" w:rsidRPr="00055F0A">
              <w:t>was</w:t>
            </w:r>
            <w:r w:rsidR="003B7B1C">
              <w:t xml:space="preserve"> calculated assuming </w:t>
            </w:r>
            <w:r w:rsidR="00055F0A">
              <w:t>70</w:t>
            </w:r>
            <w:r w:rsidR="00E60276">
              <w:t xml:space="preserve"> </w:t>
            </w:r>
            <w:r w:rsidR="003B7B1C">
              <w:t xml:space="preserve">kg, </w:t>
            </w:r>
            <w:r w:rsidR="00055F0A">
              <w:t>breathing 10</w:t>
            </w:r>
            <w:r w:rsidR="00C00ED5">
              <w:t xml:space="preserve"> </w:t>
            </w:r>
            <w:r w:rsidR="00055F0A">
              <w:t>m</w:t>
            </w:r>
            <w:r w:rsidR="00055F0A" w:rsidRPr="00B227DD">
              <w:rPr>
                <w:vertAlign w:val="superscript"/>
              </w:rPr>
              <w:t>3</w:t>
            </w:r>
            <w:r w:rsidR="00055F0A">
              <w:t xml:space="preserve"> during an 8</w:t>
            </w:r>
            <w:r w:rsidR="00E60276">
              <w:t xml:space="preserve"> </w:t>
            </w:r>
            <w:r w:rsidR="00055F0A">
              <w:t xml:space="preserve">h day </w:t>
            </w:r>
            <w:r w:rsidR="003B7B1C">
              <w:t>with 100% absorption</w:t>
            </w:r>
            <w:r w:rsidR="00C00ED5">
              <w:t>.</w:t>
            </w:r>
            <w:r w:rsidR="00055F0A">
              <w:t xml:space="preserve"> </w:t>
            </w:r>
          </w:p>
          <w:p w14:paraId="5547BF97" w14:textId="365E34CB" w:rsidR="00055F0A" w:rsidRDefault="00055F0A" w:rsidP="00C8074E">
            <w:pPr>
              <w:pStyle w:val="Tabletextprimarysource"/>
            </w:pPr>
            <w:r>
              <w:t>Animal data</w:t>
            </w:r>
          </w:p>
          <w:p w14:paraId="333FDC3E" w14:textId="040BFBEC" w:rsidR="00B15033" w:rsidRDefault="00B15033" w:rsidP="00C8074E">
            <w:pPr>
              <w:pStyle w:val="ListBullet"/>
              <w:spacing w:before="60" w:after="60"/>
              <w:ind w:left="720"/>
              <w:contextualSpacing w:val="0"/>
            </w:pPr>
            <w:r w:rsidRPr="004E1ABD">
              <w:t>LD</w:t>
            </w:r>
            <w:r w:rsidRPr="004E1ABD">
              <w:rPr>
                <w:vertAlign w:val="subscript"/>
              </w:rPr>
              <w:t>50</w:t>
            </w:r>
            <w:r w:rsidRPr="004E1ABD">
              <w:t xml:space="preserve">: </w:t>
            </w:r>
            <w:r>
              <w:t>2</w:t>
            </w:r>
            <w:r w:rsidR="00685E81">
              <w:t>,</w:t>
            </w:r>
            <w:r>
              <w:t>620</w:t>
            </w:r>
            <w:r w:rsidRPr="004E1ABD">
              <w:t xml:space="preserve"> mg/kg (</w:t>
            </w:r>
            <w:r>
              <w:t>rats, oral)</w:t>
            </w:r>
          </w:p>
          <w:p w14:paraId="3E0E3F7F" w14:textId="41320F74" w:rsidR="00B15033" w:rsidRDefault="00B15033" w:rsidP="00C8074E">
            <w:pPr>
              <w:pStyle w:val="ListBullet"/>
              <w:spacing w:before="60" w:after="60"/>
              <w:ind w:left="720"/>
              <w:contextualSpacing w:val="0"/>
            </w:pPr>
            <w:r w:rsidRPr="004E1ABD">
              <w:t>LD</w:t>
            </w:r>
            <w:r w:rsidRPr="004E1ABD">
              <w:rPr>
                <w:vertAlign w:val="subscript"/>
              </w:rPr>
              <w:t>50</w:t>
            </w:r>
            <w:r w:rsidRPr="004E1ABD">
              <w:t xml:space="preserve">: </w:t>
            </w:r>
            <w:r>
              <w:t>5</w:t>
            </w:r>
            <w:r w:rsidR="00685E81">
              <w:t>,</w:t>
            </w:r>
            <w:r>
              <w:t>000</w:t>
            </w:r>
            <w:r w:rsidRPr="004E1ABD">
              <w:t xml:space="preserve"> mg/kg (</w:t>
            </w:r>
            <w:r>
              <w:t>rabbit</w:t>
            </w:r>
            <w:r w:rsidR="00E60276">
              <w:t>s</w:t>
            </w:r>
            <w:r>
              <w:t>, dermal)</w:t>
            </w:r>
          </w:p>
          <w:p w14:paraId="402C9643" w14:textId="5342CEB9" w:rsidR="00B15033" w:rsidRDefault="00FE3479" w:rsidP="00C4117D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Exposure to </w:t>
            </w:r>
            <w:r w:rsidRPr="00FE3479">
              <w:t xml:space="preserve">10, 100 and 1,000 mg/kg/d </w:t>
            </w:r>
            <w:r>
              <w:t xml:space="preserve">(rabbit, 6 h/d, 5 d/wk, 3 wk, dermal) </w:t>
            </w:r>
            <w:r w:rsidRPr="00FE3479">
              <w:t>produced dermal irritation</w:t>
            </w:r>
            <w:r w:rsidR="00EA55A5">
              <w:t xml:space="preserve"> at all concentrations and </w:t>
            </w:r>
            <w:r w:rsidR="00EA55A5" w:rsidRPr="00EA55A5">
              <w:t>reduction of plasma cholinesterase activity observed in male rabbits following dermal application of 100 mg/kg/d</w:t>
            </w:r>
            <w:r w:rsidRPr="00FE3479">
              <w:t xml:space="preserve"> </w:t>
            </w:r>
          </w:p>
          <w:p w14:paraId="3D76F16C" w14:textId="34201A5B" w:rsidR="003B7B1C" w:rsidRDefault="00FE3479" w:rsidP="00C8074E">
            <w:pPr>
              <w:pStyle w:val="ListBullet"/>
              <w:spacing w:before="60" w:after="60"/>
              <w:ind w:left="720"/>
              <w:contextualSpacing w:val="0"/>
            </w:pPr>
            <w:r>
              <w:t>Dermal e</w:t>
            </w:r>
            <w:r w:rsidR="00B15033">
              <w:t xml:space="preserve">xposure of high-dose </w:t>
            </w:r>
            <w:r w:rsidR="00FC4014">
              <w:t>produce</w:t>
            </w:r>
            <w:r w:rsidR="00E60276">
              <w:t>d</w:t>
            </w:r>
            <w:r w:rsidR="00FC4014">
              <w:t xml:space="preserve"> symptoms including </w:t>
            </w:r>
            <w:r w:rsidR="00B15033">
              <w:t xml:space="preserve">reduction of plasma </w:t>
            </w:r>
            <w:r w:rsidR="003B7B1C">
              <w:t>ChE</w:t>
            </w:r>
            <w:r w:rsidR="00B15033">
              <w:t xml:space="preserve"> activity and reduction in brain and </w:t>
            </w:r>
            <w:r w:rsidR="00FC4014">
              <w:t>erythrocyte</w:t>
            </w:r>
            <w:r w:rsidR="00B15033">
              <w:t xml:space="preserve"> </w:t>
            </w:r>
            <w:r w:rsidR="003B7B1C">
              <w:t>ChE</w:t>
            </w:r>
            <w:r w:rsidR="00B15033">
              <w:t xml:space="preserve"> activity</w:t>
            </w:r>
            <w:r w:rsidR="003B7B1C">
              <w:t>;</w:t>
            </w:r>
            <w:r w:rsidR="00FC4014">
              <w:t xml:space="preserve"> </w:t>
            </w:r>
          </w:p>
          <w:p w14:paraId="1C4C815D" w14:textId="699B8079" w:rsidR="00FE3479" w:rsidRDefault="003B7B1C" w:rsidP="003B7B1C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s</w:t>
            </w:r>
            <w:r w:rsidR="00FC4014" w:rsidRPr="00FC4014">
              <w:t xml:space="preserve">ystemic </w:t>
            </w:r>
            <w:r w:rsidR="00FC4014">
              <w:t>NOEL:</w:t>
            </w:r>
            <w:r w:rsidR="00FC4014" w:rsidRPr="00FC4014">
              <w:t xml:space="preserve"> 10 mg/kg/d</w:t>
            </w:r>
          </w:p>
          <w:p w14:paraId="7A4E95D6" w14:textId="0E836D36" w:rsidR="0061039F" w:rsidRDefault="0061039F" w:rsidP="00C8074E">
            <w:pPr>
              <w:pStyle w:val="ListBullet"/>
              <w:spacing w:before="60" w:after="60"/>
              <w:ind w:left="720"/>
              <w:contextualSpacing w:val="0"/>
            </w:pPr>
            <w:r>
              <w:t>Skin notation warranted as likely absorbed through skin with adverse systemic effects</w:t>
            </w:r>
          </w:p>
          <w:p w14:paraId="3341287F" w14:textId="55B7B394" w:rsidR="00B710DA" w:rsidRDefault="00B710DA" w:rsidP="00B710DA">
            <w:pPr>
              <w:pStyle w:val="ListBullet"/>
              <w:spacing w:before="60" w:after="60"/>
              <w:ind w:left="720"/>
              <w:contextualSpacing w:val="0"/>
            </w:pPr>
            <w:r>
              <w:t>Exposure to 50, 150, 500 mg/kg/d (rats, 90 d, oral)</w:t>
            </w:r>
          </w:p>
          <w:p w14:paraId="46A1D9D1" w14:textId="08F13EE9" w:rsidR="00B710DA" w:rsidRDefault="00B710DA" w:rsidP="00C4117D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 w:rsidRPr="00B710DA">
              <w:t>500 mg/kg/d</w:t>
            </w:r>
            <w:r>
              <w:t xml:space="preserve">: </w:t>
            </w:r>
            <w:r w:rsidRPr="00B710DA">
              <w:t xml:space="preserve">decreased </w:t>
            </w:r>
            <w:r w:rsidR="003B7B1C">
              <w:t>bw</w:t>
            </w:r>
            <w:r w:rsidRPr="00B710DA">
              <w:t xml:space="preserve"> gain, </w:t>
            </w:r>
            <w:r w:rsidR="00AC2E82">
              <w:t xml:space="preserve">decreased </w:t>
            </w:r>
            <w:r w:rsidRPr="00B710DA">
              <w:t>food consumption, reduction of platelets and increase in biochemical parameters (albumin, protein and cholesterol)</w:t>
            </w:r>
          </w:p>
          <w:p w14:paraId="7FF51B63" w14:textId="146E329C" w:rsidR="00F71698" w:rsidRDefault="00B710DA" w:rsidP="00C4117D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150</w:t>
            </w:r>
            <w:r w:rsidR="00F71698">
              <w:t xml:space="preserve">, </w:t>
            </w:r>
            <w:r>
              <w:t xml:space="preserve">500 mg/kg/d: </w:t>
            </w:r>
            <w:r w:rsidR="003B7B1C">
              <w:t>i</w:t>
            </w:r>
            <w:r w:rsidRPr="00B710DA">
              <w:t xml:space="preserve">ncreased liver weight, liver to </w:t>
            </w:r>
            <w:r w:rsidR="003B7B1C">
              <w:t>bw</w:t>
            </w:r>
            <w:r w:rsidRPr="00B710DA">
              <w:t xml:space="preserve"> ratios and decreased lung weights</w:t>
            </w:r>
          </w:p>
          <w:p w14:paraId="5A5A3E06" w14:textId="492CA550" w:rsidR="00F71698" w:rsidRDefault="00F71698" w:rsidP="00C4117D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 xml:space="preserve">50, 150, 500 mg/kg/d: </w:t>
            </w:r>
            <w:r w:rsidR="003B7B1C">
              <w:t>r</w:t>
            </w:r>
            <w:r>
              <w:t>eduction of platelets</w:t>
            </w:r>
          </w:p>
          <w:p w14:paraId="64DE9660" w14:textId="68A6B0A7" w:rsidR="00F71698" w:rsidRDefault="00C4117D" w:rsidP="003B7B1C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a</w:t>
            </w:r>
            <w:r w:rsidR="00F71698">
              <w:t xml:space="preserve"> subsequent 90 d study on rats </w:t>
            </w:r>
            <w:r w:rsidR="003B7B1C">
              <w:t>reported</w:t>
            </w:r>
            <w:r w:rsidR="00F71698">
              <w:t xml:space="preserve"> a NOAEL of 5 mg/kg/d </w:t>
            </w:r>
          </w:p>
          <w:p w14:paraId="702E1719" w14:textId="07EF4A72" w:rsidR="00B15033" w:rsidRDefault="003B7B1C" w:rsidP="00C8074E">
            <w:pPr>
              <w:pStyle w:val="ListBullet"/>
              <w:spacing w:before="60" w:after="60"/>
              <w:ind w:left="720"/>
              <w:contextualSpacing w:val="0"/>
            </w:pPr>
            <w:r>
              <w:t>G</w:t>
            </w:r>
            <w:r w:rsidR="00B15033">
              <w:t xml:space="preserve">avage of 3, 30 and 300 mg/kg/d </w:t>
            </w:r>
            <w:r w:rsidR="00C903C6">
              <w:t xml:space="preserve">on </w:t>
            </w:r>
            <w:r>
              <w:t>GD</w:t>
            </w:r>
            <w:r w:rsidR="00C903C6">
              <w:t xml:space="preserve"> 6–15 </w:t>
            </w:r>
            <w:r w:rsidR="00B15033">
              <w:t xml:space="preserve">did not </w:t>
            </w:r>
            <w:r w:rsidR="00032760">
              <w:t xml:space="preserve">result in </w:t>
            </w:r>
            <w:r w:rsidR="00B15033">
              <w:t>any te</w:t>
            </w:r>
            <w:r w:rsidR="00C903C6">
              <w:t>rato</w:t>
            </w:r>
            <w:r w:rsidR="00B15033">
              <w:t xml:space="preserve">genic or </w:t>
            </w:r>
            <w:r w:rsidR="00FC4014">
              <w:t>fetotoxic</w:t>
            </w:r>
            <w:r w:rsidR="00B15033">
              <w:t xml:space="preserve"> effects</w:t>
            </w:r>
            <w:r w:rsidR="00C903C6">
              <w:t xml:space="preserve"> in offspring (rats)</w:t>
            </w:r>
          </w:p>
          <w:p w14:paraId="5AB42443" w14:textId="7B917ABE" w:rsidR="00FE3479" w:rsidRDefault="00B15033" w:rsidP="00C8074E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No </w:t>
            </w:r>
            <w:r w:rsidR="00FC4014">
              <w:t>mutagenic</w:t>
            </w:r>
            <w:r>
              <w:t xml:space="preserve"> activity was reported in microbial assays </w:t>
            </w:r>
          </w:p>
          <w:p w14:paraId="6FBB0202" w14:textId="77777777" w:rsidR="00B15033" w:rsidRDefault="00B15033" w:rsidP="00C8074E">
            <w:pPr>
              <w:pStyle w:val="ListBullet"/>
              <w:spacing w:before="60" w:after="60"/>
              <w:ind w:left="720"/>
              <w:contextualSpacing w:val="0"/>
            </w:pPr>
            <w:r>
              <w:t xml:space="preserve">No clastogenic effect on bone marrow cells were detected in </w:t>
            </w:r>
            <w:r w:rsidRPr="00AC5ED9">
              <w:rPr>
                <w:i/>
              </w:rPr>
              <w:t>in vivo</w:t>
            </w:r>
            <w:r>
              <w:t xml:space="preserve"> cytogenic study</w:t>
            </w:r>
            <w:r w:rsidR="00E60276">
              <w:t>.</w:t>
            </w:r>
            <w:r>
              <w:t xml:space="preserve"> </w:t>
            </w:r>
          </w:p>
          <w:p w14:paraId="7443B3C1" w14:textId="6E3A7F74" w:rsidR="00C00ED5" w:rsidRPr="00230B73" w:rsidRDefault="00C00ED5" w:rsidP="00230B73"/>
        </w:tc>
      </w:tr>
      <w:tr w:rsidR="00B15033" w:rsidRPr="00DA352E" w14:paraId="38BFA26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13AD30F" w14:textId="51FD1D5E" w:rsidR="00B15033" w:rsidRPr="00DA352E" w:rsidRDefault="00B15033" w:rsidP="00B15033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272751712"/>
                <w:placeholder>
                  <w:docPart w:val="50F30C252D2B4B8288E64E47AA66A092"/>
                </w:placeholder>
                <w:text/>
              </w:sdtPr>
              <w:sdtEndPr/>
              <w:sdtContent>
                <w:r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C75A6296ED4542CCBDFEA4B5DE66CB98"/>
                </w:placeholder>
              </w:sdtPr>
              <w:sdtEndPr/>
              <w:sdtContent>
                <w:r>
                  <w:t>NA</w:t>
                </w:r>
              </w:sdtContent>
            </w:sdt>
          </w:p>
        </w:tc>
      </w:tr>
      <w:tr w:rsidR="00B15033" w:rsidRPr="00DA352E" w14:paraId="7ED01E9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1DAA6F3" w14:textId="550BDA09" w:rsidR="00B15033" w:rsidRPr="00230B73" w:rsidRDefault="00B15033" w:rsidP="00230B73">
            <w:pPr>
              <w:pStyle w:val="Tabletextprimarysource"/>
            </w:pPr>
            <w:r>
              <w:t>No report</w:t>
            </w:r>
            <w:r w:rsidR="00C00ED5">
              <w:t>.</w:t>
            </w:r>
          </w:p>
        </w:tc>
      </w:tr>
      <w:tr w:rsidR="00B15033" w:rsidRPr="00DA352E" w14:paraId="64CE64F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132CC25" w14:textId="176147E9" w:rsidR="00B15033" w:rsidRPr="00DA352E" w:rsidRDefault="00B15033" w:rsidP="00B15033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-768699850"/>
                <w:placeholder>
                  <w:docPart w:val="E40723C90D774640A5E92EE0434A18A9"/>
                </w:placeholder>
                <w:text/>
              </w:sdtPr>
              <w:sdtEndPr/>
              <w:sdtContent>
                <w:r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F53352396838427B88123858A3055042"/>
                </w:placeholder>
              </w:sdtPr>
              <w:sdtEndPr/>
              <w:sdtContent>
                <w:r>
                  <w:t>NA</w:t>
                </w:r>
              </w:sdtContent>
            </w:sdt>
          </w:p>
        </w:tc>
      </w:tr>
      <w:tr w:rsidR="00B15033" w:rsidRPr="00DA352E" w14:paraId="7A29DBB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D03E9B6" w14:textId="1ADF8DDB" w:rsidR="00B15033" w:rsidRPr="00DA352E" w:rsidRDefault="00B15033" w:rsidP="00B15033">
            <w:pPr>
              <w:pStyle w:val="Tabletextprimarysource"/>
            </w:pPr>
            <w:r>
              <w:t>No report</w:t>
            </w:r>
            <w:r w:rsidR="00C00ED5">
              <w:t>.</w:t>
            </w:r>
          </w:p>
        </w:tc>
      </w:tr>
      <w:tr w:rsidR="00B15033" w:rsidRPr="00DA352E" w14:paraId="4671D12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2DF955D" w14:textId="5BDB2301" w:rsidR="00B15033" w:rsidRPr="00DA352E" w:rsidRDefault="00B15033" w:rsidP="00B15033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-936748013"/>
                <w:placeholder>
                  <w:docPart w:val="0A9B18B1E3BE4E4080B938EF35537EED"/>
                </w:placeholder>
                <w:text/>
              </w:sdtPr>
              <w:sdtEndPr/>
              <w:sdtContent>
                <w:r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DC7E5CF79BEC4A9594FE32567F7B1797"/>
                </w:placeholder>
              </w:sdtPr>
              <w:sdtEndPr/>
              <w:sdtContent>
                <w:r>
                  <w:t>NA</w:t>
                </w:r>
              </w:sdtContent>
            </w:sdt>
          </w:p>
        </w:tc>
      </w:tr>
      <w:tr w:rsidR="00B15033" w:rsidRPr="00DA352E" w14:paraId="775941A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77179C5" w14:textId="0CC1767A" w:rsidR="00B15033" w:rsidRPr="00DA352E" w:rsidRDefault="00B15033" w:rsidP="00B15033">
            <w:pPr>
              <w:pStyle w:val="Tabletextprimarysource"/>
            </w:pPr>
            <w:r>
              <w:t>No report</w:t>
            </w:r>
            <w:r w:rsidR="00C00ED5">
              <w:t>.</w:t>
            </w:r>
          </w:p>
        </w:tc>
      </w:tr>
      <w:tr w:rsidR="00B15033" w:rsidRPr="00DA352E" w14:paraId="4F1D31D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6394BC9" w14:textId="16EBEBBC" w:rsidR="00B15033" w:rsidRPr="00DA352E" w:rsidRDefault="00B15033" w:rsidP="00B15033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Pr="003365A5">
              <w:t xml:space="preserve"> </w:t>
            </w:r>
            <w:r w:rsidRPr="003365A5">
              <w:tab/>
            </w:r>
            <w:sdt>
              <w:sdtPr>
                <w:id w:val="1543090908"/>
                <w:placeholder>
                  <w:docPart w:val="87AD87F04B9D42C7921A6281E9D65B57"/>
                </w:placeholder>
                <w:text/>
              </w:sdtPr>
              <w:sdtEndPr/>
              <w:sdtContent>
                <w:r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95BD6A92A3EF493B9819BC756305623D"/>
                </w:placeholder>
              </w:sdtPr>
              <w:sdtEndPr/>
              <w:sdtContent>
                <w:r>
                  <w:t>NA</w:t>
                </w:r>
              </w:sdtContent>
            </w:sdt>
          </w:p>
        </w:tc>
      </w:tr>
      <w:tr w:rsidR="00B15033" w:rsidRPr="00DA352E" w14:paraId="0925BD5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E0ECEF1" w14:textId="5FC1A669" w:rsidR="00B15033" w:rsidRPr="00DA352E" w:rsidRDefault="00B15033" w:rsidP="00B15033">
            <w:pPr>
              <w:pStyle w:val="Tabletextprimarysource"/>
            </w:pPr>
            <w:r>
              <w:t>No report</w:t>
            </w:r>
            <w:r w:rsidR="00C00ED5">
              <w:t>.</w:t>
            </w:r>
          </w:p>
        </w:tc>
      </w:tr>
    </w:tbl>
    <w:p w14:paraId="07DE22AE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26E91BCB" w14:textId="08284625" w:rsidR="007E2A4B" w:rsidRDefault="00CA3EAD">
      <w:r>
        <w:t>NIL</w:t>
      </w:r>
      <w:r w:rsidR="003B7B1C">
        <w:t>.</w:t>
      </w:r>
    </w:p>
    <w:bookmarkEnd w:id="0"/>
    <w:p w14:paraId="57DC11E3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06758B3C" w14:textId="77777777" w:rsidTr="00CA3EAD">
        <w:trPr>
          <w:trHeight w:val="454"/>
          <w:tblHeader/>
        </w:trPr>
        <w:tc>
          <w:tcPr>
            <w:tcW w:w="6603" w:type="dxa"/>
            <w:vAlign w:val="center"/>
          </w:tcPr>
          <w:p w14:paraId="30A714D2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14D69096" w14:textId="2781241B" w:rsidR="002E0D61" w:rsidRDefault="00CA3EA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6ED6B0CD" w14:textId="77777777" w:rsidTr="00CA3EAD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3C23D67B" w14:textId="10534CB1" w:rsidR="008A36CF" w:rsidRPr="006901A2" w:rsidRDefault="00CA3EAD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45E7F60A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467F87CA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613B6B81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5893337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1B7E8EDD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407448B" w14:textId="77777777" w:rsidTr="00812887">
        <w:trPr>
          <w:cantSplit/>
        </w:trPr>
        <w:tc>
          <w:tcPr>
            <w:tcW w:w="3227" w:type="dxa"/>
          </w:tcPr>
          <w:p w14:paraId="3F982F0C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C51AA83" w14:textId="734DDF8E" w:rsidR="00687890" w:rsidRPr="00DD2F9B" w:rsidRDefault="002A769B" w:rsidP="00DD2F9B">
            <w:pPr>
              <w:pStyle w:val="Tablefont"/>
            </w:pPr>
            <w:r w:rsidRPr="002A769B">
              <w:t>Skin</w:t>
            </w:r>
          </w:p>
        </w:tc>
      </w:tr>
      <w:tr w:rsidR="007925F0" w:rsidRPr="004C23F4" w14:paraId="454E01E2" w14:textId="77777777" w:rsidTr="00812887">
        <w:trPr>
          <w:cantSplit/>
        </w:trPr>
        <w:tc>
          <w:tcPr>
            <w:tcW w:w="3227" w:type="dxa"/>
          </w:tcPr>
          <w:p w14:paraId="55DD8A59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2F1149EE" w14:textId="02973548" w:rsidR="007925F0" w:rsidRPr="00DD2F9B" w:rsidRDefault="002A769B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27EB8E08" w14:textId="77777777" w:rsidTr="00812887">
        <w:trPr>
          <w:cantSplit/>
        </w:trPr>
        <w:tc>
          <w:tcPr>
            <w:tcW w:w="3227" w:type="dxa"/>
          </w:tcPr>
          <w:p w14:paraId="5CAB0D72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92FC028" w14:textId="04B81DA2" w:rsidR="00AF483F" w:rsidRPr="00DD2F9B" w:rsidRDefault="002A769B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FFB3179" w14:textId="77777777" w:rsidTr="00812887">
        <w:trPr>
          <w:cantSplit/>
        </w:trPr>
        <w:tc>
          <w:tcPr>
            <w:tcW w:w="3227" w:type="dxa"/>
          </w:tcPr>
          <w:p w14:paraId="12B49809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35393D8E" w14:textId="35DB0813" w:rsidR="00687890" w:rsidRPr="00DD2F9B" w:rsidRDefault="002A769B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01D06415" w14:textId="77777777" w:rsidTr="00812887">
        <w:trPr>
          <w:cantSplit/>
        </w:trPr>
        <w:tc>
          <w:tcPr>
            <w:tcW w:w="3227" w:type="dxa"/>
          </w:tcPr>
          <w:p w14:paraId="12A5D457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ECFB7F0" w14:textId="0E871C8E" w:rsidR="00E41A26" w:rsidRPr="00DD2F9B" w:rsidRDefault="002A769B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3B19D7D4" w14:textId="77777777" w:rsidTr="00812887">
        <w:trPr>
          <w:cantSplit/>
        </w:trPr>
        <w:tc>
          <w:tcPr>
            <w:tcW w:w="3227" w:type="dxa"/>
          </w:tcPr>
          <w:p w14:paraId="329C30B4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D053047" w14:textId="0087F07B" w:rsidR="002E0D61" w:rsidRPr="00DD2F9B" w:rsidRDefault="002A769B" w:rsidP="00DD2F9B">
            <w:pPr>
              <w:pStyle w:val="Tablefont"/>
            </w:pPr>
            <w:r w:rsidRPr="002A769B">
              <w:t>Skin</w:t>
            </w:r>
          </w:p>
        </w:tc>
      </w:tr>
      <w:tr w:rsidR="002E0D61" w:rsidRPr="004C23F4" w14:paraId="741C44C2" w14:textId="77777777" w:rsidTr="00812887">
        <w:trPr>
          <w:cantSplit/>
        </w:trPr>
        <w:tc>
          <w:tcPr>
            <w:tcW w:w="3227" w:type="dxa"/>
          </w:tcPr>
          <w:p w14:paraId="6979B728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7D745CE2" w14:textId="33325C52" w:rsidR="002E0D61" w:rsidRPr="00DD2F9B" w:rsidRDefault="003D000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54BB9F5" w14:textId="77777777" w:rsidTr="00812887">
        <w:trPr>
          <w:cantSplit/>
        </w:trPr>
        <w:tc>
          <w:tcPr>
            <w:tcW w:w="3227" w:type="dxa"/>
          </w:tcPr>
          <w:p w14:paraId="7B86ADA6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8C0BE26" w14:textId="36C86889" w:rsidR="002E0D61" w:rsidRPr="00DD2F9B" w:rsidRDefault="003D0008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E15F2CD" w14:textId="77777777" w:rsidTr="00812887">
        <w:trPr>
          <w:cantSplit/>
        </w:trPr>
        <w:tc>
          <w:tcPr>
            <w:tcW w:w="3227" w:type="dxa"/>
          </w:tcPr>
          <w:p w14:paraId="1529B31D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BC92178" w14:textId="42574864" w:rsidR="002E0D61" w:rsidRPr="00DD2F9B" w:rsidRDefault="003D000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D8EB120" w14:textId="77777777" w:rsidTr="00812887">
        <w:trPr>
          <w:cantSplit/>
        </w:trPr>
        <w:tc>
          <w:tcPr>
            <w:tcW w:w="3227" w:type="dxa"/>
          </w:tcPr>
          <w:p w14:paraId="5B108633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3F949BE" w14:textId="7B816C98" w:rsidR="00386093" w:rsidRPr="00DD2F9B" w:rsidRDefault="003D0008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0A52215" w14:textId="77777777" w:rsidTr="00812887">
        <w:trPr>
          <w:cantSplit/>
        </w:trPr>
        <w:tc>
          <w:tcPr>
            <w:tcW w:w="3227" w:type="dxa"/>
          </w:tcPr>
          <w:p w14:paraId="562DEDD1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3B0958EC" w14:textId="46A3E864" w:rsidR="00386093" w:rsidRPr="00DD2F9B" w:rsidRDefault="003D0008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A19835B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FD0FA20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4A9B012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F185CB7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</w:tbl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1098"/>
        <w:gridCol w:w="266"/>
        <w:gridCol w:w="3531"/>
        <w:gridCol w:w="475"/>
        <w:gridCol w:w="547"/>
        <w:gridCol w:w="860"/>
        <w:gridCol w:w="857"/>
        <w:gridCol w:w="859"/>
        <w:gridCol w:w="267"/>
        <w:gridCol w:w="266"/>
      </w:tblGrid>
      <w:tr w:rsidR="00C10D07" w14:paraId="1AE7A108" w14:textId="77777777" w:rsidTr="00C10D07">
        <w:trPr>
          <w:trHeight w:val="240"/>
        </w:trPr>
        <w:tc>
          <w:tcPr>
            <w:tcW w:w="4853" w:type="pct"/>
            <w:gridSpan w:val="9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7ED9E5" w14:textId="0E191F27" w:rsidR="00C10D07" w:rsidRDefault="00C10D07" w:rsidP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  <w:t>Conclusion:</w:t>
            </w:r>
          </w:p>
        </w:tc>
        <w:tc>
          <w:tcPr>
            <w:tcW w:w="147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79EF8D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C10D07" w14:paraId="44903A15" w14:textId="77777777" w:rsidTr="00C10D07">
        <w:trPr>
          <w:trHeight w:val="342"/>
        </w:trPr>
        <w:tc>
          <w:tcPr>
            <w:tcW w:w="2712" w:type="pct"/>
            <w:gridSpan w:val="3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2AF059" w14:textId="620608BC" w:rsidR="00C10D07" w:rsidRDefault="00C10D07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Adverse effects in human case study:</w:t>
            </w:r>
          </w:p>
        </w:tc>
        <w:tc>
          <w:tcPr>
            <w:tcW w:w="263" w:type="pct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53596D" w14:textId="77777777" w:rsidR="00C10D07" w:rsidRDefault="00C10D07">
            <w:pPr>
              <w:jc w:val="center"/>
              <w:rPr>
                <w:rFonts w:ascii="Segoe UI" w:hAnsi="Segoe UI" w:cs="Segoe UI"/>
                <w:color w:val="9C65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9C6500"/>
                <w:sz w:val="18"/>
                <w:szCs w:val="18"/>
                <w:lang w:eastAsia="en-AU"/>
              </w:rPr>
              <w:t>yes</w:t>
            </w:r>
          </w:p>
        </w:tc>
        <w:tc>
          <w:tcPr>
            <w:tcW w:w="303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9A954C" w14:textId="77777777" w:rsidR="00C10D07" w:rsidRDefault="00C10D07">
            <w:pPr>
              <w:jc w:val="right"/>
              <w:rPr>
                <w:rFonts w:ascii="Segoe UI" w:hAnsi="Segoe UI" w:cs="Segoe UI"/>
                <w:color w:val="C5D9F1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  <w:lang w:eastAsia="en-AU"/>
              </w:rPr>
              <w:t>4.00</w:t>
            </w:r>
          </w:p>
        </w:tc>
        <w:tc>
          <w:tcPr>
            <w:tcW w:w="476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5E5142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5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604A36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6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0BCF8F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7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2687E7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7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387293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C10D07" w14:paraId="7435B8ED" w14:textId="77777777" w:rsidTr="00C10D07">
        <w:trPr>
          <w:trHeight w:val="342"/>
        </w:trPr>
        <w:tc>
          <w:tcPr>
            <w:tcW w:w="609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1118CF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lastRenderedPageBreak/>
              <w:t> </w:t>
            </w:r>
          </w:p>
        </w:tc>
        <w:tc>
          <w:tcPr>
            <w:tcW w:w="147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F1AD97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955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9D6560" w14:textId="77777777" w:rsidR="00C10D07" w:rsidRDefault="00C10D07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Dermal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  <w:lang w:eastAsia="en-AU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 xml:space="preserve"> ≤1000 mg/kg:</w:t>
            </w:r>
          </w:p>
        </w:tc>
        <w:tc>
          <w:tcPr>
            <w:tcW w:w="263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4706D1" w14:textId="77777777" w:rsidR="00C10D07" w:rsidRDefault="00C10D07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303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DD4BD3" w14:textId="77777777" w:rsidR="00C10D07" w:rsidRDefault="00C10D07">
            <w:pPr>
              <w:rPr>
                <w:rFonts w:ascii="Segoe UI" w:hAnsi="Segoe UI" w:cs="Segoe UI"/>
                <w:color w:val="C5D9F1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6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B2DDEF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5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F8CC19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6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BAD6B7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7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CC048C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7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D72F12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C10D07" w14:paraId="28CFC6ED" w14:textId="77777777" w:rsidTr="00C10D07">
        <w:trPr>
          <w:trHeight w:val="342"/>
        </w:trPr>
        <w:tc>
          <w:tcPr>
            <w:tcW w:w="609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0451CF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7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C359D3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955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59D582" w14:textId="77777777" w:rsidR="00C10D07" w:rsidRDefault="00C10D07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Dermal repeat-dose NOAEL ≤200 mg/kg:</w:t>
            </w:r>
          </w:p>
        </w:tc>
        <w:tc>
          <w:tcPr>
            <w:tcW w:w="263" w:type="pct"/>
            <w:shd w:val="clear" w:color="auto" w:fill="FFEB9C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60BE9C" w14:textId="77777777" w:rsidR="00C10D07" w:rsidRDefault="00C10D07">
            <w:pPr>
              <w:jc w:val="center"/>
              <w:rPr>
                <w:rFonts w:ascii="Segoe UI" w:hAnsi="Segoe UI" w:cs="Segoe UI"/>
                <w:color w:val="9C65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9C6500"/>
                <w:sz w:val="18"/>
                <w:szCs w:val="18"/>
                <w:lang w:eastAsia="en-AU"/>
              </w:rPr>
              <w:t>yes</w:t>
            </w:r>
          </w:p>
        </w:tc>
        <w:tc>
          <w:tcPr>
            <w:tcW w:w="303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7D2D1B" w14:textId="77777777" w:rsidR="00C10D07" w:rsidRDefault="00C10D07">
            <w:pPr>
              <w:jc w:val="right"/>
              <w:rPr>
                <w:rFonts w:ascii="Segoe UI" w:hAnsi="Segoe UI" w:cs="Segoe UI"/>
                <w:color w:val="C5D9F1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  <w:lang w:eastAsia="en-AU"/>
              </w:rPr>
              <w:t>3.00</w:t>
            </w:r>
          </w:p>
        </w:tc>
        <w:tc>
          <w:tcPr>
            <w:tcW w:w="476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3834C2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5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4CC90C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6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C9B1A4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7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B0CA27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7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481163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C10D07" w14:paraId="039E667C" w14:textId="77777777" w:rsidTr="00C10D07">
        <w:trPr>
          <w:trHeight w:val="342"/>
        </w:trPr>
        <w:tc>
          <w:tcPr>
            <w:tcW w:w="609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0F4245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7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E388B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955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7C006A" w14:textId="77777777" w:rsidR="00C10D07" w:rsidRDefault="00C10D07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Dermal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  <w:lang w:eastAsia="en-AU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/Inhalation LD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vertAlign w:val="subscript"/>
                <w:lang w:eastAsia="en-AU"/>
              </w:rPr>
              <w:t>50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 xml:space="preserve"> &lt;10:</w:t>
            </w:r>
          </w:p>
        </w:tc>
        <w:tc>
          <w:tcPr>
            <w:tcW w:w="263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28CD21" w14:textId="77777777" w:rsidR="00C10D07" w:rsidRDefault="00C10D07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303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52570A" w14:textId="77777777" w:rsidR="00C10D07" w:rsidRDefault="00C10D07">
            <w:pPr>
              <w:rPr>
                <w:rFonts w:ascii="Segoe UI" w:hAnsi="Segoe UI" w:cs="Segoe UI"/>
                <w:color w:val="C5D9F1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6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E1CB44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5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3F9EC3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6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BA5503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7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5C3A72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7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3ADF8A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C10D07" w14:paraId="21DF3888" w14:textId="77777777" w:rsidTr="00C10D07">
        <w:trPr>
          <w:trHeight w:val="342"/>
        </w:trPr>
        <w:tc>
          <w:tcPr>
            <w:tcW w:w="609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CE631C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7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BD0E9F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955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E6E7DE" w14:textId="77777777" w:rsidR="00C10D07" w:rsidRDefault="00C10D07">
            <w:pPr>
              <w:jc w:val="right"/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i/>
                <w:iCs/>
                <w:color w:val="000000"/>
                <w:sz w:val="18"/>
                <w:szCs w:val="18"/>
                <w:lang w:eastAsia="en-AU"/>
              </w:rPr>
              <w:t>In vivo</w:t>
            </w: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 xml:space="preserve"> dermal absorption rate &gt;10%:</w:t>
            </w:r>
          </w:p>
        </w:tc>
        <w:tc>
          <w:tcPr>
            <w:tcW w:w="263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59FE18" w14:textId="77777777" w:rsidR="00C10D07" w:rsidRDefault="00C10D07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303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75E5BD" w14:textId="77777777" w:rsidR="00C10D07" w:rsidRDefault="00C10D07">
            <w:pPr>
              <w:rPr>
                <w:rFonts w:ascii="Segoe UI" w:hAnsi="Segoe UI" w:cs="Segoe UI"/>
                <w:color w:val="C5D9F1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6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FB69CA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5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16340A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6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D72C51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7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CBDA3F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7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806CEA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C10D07" w14:paraId="1753F298" w14:textId="77777777" w:rsidTr="00C10D07">
        <w:trPr>
          <w:trHeight w:val="342"/>
        </w:trPr>
        <w:tc>
          <w:tcPr>
            <w:tcW w:w="609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885FD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7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88E074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955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775B2" w14:textId="77777777" w:rsidR="00C10D07" w:rsidRDefault="00C10D07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Estimated dermal exposure at WES &gt;10%:</w:t>
            </w:r>
          </w:p>
        </w:tc>
        <w:tc>
          <w:tcPr>
            <w:tcW w:w="263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0ADFF1" w14:textId="77777777" w:rsidR="00C10D07" w:rsidRDefault="00C10D07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303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3DF5D1" w14:textId="77777777" w:rsidR="00C10D07" w:rsidRDefault="00C10D07">
            <w:pPr>
              <w:rPr>
                <w:rFonts w:ascii="Segoe UI" w:hAnsi="Segoe UI" w:cs="Segoe UI"/>
                <w:color w:val="C5D9F1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6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C47E3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5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2EBE0F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476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E232F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7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D8A4D4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7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38424A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  <w:tr w:rsidR="00C10D07" w14:paraId="6C5286DF" w14:textId="77777777" w:rsidTr="00C10D07">
        <w:trPr>
          <w:trHeight w:val="342"/>
        </w:trPr>
        <w:tc>
          <w:tcPr>
            <w:tcW w:w="609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8E5F4E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7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EADBA7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955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F93E81" w14:textId="77777777" w:rsidR="00C10D07" w:rsidRDefault="00C10D07">
            <w:pPr>
              <w:jc w:val="right"/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263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DFB47B" w14:textId="77777777" w:rsidR="00C10D07" w:rsidRDefault="00C10D07">
            <w:pPr>
              <w:jc w:val="center"/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303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1B8F73" w14:textId="77777777" w:rsidR="00C10D07" w:rsidRDefault="00C10D07">
            <w:pPr>
              <w:jc w:val="right"/>
              <w:rPr>
                <w:rFonts w:ascii="Segoe UI" w:hAnsi="Segoe UI" w:cs="Segoe UI"/>
                <w:color w:val="C5D9F1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C5D9F1"/>
                <w:sz w:val="18"/>
                <w:szCs w:val="18"/>
                <w:lang w:eastAsia="en-AU"/>
              </w:rPr>
              <w:t>3</w:t>
            </w:r>
          </w:p>
        </w:tc>
        <w:tc>
          <w:tcPr>
            <w:tcW w:w="1427" w:type="pct"/>
            <w:gridSpan w:val="3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5B1487" w14:textId="77777777" w:rsidR="00C10D07" w:rsidRDefault="00C10D07">
            <w:pP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  <w:lang w:eastAsia="en-AU"/>
              </w:rPr>
              <w:t>a skin notation is warranted</w:t>
            </w:r>
          </w:p>
        </w:tc>
        <w:tc>
          <w:tcPr>
            <w:tcW w:w="147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2F7281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  <w:tc>
          <w:tcPr>
            <w:tcW w:w="147" w:type="pct"/>
            <w:shd w:val="clear" w:color="auto" w:fill="C5D9F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48BB9E" w14:textId="77777777" w:rsidR="00C10D07" w:rsidRDefault="00C10D07">
            <w:pP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</w:pPr>
            <w:r>
              <w:rPr>
                <w:rFonts w:ascii="Segoe UI" w:hAnsi="Segoe UI" w:cs="Segoe UI"/>
                <w:color w:val="000000"/>
                <w:sz w:val="18"/>
                <w:szCs w:val="18"/>
                <w:lang w:eastAsia="en-AU"/>
              </w:rPr>
              <w:t> </w:t>
            </w:r>
          </w:p>
        </w:tc>
      </w:tr>
    </w:tbl>
    <w:bookmarkEnd w:id="3"/>
    <w:p w14:paraId="2F72611F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51738D9E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204A493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72A6BBA" w14:textId="6D017CF9" w:rsidR="00EB3D1B" w:rsidRDefault="003D0008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90CD870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012CD64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CD82C0F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C1F2073" w14:textId="7D78D96B" w:rsidR="001B79E5" w:rsidRDefault="003D0008" w:rsidP="001B79E5">
                <w:pPr>
                  <w:pStyle w:val="Tablefont"/>
                </w:pPr>
                <w:r w:rsidRPr="003D0008">
                  <w:t>286.3</w:t>
                </w:r>
              </w:p>
            </w:tc>
          </w:sdtContent>
        </w:sdt>
      </w:tr>
      <w:tr w:rsidR="00A31D99" w:rsidRPr="004C23F4" w14:paraId="6F69457B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02587C3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AD60422" w14:textId="19AC350A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3D0008">
                  <w:t>11.70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3D0008">
                  <w:t>0.086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1D831FD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49B7FED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C87691C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A09B24B" w14:textId="77777777" w:rsidTr="00EA6243">
        <w:trPr>
          <w:cantSplit/>
        </w:trPr>
        <w:tc>
          <w:tcPr>
            <w:tcW w:w="4077" w:type="dxa"/>
            <w:vAlign w:val="center"/>
          </w:tcPr>
          <w:p w14:paraId="5E027014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E929FD0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0E611AB" w14:textId="77777777" w:rsidTr="00EA6243">
        <w:trPr>
          <w:cantSplit/>
        </w:trPr>
        <w:tc>
          <w:tcPr>
            <w:tcW w:w="4077" w:type="dxa"/>
            <w:vAlign w:val="center"/>
          </w:tcPr>
          <w:p w14:paraId="6109EF3D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52BEB13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CD5B41B" w14:textId="77777777" w:rsidTr="00EA6243">
        <w:trPr>
          <w:cantSplit/>
        </w:trPr>
        <w:tc>
          <w:tcPr>
            <w:tcW w:w="4077" w:type="dxa"/>
            <w:vAlign w:val="center"/>
          </w:tcPr>
          <w:p w14:paraId="654097D3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A0D5729" w14:textId="77777777" w:rsidR="00E06F40" w:rsidRPr="00A006A0" w:rsidRDefault="008C2B60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D6B6585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FCC515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7C2286F0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39FAD68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B88363A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C583E6E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705FF007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23952850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C38455A" w14:textId="1D8CF0F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1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305022E" w14:textId="77777777" w:rsidR="003D0008" w:rsidRPr="00351FE0" w:rsidRDefault="003D0008" w:rsidP="00084859"/>
    <w:sectPr w:rsidR="003D0008" w:rsidRPr="00351FE0" w:rsidSect="00230B7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1440" w:left="1440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CC87C" w14:textId="77777777" w:rsidR="00A911B3" w:rsidRDefault="00A911B3" w:rsidP="00F43AD5">
      <w:pPr>
        <w:spacing w:after="0" w:line="240" w:lineRule="auto"/>
      </w:pPr>
      <w:r>
        <w:separator/>
      </w:r>
    </w:p>
  </w:endnote>
  <w:endnote w:type="continuationSeparator" w:id="0">
    <w:p w14:paraId="142975D2" w14:textId="77777777" w:rsidR="00A911B3" w:rsidRDefault="00A911B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4D352" w14:textId="77777777" w:rsidR="00F1267E" w:rsidRDefault="00F126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F8C08" w14:textId="77777777" w:rsidR="00F1267E" w:rsidRDefault="00F1267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E322D" w14:textId="52932D27" w:rsidR="00230B73" w:rsidRDefault="00230B73" w:rsidP="00230B73"/>
  <w:sdt>
    <w:sdtPr>
      <w:id w:val="-1105034771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9C7A770" w14:textId="2D09B814" w:rsidR="00230B73" w:rsidRDefault="00230B73" w:rsidP="00230B73">
        <w:pPr>
          <w:pStyle w:val="Footer"/>
          <w:rPr>
            <w:sz w:val="18"/>
            <w:szCs w:val="18"/>
          </w:rPr>
        </w:pPr>
        <w:r>
          <w:rPr>
            <w:b/>
            <w:sz w:val="18"/>
            <w:szCs w:val="18"/>
          </w:rPr>
          <w:t>Dibutyl phenyl phosphate (</w:t>
        </w:r>
        <w:r w:rsidRPr="00230B73">
          <w:rPr>
            <w:b/>
            <w:sz w:val="18"/>
            <w:szCs w:val="18"/>
          </w:rPr>
          <w:t>2528-36-1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6B6F4B47" w14:textId="5F84EFFB" w:rsidR="00230B73" w:rsidRPr="00F43AD5" w:rsidRDefault="00230B73" w:rsidP="00230B73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F1267E">
          <w:rPr>
            <w:noProof/>
            <w:sz w:val="18"/>
            <w:szCs w:val="18"/>
          </w:rPr>
          <w:t>1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  <w:p w14:paraId="64450713" w14:textId="77777777" w:rsidR="00230B73" w:rsidRDefault="00230B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BE4DD" w14:textId="77777777" w:rsidR="00A911B3" w:rsidRDefault="00A911B3" w:rsidP="00F43AD5">
      <w:pPr>
        <w:spacing w:after="0" w:line="240" w:lineRule="auto"/>
      </w:pPr>
      <w:r>
        <w:separator/>
      </w:r>
    </w:p>
  </w:footnote>
  <w:footnote w:type="continuationSeparator" w:id="0">
    <w:p w14:paraId="751E8362" w14:textId="77777777" w:rsidR="00A911B3" w:rsidRDefault="00A911B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E52F2" w14:textId="0061D34F" w:rsidR="00F1267E" w:rsidRDefault="00F126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58E88" w14:textId="43F42CC1" w:rsidR="008A36CF" w:rsidRDefault="008A36CF" w:rsidP="00F43AD5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A8FB8" w14:textId="0A768891" w:rsidR="00094916" w:rsidRDefault="00230B73" w:rsidP="00230B73">
    <w:pPr>
      <w:pStyle w:val="Header"/>
      <w:jc w:val="right"/>
    </w:pPr>
    <w:r>
      <w:rPr>
        <w:noProof/>
        <w:lang w:eastAsia="en-AU"/>
      </w:rPr>
      <w:drawing>
        <wp:inline distT="0" distB="0" distL="0" distR="0" wp14:anchorId="52822A3A" wp14:editId="1C052ED1">
          <wp:extent cx="2938780" cy="59753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878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EB2726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9474F19"/>
    <w:multiLevelType w:val="hybridMultilevel"/>
    <w:tmpl w:val="93CC6D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8F30AC"/>
    <w:multiLevelType w:val="hybridMultilevel"/>
    <w:tmpl w:val="D6004E7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0A64D7D"/>
    <w:multiLevelType w:val="hybridMultilevel"/>
    <w:tmpl w:val="0C58077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5312357">
    <w:abstractNumId w:val="0"/>
  </w:num>
  <w:num w:numId="2" w16cid:durableId="678853557">
    <w:abstractNumId w:val="0"/>
  </w:num>
  <w:num w:numId="3" w16cid:durableId="1187401561">
    <w:abstractNumId w:val="0"/>
  </w:num>
  <w:num w:numId="4" w16cid:durableId="1453858854">
    <w:abstractNumId w:val="1"/>
  </w:num>
  <w:num w:numId="5" w16cid:durableId="1727802003">
    <w:abstractNumId w:val="0"/>
  </w:num>
  <w:num w:numId="6" w16cid:durableId="1046297066">
    <w:abstractNumId w:val="0"/>
  </w:num>
  <w:num w:numId="7" w16cid:durableId="249462418">
    <w:abstractNumId w:val="3"/>
  </w:num>
  <w:num w:numId="8" w16cid:durableId="1428884364">
    <w:abstractNumId w:val="2"/>
  </w:num>
  <w:num w:numId="9" w16cid:durableId="1562908764">
    <w:abstractNumId w:val="0"/>
  </w:num>
  <w:num w:numId="10" w16cid:durableId="1326084461">
    <w:abstractNumId w:val="0"/>
  </w:num>
  <w:num w:numId="11" w16cid:durableId="432365505">
    <w:abstractNumId w:val="0"/>
  </w:num>
  <w:num w:numId="12" w16cid:durableId="7954415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1024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760"/>
    <w:rsid w:val="00032B88"/>
    <w:rsid w:val="00046DF5"/>
    <w:rsid w:val="00052060"/>
    <w:rsid w:val="0005574A"/>
    <w:rsid w:val="00055F0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94916"/>
    <w:rsid w:val="000A5A35"/>
    <w:rsid w:val="000B0868"/>
    <w:rsid w:val="000B3E12"/>
    <w:rsid w:val="000B3E78"/>
    <w:rsid w:val="000B7B48"/>
    <w:rsid w:val="000C096D"/>
    <w:rsid w:val="000C139A"/>
    <w:rsid w:val="000C1AFB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2A63"/>
    <w:rsid w:val="00213640"/>
    <w:rsid w:val="00221547"/>
    <w:rsid w:val="002216FC"/>
    <w:rsid w:val="00222533"/>
    <w:rsid w:val="00222F30"/>
    <w:rsid w:val="00224EE2"/>
    <w:rsid w:val="00227EC7"/>
    <w:rsid w:val="00230B73"/>
    <w:rsid w:val="00244AD1"/>
    <w:rsid w:val="002463BC"/>
    <w:rsid w:val="002465CE"/>
    <w:rsid w:val="0025734A"/>
    <w:rsid w:val="00263255"/>
    <w:rsid w:val="00276494"/>
    <w:rsid w:val="00277B0C"/>
    <w:rsid w:val="002A769B"/>
    <w:rsid w:val="002B1A2C"/>
    <w:rsid w:val="002C34F2"/>
    <w:rsid w:val="002C58FF"/>
    <w:rsid w:val="002C7AFE"/>
    <w:rsid w:val="002D05D2"/>
    <w:rsid w:val="002E0D61"/>
    <w:rsid w:val="002E4C7B"/>
    <w:rsid w:val="0030740C"/>
    <w:rsid w:val="003129FB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63EAF"/>
    <w:rsid w:val="00370DBF"/>
    <w:rsid w:val="00386093"/>
    <w:rsid w:val="0039000C"/>
    <w:rsid w:val="003904A4"/>
    <w:rsid w:val="00391841"/>
    <w:rsid w:val="00391B6D"/>
    <w:rsid w:val="00394922"/>
    <w:rsid w:val="003A0E32"/>
    <w:rsid w:val="003A2B94"/>
    <w:rsid w:val="003B387D"/>
    <w:rsid w:val="003B7B1C"/>
    <w:rsid w:val="003C0D58"/>
    <w:rsid w:val="003D000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22A78"/>
    <w:rsid w:val="00425910"/>
    <w:rsid w:val="00430179"/>
    <w:rsid w:val="004414B5"/>
    <w:rsid w:val="00444482"/>
    <w:rsid w:val="00444B42"/>
    <w:rsid w:val="00445E44"/>
    <w:rsid w:val="004509E2"/>
    <w:rsid w:val="004515EE"/>
    <w:rsid w:val="004529F0"/>
    <w:rsid w:val="00457C4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016B"/>
    <w:rsid w:val="00581055"/>
    <w:rsid w:val="00591E38"/>
    <w:rsid w:val="005A19C5"/>
    <w:rsid w:val="005A3034"/>
    <w:rsid w:val="005A462D"/>
    <w:rsid w:val="005B253B"/>
    <w:rsid w:val="005B771D"/>
    <w:rsid w:val="005C5D16"/>
    <w:rsid w:val="005C74F8"/>
    <w:rsid w:val="005D3193"/>
    <w:rsid w:val="005D4A6E"/>
    <w:rsid w:val="005E6979"/>
    <w:rsid w:val="005E75CB"/>
    <w:rsid w:val="006013C1"/>
    <w:rsid w:val="0060669E"/>
    <w:rsid w:val="0061039F"/>
    <w:rsid w:val="00610F2E"/>
    <w:rsid w:val="00611399"/>
    <w:rsid w:val="00624C4E"/>
    <w:rsid w:val="00625200"/>
    <w:rsid w:val="006330FC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77F5F"/>
    <w:rsid w:val="00685E81"/>
    <w:rsid w:val="006867F3"/>
    <w:rsid w:val="00687890"/>
    <w:rsid w:val="006901A2"/>
    <w:rsid w:val="00690368"/>
    <w:rsid w:val="0069079C"/>
    <w:rsid w:val="00690B53"/>
    <w:rsid w:val="00695B72"/>
    <w:rsid w:val="006A2D66"/>
    <w:rsid w:val="006B160A"/>
    <w:rsid w:val="006B4E6C"/>
    <w:rsid w:val="006B50B6"/>
    <w:rsid w:val="006B513A"/>
    <w:rsid w:val="006C00EE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4779"/>
    <w:rsid w:val="007548B7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14FC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3905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C2B60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22CAF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56A2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11B3"/>
    <w:rsid w:val="00A93057"/>
    <w:rsid w:val="00A968B0"/>
    <w:rsid w:val="00AB2672"/>
    <w:rsid w:val="00AB2817"/>
    <w:rsid w:val="00AB43C4"/>
    <w:rsid w:val="00AC2E82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5033"/>
    <w:rsid w:val="00B1765C"/>
    <w:rsid w:val="00B213C4"/>
    <w:rsid w:val="00B40C60"/>
    <w:rsid w:val="00B479A9"/>
    <w:rsid w:val="00B52EDF"/>
    <w:rsid w:val="00B710DA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D2853"/>
    <w:rsid w:val="00BD499F"/>
    <w:rsid w:val="00BD56DE"/>
    <w:rsid w:val="00BE38EA"/>
    <w:rsid w:val="00BF2406"/>
    <w:rsid w:val="00C00ED5"/>
    <w:rsid w:val="00C06E43"/>
    <w:rsid w:val="00C10D07"/>
    <w:rsid w:val="00C16315"/>
    <w:rsid w:val="00C3091E"/>
    <w:rsid w:val="00C40FF1"/>
    <w:rsid w:val="00C4117D"/>
    <w:rsid w:val="00C419E2"/>
    <w:rsid w:val="00C44B54"/>
    <w:rsid w:val="00C5020E"/>
    <w:rsid w:val="00C549B5"/>
    <w:rsid w:val="00C57452"/>
    <w:rsid w:val="00C57C7F"/>
    <w:rsid w:val="00C61EDF"/>
    <w:rsid w:val="00C6239D"/>
    <w:rsid w:val="00C6594B"/>
    <w:rsid w:val="00C67FFB"/>
    <w:rsid w:val="00C7155E"/>
    <w:rsid w:val="00C71D1E"/>
    <w:rsid w:val="00C71D7D"/>
    <w:rsid w:val="00C74833"/>
    <w:rsid w:val="00C8074E"/>
    <w:rsid w:val="00C850A0"/>
    <w:rsid w:val="00C85A86"/>
    <w:rsid w:val="00C903C6"/>
    <w:rsid w:val="00C978F0"/>
    <w:rsid w:val="00CA3EAD"/>
    <w:rsid w:val="00CA58FE"/>
    <w:rsid w:val="00CB1CB1"/>
    <w:rsid w:val="00CB6BC1"/>
    <w:rsid w:val="00CB6CB8"/>
    <w:rsid w:val="00CC1A68"/>
    <w:rsid w:val="00CC2123"/>
    <w:rsid w:val="00CD2BFD"/>
    <w:rsid w:val="00CE5AD6"/>
    <w:rsid w:val="00CE617F"/>
    <w:rsid w:val="00CE78EF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E2513"/>
    <w:rsid w:val="00DE26E8"/>
    <w:rsid w:val="00DF2CC1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276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55A5"/>
    <w:rsid w:val="00EA6243"/>
    <w:rsid w:val="00EA74AB"/>
    <w:rsid w:val="00EB3D1B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267E"/>
    <w:rsid w:val="00F16019"/>
    <w:rsid w:val="00F20E68"/>
    <w:rsid w:val="00F22093"/>
    <w:rsid w:val="00F236DF"/>
    <w:rsid w:val="00F2418D"/>
    <w:rsid w:val="00F43AD5"/>
    <w:rsid w:val="00F4402E"/>
    <w:rsid w:val="00F56DD0"/>
    <w:rsid w:val="00F6491C"/>
    <w:rsid w:val="00F67BBB"/>
    <w:rsid w:val="00F71698"/>
    <w:rsid w:val="00F87D92"/>
    <w:rsid w:val="00F90AA7"/>
    <w:rsid w:val="00F92498"/>
    <w:rsid w:val="00F9496B"/>
    <w:rsid w:val="00F95192"/>
    <w:rsid w:val="00F970C9"/>
    <w:rsid w:val="00FA06A8"/>
    <w:rsid w:val="00FA3DF5"/>
    <w:rsid w:val="00FA741F"/>
    <w:rsid w:val="00FB4E07"/>
    <w:rsid w:val="00FB755A"/>
    <w:rsid w:val="00FC4014"/>
    <w:rsid w:val="00FC60A2"/>
    <w:rsid w:val="00FD1871"/>
    <w:rsid w:val="00FD3110"/>
    <w:rsid w:val="00FE3479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4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B15033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22C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2CA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2CA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2C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2CAF"/>
    <w:rPr>
      <w:b/>
      <w:bCs/>
      <w:szCs w:val="20"/>
    </w:rPr>
  </w:style>
  <w:style w:type="paragraph" w:styleId="ListParagraph">
    <w:name w:val="List Paragraph"/>
    <w:basedOn w:val="Normal"/>
    <w:uiPriority w:val="34"/>
    <w:qFormat/>
    <w:rsid w:val="00FC40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777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gih.org/tlv-bei-guidelines/policies-procedures-presentation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50F30C252D2B4B8288E64E47AA66A0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7D8E9E-59E7-4EA3-9424-7E7A7046DA42}"/>
      </w:docPartPr>
      <w:docPartBody>
        <w:p w:rsidR="005610B8" w:rsidRDefault="00084DDB" w:rsidP="00084DDB">
          <w:pPr>
            <w:pStyle w:val="50F30C252D2B4B8288E64E47AA66A09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C75A6296ED4542CCBDFEA4B5DE66CB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BD552E-B38A-4B83-8387-AFDFAB422CA6}"/>
      </w:docPartPr>
      <w:docPartBody>
        <w:p w:rsidR="005610B8" w:rsidRDefault="00084DDB" w:rsidP="00084DDB">
          <w:pPr>
            <w:pStyle w:val="C75A6296ED4542CCBDFEA4B5DE66CB98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40723C90D774640A5E92EE0434A18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22853A-7ECA-46BB-B185-4EC8D46E0721}"/>
      </w:docPartPr>
      <w:docPartBody>
        <w:p w:rsidR="005610B8" w:rsidRDefault="00084DDB" w:rsidP="00084DDB">
          <w:pPr>
            <w:pStyle w:val="E40723C90D774640A5E92EE0434A18A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53352396838427B88123858A30550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0E55C0-BB4D-4CDF-9994-558E25ACF0CE}"/>
      </w:docPartPr>
      <w:docPartBody>
        <w:p w:rsidR="005610B8" w:rsidRDefault="00084DDB" w:rsidP="00084DDB">
          <w:pPr>
            <w:pStyle w:val="F53352396838427B88123858A305504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A9B18B1E3BE4E4080B938EF35537E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34B5A-55ED-4931-ADBA-81F0573F31AB}"/>
      </w:docPartPr>
      <w:docPartBody>
        <w:p w:rsidR="005610B8" w:rsidRDefault="00084DDB" w:rsidP="00084DDB">
          <w:pPr>
            <w:pStyle w:val="0A9B18B1E3BE4E4080B938EF35537EE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DC7E5CF79BEC4A9594FE32567F7B17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E5F03F-1482-4052-BC29-84555FA9D33D}"/>
      </w:docPartPr>
      <w:docPartBody>
        <w:p w:rsidR="005610B8" w:rsidRDefault="00084DDB" w:rsidP="00084DDB">
          <w:pPr>
            <w:pStyle w:val="DC7E5CF79BEC4A9594FE32567F7B1797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87AD87F04B9D42C7921A6281E9D65B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E6595D-901C-4A9D-864E-F06511E0C5AE}"/>
      </w:docPartPr>
      <w:docPartBody>
        <w:p w:rsidR="005610B8" w:rsidRDefault="00084DDB" w:rsidP="00084DDB">
          <w:pPr>
            <w:pStyle w:val="87AD87F04B9D42C7921A6281E9D65B57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5BD6A92A3EF493B9819BC75630562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0AF7B1-AA92-4714-982F-9DBDDF5103DD}"/>
      </w:docPartPr>
      <w:docPartBody>
        <w:p w:rsidR="005610B8" w:rsidRDefault="00084DDB" w:rsidP="00084DDB">
          <w:pPr>
            <w:pStyle w:val="95BD6A92A3EF493B9819BC756305623D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57D0919241F34D3796D924A7F8843D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5D700-19B3-48B4-BB3B-7BDC8819ADB6}"/>
      </w:docPartPr>
      <w:docPartBody>
        <w:p w:rsidR="0061422E" w:rsidRDefault="00741F2F" w:rsidP="00741F2F">
          <w:pPr>
            <w:pStyle w:val="57D0919241F34D3796D924A7F8843D08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84DDB"/>
    <w:rsid w:val="005610B8"/>
    <w:rsid w:val="0061422E"/>
    <w:rsid w:val="00741F2F"/>
    <w:rsid w:val="00BB5674"/>
    <w:rsid w:val="00D21A9F"/>
    <w:rsid w:val="00F24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41F2F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50F30C252D2B4B8288E64E47AA66A092">
    <w:name w:val="50F30C252D2B4B8288E64E47AA66A092"/>
    <w:rsid w:val="00084DDB"/>
    <w:rPr>
      <w:lang w:val="en-US" w:eastAsia="en-US"/>
    </w:rPr>
  </w:style>
  <w:style w:type="paragraph" w:customStyle="1" w:styleId="C75A6296ED4542CCBDFEA4B5DE66CB98">
    <w:name w:val="C75A6296ED4542CCBDFEA4B5DE66CB98"/>
    <w:rsid w:val="00084DDB"/>
    <w:rPr>
      <w:lang w:val="en-US" w:eastAsia="en-US"/>
    </w:rPr>
  </w:style>
  <w:style w:type="paragraph" w:customStyle="1" w:styleId="E40723C90D774640A5E92EE0434A18A9">
    <w:name w:val="E40723C90D774640A5E92EE0434A18A9"/>
    <w:rsid w:val="00084DDB"/>
    <w:rPr>
      <w:lang w:val="en-US" w:eastAsia="en-US"/>
    </w:rPr>
  </w:style>
  <w:style w:type="paragraph" w:customStyle="1" w:styleId="F53352396838427B88123858A3055042">
    <w:name w:val="F53352396838427B88123858A3055042"/>
    <w:rsid w:val="00084DDB"/>
    <w:rPr>
      <w:lang w:val="en-US" w:eastAsia="en-US"/>
    </w:rPr>
  </w:style>
  <w:style w:type="paragraph" w:customStyle="1" w:styleId="0A9B18B1E3BE4E4080B938EF35537EED">
    <w:name w:val="0A9B18B1E3BE4E4080B938EF35537EED"/>
    <w:rsid w:val="00084DDB"/>
    <w:rPr>
      <w:lang w:val="en-US" w:eastAsia="en-US"/>
    </w:rPr>
  </w:style>
  <w:style w:type="paragraph" w:customStyle="1" w:styleId="DC7E5CF79BEC4A9594FE32567F7B1797">
    <w:name w:val="DC7E5CF79BEC4A9594FE32567F7B1797"/>
    <w:rsid w:val="00084DDB"/>
    <w:rPr>
      <w:lang w:val="en-US" w:eastAsia="en-US"/>
    </w:rPr>
  </w:style>
  <w:style w:type="paragraph" w:customStyle="1" w:styleId="87AD87F04B9D42C7921A6281E9D65B57">
    <w:name w:val="87AD87F04B9D42C7921A6281E9D65B57"/>
    <w:rsid w:val="00084DDB"/>
    <w:rPr>
      <w:lang w:val="en-US" w:eastAsia="en-US"/>
    </w:rPr>
  </w:style>
  <w:style w:type="paragraph" w:customStyle="1" w:styleId="95BD6A92A3EF493B9819BC756305623D">
    <w:name w:val="95BD6A92A3EF493B9819BC756305623D"/>
    <w:rsid w:val="00084DDB"/>
    <w:rPr>
      <w:lang w:val="en-US" w:eastAsia="en-US"/>
    </w:rPr>
  </w:style>
  <w:style w:type="paragraph" w:customStyle="1" w:styleId="57D0919241F34D3796D924A7F8843D08">
    <w:name w:val="57D0919241F34D3796D924A7F8843D08"/>
    <w:rsid w:val="00741F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03F02F-E8B7-4E32-B608-DA483D12BEFE}"/>
</file>

<file path=customXml/itemProps2.xml><?xml version="1.0" encoding="utf-8"?>
<ds:datastoreItem xmlns:ds="http://schemas.openxmlformats.org/officeDocument/2006/customXml" ds:itemID="{DECED67F-C810-45D1-B12F-B8D56675D1F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948D74-CCF8-4B8E-9590-A3AF7176E082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bf54d604-3e62-4e70-ba33-9e9084b96a66"/>
    <ds:schemaRef ds:uri="http://purl.org/dc/terms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6347CA2-2A10-4AB5-A8AA-A52018196B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2019-10-10T03:03:00Z</dcterms:created>
  <dcterms:modified xsi:type="dcterms:W3CDTF">2025-12-22T03:49:00Z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2025-12-22T03:49:02Z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f0ecd41c-e605-4762-bba0-b308926fd842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