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075CE6E4" w14:textId="77777777" w:rsidR="00BD499F" w:rsidRPr="004C23F4" w:rsidRDefault="004711F6" w:rsidP="00B40C60">
          <w:pPr>
            <w:pStyle w:val="Heading1"/>
            <w:jc w:val="center"/>
            <w:rPr>
              <w:rFonts w:ascii="Arial" w:hAnsi="Arial" w:cs="Arial"/>
            </w:rPr>
          </w:pPr>
          <w:r w:rsidRPr="004711F6">
            <w:rPr>
              <w:rFonts w:ascii="Arial" w:hAnsi="Arial" w:cs="Arial"/>
            </w:rPr>
            <w:t>Diborane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7"/>
        <w:gridCol w:w="5039"/>
      </w:tblGrid>
      <w:tr w:rsidR="00F43AD5" w:rsidRPr="004C23F4" w14:paraId="0FED70C3" w14:textId="77777777" w:rsidTr="00B76A41">
        <w:trPr>
          <w:cantSplit/>
          <w:tblHeader/>
        </w:trPr>
        <w:tc>
          <w:tcPr>
            <w:tcW w:w="4077" w:type="dxa"/>
          </w:tcPr>
          <w:p w14:paraId="12126FF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685E97AB" w14:textId="77777777" w:rsidR="00F43AD5" w:rsidRPr="00717D45" w:rsidRDefault="004711F6" w:rsidP="00B76A41">
            <w:pPr>
              <w:pStyle w:val="Tablefont"/>
            </w:pPr>
            <w:r w:rsidRPr="004711F6">
              <w:t>19287-45-7</w:t>
            </w:r>
          </w:p>
        </w:tc>
      </w:tr>
      <w:tr w:rsidR="00F43AD5" w:rsidRPr="004C23F4" w14:paraId="668A4FA1" w14:textId="77777777" w:rsidTr="00B76A41">
        <w:trPr>
          <w:cantSplit/>
        </w:trPr>
        <w:tc>
          <w:tcPr>
            <w:tcW w:w="4077" w:type="dxa"/>
          </w:tcPr>
          <w:p w14:paraId="230BA31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07B5576" w14:textId="21BF2F09" w:rsidR="00F43AD5" w:rsidRPr="00717D45" w:rsidRDefault="00847DAD" w:rsidP="00B76A41">
            <w:pPr>
              <w:pStyle w:val="Tablefont"/>
            </w:pPr>
            <w:r>
              <w:t xml:space="preserve">Boroethane, </w:t>
            </w:r>
            <w:r w:rsidR="00A34338">
              <w:t xml:space="preserve">boron </w:t>
            </w:r>
            <w:r>
              <w:t xml:space="preserve">hydride, </w:t>
            </w:r>
            <w:r w:rsidR="00A34338">
              <w:t xml:space="preserve">diboron </w:t>
            </w:r>
            <w:r>
              <w:t>hexahydride</w:t>
            </w:r>
          </w:p>
        </w:tc>
      </w:tr>
      <w:tr w:rsidR="00F43AD5" w:rsidRPr="004C23F4" w14:paraId="19E8AD93" w14:textId="77777777" w:rsidTr="00B76A41">
        <w:trPr>
          <w:cantSplit/>
        </w:trPr>
        <w:tc>
          <w:tcPr>
            <w:tcW w:w="4077" w:type="dxa"/>
          </w:tcPr>
          <w:p w14:paraId="631DC36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07DF3B0A" w14:textId="77777777" w:rsidR="00F43AD5" w:rsidRPr="00717D45" w:rsidRDefault="00847DAD" w:rsidP="00B76A41">
            <w:pPr>
              <w:pStyle w:val="Tablefont"/>
            </w:pPr>
            <w:r>
              <w:t>B</w:t>
            </w:r>
            <w:r w:rsidRPr="00847DAD">
              <w:rPr>
                <w:vertAlign w:val="subscript"/>
              </w:rPr>
              <w:t>2</w:t>
            </w:r>
            <w:r>
              <w:t>H</w:t>
            </w:r>
            <w:r w:rsidRPr="00847DAD">
              <w:rPr>
                <w:vertAlign w:val="subscript"/>
              </w:rPr>
              <w:t>6</w:t>
            </w:r>
          </w:p>
        </w:tc>
      </w:tr>
      <w:tr w:rsidR="00F43AD5" w:rsidRPr="004C23F4" w14:paraId="7C0E352B" w14:textId="77777777" w:rsidTr="00B76A41">
        <w:trPr>
          <w:cantSplit/>
        </w:trPr>
        <w:tc>
          <w:tcPr>
            <w:tcW w:w="4077" w:type="dxa"/>
          </w:tcPr>
          <w:p w14:paraId="0E57AA0F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423CA21" w14:textId="77777777" w:rsidR="00F43AD5" w:rsidRPr="00B40C60" w:rsidRDefault="003A6261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481AA303" w14:textId="5F75C082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910158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2A6A76F0" w14:textId="77777777" w:rsidTr="00610F2E">
        <w:trPr>
          <w:cantSplit/>
          <w:tblHeader/>
        </w:trPr>
        <w:tc>
          <w:tcPr>
            <w:tcW w:w="4077" w:type="dxa"/>
            <w:vAlign w:val="center"/>
          </w:tcPr>
          <w:p w14:paraId="40EC959D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165" w:type="dxa"/>
          </w:tcPr>
          <w:p w14:paraId="4F34749C" w14:textId="77777777" w:rsidR="002C7AFE" w:rsidRPr="00EB3D1B" w:rsidRDefault="003A626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0.01 ppm (0.01 mg/m</w:t>
            </w:r>
            <w:r w:rsidRPr="003A6261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013E8E44" w14:textId="77777777" w:rsidTr="00921DE7">
        <w:trPr>
          <w:cantSplit/>
        </w:trPr>
        <w:tc>
          <w:tcPr>
            <w:tcW w:w="4077" w:type="dxa"/>
            <w:vAlign w:val="center"/>
          </w:tcPr>
          <w:p w14:paraId="5161AF1A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165" w:type="dxa"/>
          </w:tcPr>
          <w:p w14:paraId="2B875116" w14:textId="77777777" w:rsidR="002C7AFE" w:rsidRPr="00EB3D1B" w:rsidRDefault="003A626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777C70DA" w14:textId="77777777" w:rsidTr="00921DE7">
        <w:trPr>
          <w:cantSplit/>
        </w:trPr>
        <w:tc>
          <w:tcPr>
            <w:tcW w:w="4077" w:type="dxa"/>
            <w:vAlign w:val="center"/>
          </w:tcPr>
          <w:p w14:paraId="57E46EF0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165" w:type="dxa"/>
          </w:tcPr>
          <w:p w14:paraId="7180DBC8" w14:textId="77777777" w:rsidR="002C7AFE" w:rsidRPr="00EB3D1B" w:rsidRDefault="003A6261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4B927498" w14:textId="77777777" w:rsidTr="00A2073D">
        <w:trPr>
          <w:cantSplit/>
        </w:trPr>
        <w:tc>
          <w:tcPr>
            <w:tcW w:w="4077" w:type="dxa"/>
          </w:tcPr>
          <w:p w14:paraId="7C025C4B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165" w:type="dxa"/>
          </w:tcPr>
          <w:p w14:paraId="019BA841" w14:textId="77777777" w:rsidR="002C7AFE" w:rsidRPr="00EB3D1B" w:rsidRDefault="003A6261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5C6D9118" w14:textId="77777777" w:rsidTr="00921DE7">
        <w:trPr>
          <w:cantSplit/>
        </w:trPr>
        <w:tc>
          <w:tcPr>
            <w:tcW w:w="4077" w:type="dxa"/>
            <w:vAlign w:val="center"/>
          </w:tcPr>
          <w:p w14:paraId="4C8FC0CA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165" w:type="dxa"/>
          </w:tcPr>
          <w:p w14:paraId="41E3D4F5" w14:textId="77777777" w:rsidR="002C7AFE" w:rsidRPr="00EB3D1B" w:rsidRDefault="00847DAD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15 ppm</w:t>
            </w:r>
          </w:p>
        </w:tc>
      </w:tr>
      <w:tr w:rsidR="009F04D2" w:rsidRPr="004C23F4" w14:paraId="69BA39C1" w14:textId="77777777" w:rsidTr="00097C5E">
        <w:trPr>
          <w:cantSplit/>
        </w:trPr>
        <w:tc>
          <w:tcPr>
            <w:tcW w:w="4077" w:type="dxa"/>
          </w:tcPr>
          <w:p w14:paraId="72643A9B" w14:textId="77777777" w:rsidR="009F04D2" w:rsidRDefault="009F04D2" w:rsidP="00097C5E">
            <w:pPr>
              <w:pStyle w:val="Tablerowright"/>
            </w:pPr>
            <w:r>
              <w:t>Sampling and analysis:</w:t>
            </w:r>
          </w:p>
        </w:tc>
        <w:tc>
          <w:tcPr>
            <w:tcW w:w="5165" w:type="dxa"/>
          </w:tcPr>
          <w:p w14:paraId="0A2933F0" w14:textId="3DC955B6" w:rsidR="009F04D2" w:rsidRPr="00EB3D1B" w:rsidRDefault="002C6DB7" w:rsidP="00097C5E">
            <w:pPr>
              <w:pStyle w:val="Tablefont"/>
              <w:rPr>
                <w:b/>
              </w:rPr>
            </w:pPr>
            <w:r w:rsidRPr="002C6DB7">
              <w:t>The recommended value is quantifiable through available sampling and analysis techniques.</w:t>
            </w:r>
          </w:p>
        </w:tc>
      </w:tr>
    </w:tbl>
    <w:p w14:paraId="28468A77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53AB98B" w14:textId="06E549D7" w:rsidR="006639B4" w:rsidRDefault="003A6261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Pr="003A6261">
        <w:rPr>
          <w:rFonts w:cs="Arial"/>
        </w:rPr>
        <w:t>0.01 ppm (0.01 mg/m</w:t>
      </w:r>
      <w:r w:rsidRPr="003A6261">
        <w:rPr>
          <w:rFonts w:cs="Arial"/>
          <w:vertAlign w:val="superscript"/>
        </w:rPr>
        <w:t>3</w:t>
      </w:r>
      <w:r w:rsidRPr="003A6261">
        <w:rPr>
          <w:rFonts w:cs="Arial"/>
        </w:rPr>
        <w:t>)</w:t>
      </w:r>
      <w:r>
        <w:rPr>
          <w:rFonts w:cs="Arial"/>
        </w:rPr>
        <w:t xml:space="preserve"> is recommended to protect for </w:t>
      </w:r>
      <w:r w:rsidRPr="003A6261">
        <w:rPr>
          <w:rFonts w:cs="Arial"/>
        </w:rPr>
        <w:t>respiratory irritation and pulmonary oedema in exposed workers</w:t>
      </w:r>
      <w:r>
        <w:rPr>
          <w:rFonts w:cs="Arial"/>
        </w:rPr>
        <w:t>.</w:t>
      </w:r>
    </w:p>
    <w:p w14:paraId="28ECD9D2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16D1C57" w14:textId="0525CFE9" w:rsidR="00DF65B6" w:rsidRDefault="007C2B87" w:rsidP="003A6261">
      <w:r>
        <w:rPr>
          <w:rFonts w:cs="Arial"/>
        </w:rPr>
        <w:t>Di</w:t>
      </w:r>
      <w:r w:rsidR="007278B7">
        <w:rPr>
          <w:rFonts w:cs="Arial"/>
        </w:rPr>
        <w:t>boran</w:t>
      </w:r>
      <w:r>
        <w:rPr>
          <w:rFonts w:cs="Arial"/>
        </w:rPr>
        <w:t xml:space="preserve">e </w:t>
      </w:r>
      <w:r w:rsidR="003A6261">
        <w:rPr>
          <w:rFonts w:cs="Arial"/>
        </w:rPr>
        <w:t xml:space="preserve">is </w:t>
      </w:r>
      <w:r w:rsidR="003A6261">
        <w:t xml:space="preserve">used as a </w:t>
      </w:r>
      <w:r w:rsidR="00DF65B6">
        <w:rPr>
          <w:rFonts w:cs="Arial"/>
        </w:rPr>
        <w:t>reducing agent, rubber vulcaniser, polymerization catalyst, flame-speed accelerator, doping agent and in rocket propellant</w:t>
      </w:r>
      <w:r w:rsidR="003A6261">
        <w:t xml:space="preserve">. </w:t>
      </w:r>
    </w:p>
    <w:p w14:paraId="71E50148" w14:textId="520640C5" w:rsidR="009E5B43" w:rsidRDefault="006B3E4C" w:rsidP="00DF65B6">
      <w:r>
        <w:t xml:space="preserve">Acute effects after high concentration exposure in humans result in </w:t>
      </w:r>
      <w:r w:rsidRPr="00A96330">
        <w:t>breathlessness, coughing, nausea, chest pains and neurotoxic effects</w:t>
      </w:r>
      <w:r>
        <w:t xml:space="preserve">. </w:t>
      </w:r>
      <w:r w:rsidR="00DF65B6">
        <w:t>A</w:t>
      </w:r>
      <w:r w:rsidR="009D22CE">
        <w:t>n inhalation</w:t>
      </w:r>
      <w:r w:rsidR="00DF65B6">
        <w:t xml:space="preserve"> study in rats reported that exposure </w:t>
      </w:r>
      <w:r>
        <w:t>at</w:t>
      </w:r>
      <w:r w:rsidR="00DF65B6">
        <w:t xml:space="preserve"> 0.</w:t>
      </w:r>
      <w:r>
        <w:t>11 </w:t>
      </w:r>
      <w:r w:rsidR="00DF65B6">
        <w:t>ppm (0.13 mg/m</w:t>
      </w:r>
      <w:r w:rsidR="00DF65B6" w:rsidRPr="00DF65B6">
        <w:rPr>
          <w:vertAlign w:val="superscript"/>
        </w:rPr>
        <w:t>3</w:t>
      </w:r>
      <w:r w:rsidR="00DF65B6">
        <w:t xml:space="preserve">), </w:t>
      </w:r>
      <w:r w:rsidR="002248A2">
        <w:t>six</w:t>
      </w:r>
      <w:r w:rsidR="00DF65B6">
        <w:t xml:space="preserve"> hours per day, </w:t>
      </w:r>
      <w:r w:rsidR="002248A2">
        <w:t>five</w:t>
      </w:r>
      <w:r w:rsidR="00DF65B6">
        <w:t xml:space="preserve"> days per week for </w:t>
      </w:r>
      <w:r w:rsidR="002248A2">
        <w:t>eight</w:t>
      </w:r>
      <w:r w:rsidR="00DF65B6">
        <w:t xml:space="preserve"> weeks resulted in increased levels of </w:t>
      </w:r>
      <w:r w:rsidR="00DF65B6" w:rsidRPr="00DF65B6">
        <w:t>neutrophils and phospholipids in the lung lavage fluid in a concentration-dependent manner</w:t>
      </w:r>
      <w:r w:rsidR="00DF65B6">
        <w:t xml:space="preserve">. </w:t>
      </w:r>
      <w:r w:rsidR="00E3773B">
        <w:t xml:space="preserve">The results suggest a </w:t>
      </w:r>
      <w:r w:rsidR="00DF65B6" w:rsidRPr="00DF65B6">
        <w:t>LOAEL</w:t>
      </w:r>
      <w:r w:rsidR="00E3773B">
        <w:t xml:space="preserve"> for lung effects in rats of 0.11 ppm</w:t>
      </w:r>
      <w:r w:rsidR="00DF65B6">
        <w:t xml:space="preserve"> (</w:t>
      </w:r>
      <w:r w:rsidR="00DF65B6" w:rsidRPr="00DA352E">
        <w:t>HCOTN</w:t>
      </w:r>
      <w:r w:rsidR="00CD1A5B">
        <w:t>, </w:t>
      </w:r>
      <w:r w:rsidR="00DF65B6">
        <w:t>2</w:t>
      </w:r>
      <w:r w:rsidR="00DF5824">
        <w:t>,</w:t>
      </w:r>
      <w:r w:rsidR="00DF65B6">
        <w:t>000</w:t>
      </w:r>
      <w:r w:rsidR="0068235A">
        <w:t>; DFG 2</w:t>
      </w:r>
      <w:r w:rsidR="00DF5824">
        <w:t>,</w:t>
      </w:r>
      <w:r w:rsidR="0068235A">
        <w:t>000</w:t>
      </w:r>
      <w:r w:rsidR="00DF65B6">
        <w:t xml:space="preserve">). </w:t>
      </w:r>
    </w:p>
    <w:p w14:paraId="796F1286" w14:textId="787167C2" w:rsidR="00DF65B6" w:rsidRDefault="00910158" w:rsidP="00DF65B6">
      <w:r>
        <w:t>In line with the HCOTN recommendations, a</w:t>
      </w:r>
      <w:r w:rsidR="009D22CE">
        <w:t xml:space="preserve"> TWA of </w:t>
      </w:r>
      <w:r w:rsidR="009D22CE" w:rsidRPr="009E5B43">
        <w:t>0.01</w:t>
      </w:r>
      <w:r w:rsidR="009D22CE">
        <w:t> </w:t>
      </w:r>
      <w:r w:rsidR="009D22CE" w:rsidRPr="009E5B43">
        <w:t xml:space="preserve">ppm </w:t>
      </w:r>
      <w:r w:rsidR="009D22CE">
        <w:t xml:space="preserve">is derived using the </w:t>
      </w:r>
      <w:r w:rsidR="00F33B59">
        <w:t xml:space="preserve">reported </w:t>
      </w:r>
      <w:r w:rsidR="009D22CE">
        <w:t xml:space="preserve">LOAEL and applying </w:t>
      </w:r>
      <w:r w:rsidR="00DB5D81">
        <w:t>a</w:t>
      </w:r>
      <w:r w:rsidR="009E5B43">
        <w:t xml:space="preserve">n uncertainty factor of </w:t>
      </w:r>
      <w:r w:rsidR="009D22CE">
        <w:t xml:space="preserve">10 </w:t>
      </w:r>
      <w:r w:rsidR="00DA086E">
        <w:t xml:space="preserve">to account for </w:t>
      </w:r>
      <w:r w:rsidR="009D22CE">
        <w:t>absence of a NOAEL</w:t>
      </w:r>
      <w:r w:rsidR="006B3E4C">
        <w:t xml:space="preserve"> and a</w:t>
      </w:r>
      <w:r w:rsidR="00327BF3">
        <w:t xml:space="preserve">n uncertainty factor to account for interspecies differences is </w:t>
      </w:r>
      <w:r w:rsidR="008A4D25">
        <w:t xml:space="preserve">not applied </w:t>
      </w:r>
      <w:r w:rsidR="00327BF3">
        <w:t xml:space="preserve">as the LOAEL is </w:t>
      </w:r>
      <w:r w:rsidR="00097C5E">
        <w:t>for</w:t>
      </w:r>
      <w:r w:rsidR="00327BF3">
        <w:t xml:space="preserve"> localised effects. </w:t>
      </w:r>
      <w:r w:rsidR="000E1CE9">
        <w:t xml:space="preserve">Based on the available evidence, the </w:t>
      </w:r>
      <w:r>
        <w:t xml:space="preserve">recommended </w:t>
      </w:r>
      <w:r w:rsidR="00F33B59">
        <w:t xml:space="preserve">TWA is </w:t>
      </w:r>
      <w:r w:rsidR="000E1CE9">
        <w:t>considered to protect for the lung effects in exposed workers</w:t>
      </w:r>
      <w:r w:rsidR="00097C5E">
        <w:t>.</w:t>
      </w:r>
    </w:p>
    <w:p w14:paraId="3526AA1F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27594274" w14:textId="77777777" w:rsidR="003941ED" w:rsidRDefault="003941ED" w:rsidP="003941ED">
      <w:pPr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>nd Labelling of Chemicals (GHS).</w:t>
      </w:r>
    </w:p>
    <w:p w14:paraId="265711CB" w14:textId="6348AE5A" w:rsidR="003941ED" w:rsidRDefault="003941ED" w:rsidP="003941ED">
      <w:pPr>
        <w:rPr>
          <w:rFonts w:cs="Arial"/>
        </w:rPr>
      </w:pPr>
      <w:r>
        <w:rPr>
          <w:rFonts w:cs="Arial"/>
        </w:rPr>
        <w:t>Not c</w:t>
      </w:r>
      <w:r w:rsidRPr="00011ADB">
        <w:rPr>
          <w:rFonts w:cs="Arial"/>
        </w:rPr>
        <w:t>lassified as</w:t>
      </w:r>
      <w:r>
        <w:rPr>
          <w:rFonts w:cs="Arial"/>
        </w:rPr>
        <w:t xml:space="preserve"> a </w:t>
      </w:r>
      <w:r w:rsidRPr="00681DB8">
        <w:rPr>
          <w:rFonts w:cs="Arial"/>
        </w:rPr>
        <w:t>skin</w:t>
      </w:r>
      <w:r w:rsidR="00CD1A5B">
        <w:rPr>
          <w:rFonts w:cs="Arial"/>
        </w:rPr>
        <w:t xml:space="preserve"> sensitiser</w:t>
      </w:r>
      <w:r w:rsidRPr="00681DB8">
        <w:rPr>
          <w:rFonts w:cs="Arial"/>
        </w:rPr>
        <w:t xml:space="preserve"> or respiratory</w:t>
      </w:r>
      <w:r w:rsidRPr="00011ADB">
        <w:rPr>
          <w:rFonts w:cs="Arial"/>
        </w:rPr>
        <w:t xml:space="preserve"> sensitiser according to </w:t>
      </w:r>
      <w:r>
        <w:rPr>
          <w:rFonts w:cs="Arial"/>
        </w:rPr>
        <w:t>the GHS.</w:t>
      </w:r>
    </w:p>
    <w:p w14:paraId="719374C1" w14:textId="53457271" w:rsidR="0025734A" w:rsidRPr="004C23F4" w:rsidRDefault="00B1438C">
      <w:pPr>
        <w:rPr>
          <w:rFonts w:cs="Arial"/>
        </w:rPr>
      </w:pPr>
      <w:r>
        <w:rPr>
          <w:rFonts w:cs="Arial"/>
        </w:rPr>
        <w:t>There are i</w:t>
      </w:r>
      <w:r w:rsidR="003941ED" w:rsidRPr="00820121">
        <w:rPr>
          <w:rFonts w:cs="Arial"/>
        </w:rPr>
        <w:t xml:space="preserve">nsufficient </w:t>
      </w:r>
      <w:r w:rsidR="00CD1A5B">
        <w:rPr>
          <w:rFonts w:cs="Arial"/>
        </w:rPr>
        <w:t>data</w:t>
      </w:r>
      <w:r w:rsidR="003941ED" w:rsidRPr="00820121">
        <w:rPr>
          <w:rFonts w:cs="Arial"/>
        </w:rPr>
        <w:t xml:space="preserve"> to recommend a skin notation.</w:t>
      </w:r>
    </w:p>
    <w:p w14:paraId="40F30FB7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47AEC63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6F6BA3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B3ACD1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252BD74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6A6B1D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69DA4C1C" w14:textId="77777777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4711F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711F6">
                  <w:t>TWA: 0.1 ppm (0.11 mg/m</w:t>
                </w:r>
                <w:r w:rsidR="004711F6" w:rsidRPr="004711F6">
                  <w:rPr>
                    <w:vertAlign w:val="superscript"/>
                  </w:rPr>
                  <w:t>3</w:t>
                </w:r>
                <w:r w:rsidR="004711F6">
                  <w:t>)</w:t>
                </w:r>
              </w:sdtContent>
            </w:sdt>
          </w:p>
        </w:tc>
      </w:tr>
      <w:tr w:rsidR="00C978F0" w:rsidRPr="00DA352E" w14:paraId="5FFDDD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400DBD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8742D4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939C62B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4711F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711F6">
                  <w:t>TLV-</w:t>
                </w:r>
                <w:r w:rsidR="004711F6" w:rsidRPr="004711F6">
                  <w:t>TWA: 0.1 ppm (0.1 mg/m</w:t>
                </w:r>
                <w:r w:rsidR="004711F6" w:rsidRPr="00435D93">
                  <w:rPr>
                    <w:vertAlign w:val="superscript"/>
                  </w:rPr>
                  <w:t>3</w:t>
                </w:r>
                <w:r w:rsidR="004711F6" w:rsidRPr="004711F6">
                  <w:t>)</w:t>
                </w:r>
              </w:sdtContent>
            </w:sdt>
          </w:p>
        </w:tc>
      </w:tr>
      <w:tr w:rsidR="00C978F0" w:rsidRPr="00DA352E" w14:paraId="4559B3D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BF8AA9F" w14:textId="77777777" w:rsidR="004711F6" w:rsidRDefault="004711F6" w:rsidP="004711F6">
            <w:pPr>
              <w:pStyle w:val="Tabletextprimarysource"/>
            </w:pPr>
            <w:r>
              <w:t xml:space="preserve">TLV-TWA recommended to minimise the risk of headache, vertigo, chills, fever, respiratory irritation and pulmonary </w:t>
            </w:r>
            <w:r w:rsidRPr="001E2278">
              <w:rPr>
                <w:rFonts w:cs="Arial"/>
              </w:rPr>
              <w:t>oedema</w:t>
            </w:r>
            <w:r>
              <w:t xml:space="preserve"> in exposed workers.</w:t>
            </w:r>
          </w:p>
          <w:p w14:paraId="5DB65C58" w14:textId="77777777" w:rsidR="004711F6" w:rsidRDefault="004711F6" w:rsidP="004711F6">
            <w:pPr>
              <w:pStyle w:val="Tabletextprimarysource"/>
            </w:pPr>
            <w:r>
              <w:t>Summary of data:</w:t>
            </w:r>
          </w:p>
          <w:p w14:paraId="2BAC90E4" w14:textId="77777777" w:rsidR="004711F6" w:rsidRDefault="004711F6" w:rsidP="00CC3BC4">
            <w:pPr>
              <w:pStyle w:val="Tabletextprimarysource"/>
            </w:pPr>
            <w:r>
              <w:t xml:space="preserve">Human </w:t>
            </w:r>
            <w:r w:rsidRPr="001E2278">
              <w:rPr>
                <w:rFonts w:cs="Arial"/>
              </w:rPr>
              <w:t>data</w:t>
            </w:r>
            <w:r>
              <w:t>:</w:t>
            </w:r>
          </w:p>
          <w:p w14:paraId="0A91213E" w14:textId="4C8403BE" w:rsidR="00EF7463" w:rsidRDefault="006B3E4C" w:rsidP="00097C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A96330" w:rsidRPr="00A96330">
              <w:t xml:space="preserve">cute effects of high-level exposure of workers </w:t>
            </w:r>
            <w:r>
              <w:t>include</w:t>
            </w:r>
            <w:r w:rsidR="00A96330" w:rsidRPr="00A96330">
              <w:t xml:space="preserve"> breathlessness, coughing, nausea, chest pains and neurotoxic effects</w:t>
            </w:r>
          </w:p>
          <w:p w14:paraId="6A82067B" w14:textId="7F906AC2" w:rsidR="00CD1A5B" w:rsidRDefault="00A96330" w:rsidP="006B3E4C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</w:t>
            </w:r>
            <w:r w:rsidRPr="00A96330">
              <w:t>ong-term exposure</w:t>
            </w:r>
            <w:r>
              <w:t xml:space="preserve"> symptoms include </w:t>
            </w:r>
            <w:r w:rsidRPr="00A96330">
              <w:t>headaches, dizziness, shivering and fever</w:t>
            </w:r>
            <w:r w:rsidR="00B1438C">
              <w:t>.</w:t>
            </w:r>
            <w:r w:rsidRPr="00A96330">
              <w:t xml:space="preserve"> </w:t>
            </w:r>
          </w:p>
          <w:p w14:paraId="5F39339E" w14:textId="420C3CB7" w:rsidR="004711F6" w:rsidRDefault="004711F6" w:rsidP="00CC3BC4">
            <w:pPr>
              <w:pStyle w:val="Tabletextprimarysource"/>
            </w:pPr>
            <w:r>
              <w:t>Animal data:</w:t>
            </w:r>
          </w:p>
          <w:p w14:paraId="307E2697" w14:textId="148FCB3C" w:rsidR="00A96330" w:rsidRDefault="00A96330" w:rsidP="00097C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850A5E">
              <w:rPr>
                <w:vertAlign w:val="subscript"/>
              </w:rPr>
              <w:t>50</w:t>
            </w:r>
            <w:r>
              <w:t xml:space="preserve">: 40 or 80 ppm (rat, 4 h) age dependant, primary symptoms pulmonary oedema and suspected change in the </w:t>
            </w:r>
            <w:r w:rsidR="006B3E4C">
              <w:t>CNS</w:t>
            </w:r>
          </w:p>
          <w:p w14:paraId="6827DC2C" w14:textId="5FF076BA" w:rsidR="00CD1A5B" w:rsidRDefault="00A6299E" w:rsidP="00097C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Rats, guinea pigs and dogs were exposed to 1</w:t>
            </w:r>
            <w:r w:rsidR="001E2278">
              <w:t>–</w:t>
            </w:r>
            <w:r>
              <w:t>2 and 5 ppm (6 h/d, 6</w:t>
            </w:r>
            <w:r w:rsidR="001E2278">
              <w:t xml:space="preserve"> </w:t>
            </w:r>
            <w:r>
              <w:t>mo):</w:t>
            </w:r>
          </w:p>
          <w:p w14:paraId="5BB2C398" w14:textId="33E5AF46" w:rsidR="00CD1A5B" w:rsidRDefault="00A6299E" w:rsidP="00097C5E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17/18 rats, 2/2 dogs died at 5 ppm exposure</w:t>
            </w:r>
          </w:p>
          <w:p w14:paraId="0BEBFCD8" w14:textId="3D7C5C4D" w:rsidR="00A6299E" w:rsidRDefault="00A6299E" w:rsidP="00097C5E">
            <w:pPr>
              <w:pStyle w:val="ListBullet"/>
              <w:numPr>
                <w:ilvl w:val="0"/>
                <w:numId w:val="8"/>
              </w:numPr>
              <w:spacing w:before="60" w:after="60"/>
              <w:ind w:left="1094" w:hanging="357"/>
              <w:contextualSpacing w:val="0"/>
            </w:pPr>
            <w:r>
              <w:t>10/20 rats, 1/2 dogs, 0/10 guinea pigs died at 1</w:t>
            </w:r>
            <w:r w:rsidR="001E2278">
              <w:t>–</w:t>
            </w:r>
            <w:r>
              <w:t>2 ppm</w:t>
            </w:r>
            <w:r w:rsidR="001E2278">
              <w:t>.</w:t>
            </w:r>
          </w:p>
          <w:p w14:paraId="446516E3" w14:textId="77777777" w:rsidR="00CD1A5B" w:rsidRDefault="00CD1A5B" w:rsidP="004711F6">
            <w:pPr>
              <w:pStyle w:val="Tabletextprimarysource"/>
              <w:rPr>
                <w:rFonts w:cs="Arial"/>
              </w:rPr>
            </w:pPr>
          </w:p>
          <w:p w14:paraId="0CD6E2C3" w14:textId="77777777" w:rsidR="00C978F0" w:rsidRDefault="00A6299E" w:rsidP="004711F6">
            <w:pPr>
              <w:pStyle w:val="Tabletextprimarysource"/>
            </w:pPr>
            <w:r w:rsidRPr="00913C3B">
              <w:rPr>
                <w:rFonts w:cs="Arial"/>
              </w:rPr>
              <w:t>Insufficient</w:t>
            </w:r>
            <w:r>
              <w:t xml:space="preserve"> data to recommend a carcinogen, skin or sensitisation notation.</w:t>
            </w:r>
          </w:p>
          <w:p w14:paraId="774FA429" w14:textId="2780A216" w:rsidR="00CD1A5B" w:rsidRPr="00DA352E" w:rsidRDefault="00CD1A5B" w:rsidP="004711F6">
            <w:pPr>
              <w:pStyle w:val="Tabletextprimarysource"/>
            </w:pPr>
          </w:p>
        </w:tc>
      </w:tr>
      <w:tr w:rsidR="00C978F0" w:rsidRPr="00DA352E" w14:paraId="7657420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D558EE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B960A3">
                  <w:t>2000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03CCC">
                  <w:t>Not assigned</w:t>
                </w:r>
              </w:sdtContent>
            </w:sdt>
          </w:p>
        </w:tc>
      </w:tr>
      <w:tr w:rsidR="00C978F0" w:rsidRPr="00DA352E" w14:paraId="7CF78D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C8CDCCA" w14:textId="03B3DE8E" w:rsidR="00B960A3" w:rsidRDefault="00B960A3" w:rsidP="00CC3BC4">
            <w:pPr>
              <w:pStyle w:val="Tabletextprimarysource"/>
            </w:pPr>
            <w:r w:rsidRPr="00B960A3">
              <w:t xml:space="preserve">Because of the lack </w:t>
            </w:r>
            <w:r w:rsidRPr="001E2278">
              <w:rPr>
                <w:rFonts w:cs="Arial"/>
              </w:rPr>
              <w:t>of</w:t>
            </w:r>
            <w:r w:rsidRPr="00B960A3">
              <w:t xml:space="preserve"> concentration measurements in the studies available with man, no MAK value can be evaluated</w:t>
            </w:r>
            <w:r>
              <w:t>.</w:t>
            </w:r>
          </w:p>
          <w:p w14:paraId="266DA2DD" w14:textId="0AA5AEEF" w:rsidR="00E65BFD" w:rsidRDefault="00E65BFD" w:rsidP="00CC3BC4">
            <w:pPr>
              <w:pStyle w:val="Tabletextprimarysource"/>
            </w:pPr>
            <w:r>
              <w:t>Summary of additional data:</w:t>
            </w:r>
          </w:p>
          <w:p w14:paraId="12FEE78F" w14:textId="7EB26E11" w:rsidR="00244E2C" w:rsidRDefault="00B960A3" w:rsidP="00097C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to 0.11 and 0.96 ppm </w:t>
            </w:r>
            <w:r w:rsidRPr="00244E2C">
              <w:t>(</w:t>
            </w:r>
            <w:r>
              <w:t xml:space="preserve">rats, </w:t>
            </w:r>
            <w:r w:rsidRPr="00244E2C">
              <w:t>6 h/d, 5 d</w:t>
            </w:r>
            <w:r>
              <w:t>/</w:t>
            </w:r>
            <w:r w:rsidRPr="00244E2C">
              <w:t>wk</w:t>
            </w:r>
            <w:r>
              <w:t xml:space="preserve">, </w:t>
            </w:r>
            <w:r w:rsidR="00AB18C2">
              <w:t xml:space="preserve">8 wk, </w:t>
            </w:r>
            <w:r>
              <w:t>inhalation)</w:t>
            </w:r>
            <w:r w:rsidR="00AB18C2">
              <w:t xml:space="preserve"> </w:t>
            </w:r>
            <w:r w:rsidR="00066DDE">
              <w:t>increased</w:t>
            </w:r>
            <w:r>
              <w:t xml:space="preserve"> </w:t>
            </w:r>
            <w:r w:rsidRPr="00244E2C">
              <w:t>the levels of neutrophils and phospholipids in the lung lavage fluid in a concentration-dependent manner</w:t>
            </w:r>
          </w:p>
          <w:p w14:paraId="4D4FAC2F" w14:textId="77777777" w:rsidR="00C978F0" w:rsidRDefault="00B960A3" w:rsidP="00097C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to 0.2 and 0.7 ppm </w:t>
            </w:r>
            <w:r w:rsidRPr="00244E2C">
              <w:t>(</w:t>
            </w:r>
            <w:r>
              <w:t>mice, inhalation) increased the number of abnormal sperm</w:t>
            </w:r>
            <w:r w:rsidR="00603CCC">
              <w:t>, another similar study produced contradictory results</w:t>
            </w:r>
            <w:r w:rsidR="001E2278">
              <w:t>.</w:t>
            </w:r>
          </w:p>
          <w:p w14:paraId="580618F0" w14:textId="4763736B" w:rsidR="00CD1A5B" w:rsidRPr="00DA352E" w:rsidRDefault="00CD1A5B" w:rsidP="00097C5E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489FF39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02DB32" w14:textId="7777777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960A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960A3">
                  <w:t>NA</w:t>
                </w:r>
              </w:sdtContent>
            </w:sdt>
          </w:p>
        </w:tc>
      </w:tr>
      <w:tr w:rsidR="00C978F0" w:rsidRPr="00DA352E" w14:paraId="25E1274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B50CD4F" w14:textId="5454047B" w:rsidR="00C978F0" w:rsidRPr="00DA352E" w:rsidRDefault="00B960A3" w:rsidP="003365A5">
            <w:pPr>
              <w:pStyle w:val="Tabletextprimarysource"/>
            </w:pPr>
            <w:r>
              <w:t>No report</w:t>
            </w:r>
            <w:r w:rsidR="00B1438C">
              <w:t>.</w:t>
            </w:r>
          </w:p>
        </w:tc>
      </w:tr>
      <w:tr w:rsidR="00DA352E" w:rsidRPr="00DA352E" w14:paraId="12FEA38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9AD28AF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960A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sdt>
                  <w:sdtPr>
                    <w:id w:val="-710260494"/>
                    <w:placeholder>
                      <w:docPart w:val="E0058EE794034C5197B3CDA2C7A6893C"/>
                    </w:placeholder>
                    <w:text/>
                  </w:sdtPr>
                  <w:sdtEndPr/>
                  <w:sdtContent>
                    <w:r w:rsidR="00B960A3">
                      <w:t>NA</w:t>
                    </w:r>
                  </w:sdtContent>
                </w:sdt>
              </w:sdtContent>
            </w:sdt>
          </w:p>
        </w:tc>
      </w:tr>
      <w:tr w:rsidR="00DA352E" w:rsidRPr="00DA352E" w14:paraId="4444814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DD37536" w14:textId="3475C4B2" w:rsidR="00DA352E" w:rsidRPr="00DA352E" w:rsidRDefault="00B960A3" w:rsidP="003365A5">
            <w:pPr>
              <w:pStyle w:val="Tabletextprimarysource"/>
            </w:pPr>
            <w:r>
              <w:t>No report</w:t>
            </w:r>
            <w:r w:rsidR="00B1438C">
              <w:t>.</w:t>
            </w:r>
          </w:p>
        </w:tc>
      </w:tr>
      <w:tr w:rsidR="00DA352E" w:rsidRPr="00DA352E" w14:paraId="70D3B216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320EA93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35D93">
                  <w:t>200</w:t>
                </w:r>
                <w:r w:rsidR="000E427A">
                  <w:t>0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35D93" w:rsidRPr="00435D93">
                  <w:t>TWA 8 hours</w:t>
                </w:r>
                <w:r w:rsidR="00435D93">
                  <w:t>:</w:t>
                </w:r>
                <w:r w:rsidR="00435D93" w:rsidRPr="00435D93">
                  <w:t xml:space="preserve"> </w:t>
                </w:r>
                <w:r w:rsidR="00435D93" w:rsidRPr="004711F6">
                  <w:t>0.1 ppm (0.1 mg/m</w:t>
                </w:r>
                <w:r w:rsidR="00435D93" w:rsidRPr="00435D93">
                  <w:rPr>
                    <w:vertAlign w:val="superscript"/>
                  </w:rPr>
                  <w:t>3</w:t>
                </w:r>
                <w:r w:rsidR="00435D93" w:rsidRPr="004711F6">
                  <w:t>)</w:t>
                </w:r>
              </w:sdtContent>
            </w:sdt>
          </w:p>
        </w:tc>
      </w:tr>
      <w:tr w:rsidR="00DA352E" w:rsidRPr="00DA352E" w14:paraId="1F180B30" w14:textId="77777777" w:rsidTr="006B3E4C">
        <w:trPr>
          <w:gridAfter w:val="1"/>
          <w:wAfter w:w="8" w:type="pct"/>
        </w:trPr>
        <w:tc>
          <w:tcPr>
            <w:tcW w:w="4992" w:type="pct"/>
          </w:tcPr>
          <w:p w14:paraId="3293A47D" w14:textId="67B65B8D" w:rsidR="006B3E4C" w:rsidRDefault="00910158" w:rsidP="00CC3BC4">
            <w:pPr>
              <w:pStyle w:val="Tabletextprimarysource"/>
            </w:pPr>
            <w:r>
              <w:t>Current TWA is an administrative value</w:t>
            </w:r>
            <w:r w:rsidR="006B3E4C">
              <w:t xml:space="preserve"> only</w:t>
            </w:r>
            <w:r>
              <w:t xml:space="preserve">. </w:t>
            </w:r>
          </w:p>
          <w:p w14:paraId="0463E809" w14:textId="26F0720D" w:rsidR="00C66793" w:rsidRDefault="00910158" w:rsidP="00CC3BC4">
            <w:pPr>
              <w:pStyle w:val="Tabletextprimarysource"/>
            </w:pPr>
            <w:r>
              <w:t>Recommendations by DECOS for a health-based TWA of 0.01 ppm are</w:t>
            </w:r>
            <w:r w:rsidR="00EF056C">
              <w:t xml:space="preserve"> derived from</w:t>
            </w:r>
            <w:r w:rsidR="003D1BC6">
              <w:t xml:space="preserve"> LOAEL</w:t>
            </w:r>
            <w:r w:rsidR="00F573B8">
              <w:t xml:space="preserve"> of 0.13 mg/m</w:t>
            </w:r>
            <w:r w:rsidR="00F573B8">
              <w:rPr>
                <w:vertAlign w:val="superscript"/>
              </w:rPr>
              <w:t>3</w:t>
            </w:r>
            <w:r w:rsidR="003D1BC6">
              <w:t xml:space="preserve"> for lung ef</w:t>
            </w:r>
            <w:r w:rsidR="000E427A">
              <w:t>fects in</w:t>
            </w:r>
            <w:r w:rsidR="00EF056C">
              <w:t xml:space="preserve"> subacute rat study. </w:t>
            </w:r>
            <w:r w:rsidR="00F573B8">
              <w:t>Application of an o</w:t>
            </w:r>
            <w:r w:rsidR="003D1BC6">
              <w:t xml:space="preserve">verall assessment factor of 9 to account for </w:t>
            </w:r>
            <w:r w:rsidR="003D1BC6" w:rsidRPr="001E2278">
              <w:rPr>
                <w:rFonts w:cs="Arial"/>
              </w:rPr>
              <w:t>starting</w:t>
            </w:r>
            <w:r w:rsidR="003D1BC6">
              <w:t xml:space="preserve"> from a LOAEL and for intraspecies variation</w:t>
            </w:r>
            <w:r w:rsidR="00F573B8">
              <w:t xml:space="preserve"> results in preferred value of 0.</w:t>
            </w:r>
            <w:r w:rsidR="006B3E4C">
              <w:t>01 </w:t>
            </w:r>
            <w:r w:rsidR="00F573B8">
              <w:t>mg/m</w:t>
            </w:r>
            <w:r w:rsidR="00F573B8" w:rsidRPr="00CC3BC4">
              <w:rPr>
                <w:vertAlign w:val="superscript"/>
              </w:rPr>
              <w:t>3</w:t>
            </w:r>
            <w:r w:rsidR="00F573B8">
              <w:t xml:space="preserve">. No interspecies assessment factor considered necessary. </w:t>
            </w:r>
          </w:p>
          <w:p w14:paraId="10DAA585" w14:textId="0291F4D4" w:rsidR="00E65BFD" w:rsidRDefault="00E65BFD" w:rsidP="00CC3BC4">
            <w:pPr>
              <w:pStyle w:val="Tabletextprimarysource"/>
            </w:pPr>
            <w:r>
              <w:t>Summary of additional data:</w:t>
            </w:r>
          </w:p>
          <w:p w14:paraId="07C9666F" w14:textId="5D7A9FA9" w:rsidR="00C66793" w:rsidRDefault="00C66793" w:rsidP="00097C5E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lastRenderedPageBreak/>
              <w:t>LC</w:t>
            </w:r>
            <w:r w:rsidRPr="00A96330">
              <w:rPr>
                <w:vertAlign w:val="subscript"/>
              </w:rPr>
              <w:t>50</w:t>
            </w:r>
            <w:r>
              <w:t xml:space="preserve">: </w:t>
            </w:r>
            <w:r w:rsidRPr="00C66793">
              <w:t>36.2 mg/m</w:t>
            </w:r>
            <w:r w:rsidRPr="00C66793">
              <w:rPr>
                <w:vertAlign w:val="superscript"/>
              </w:rPr>
              <w:t>3</w:t>
            </w:r>
            <w:r w:rsidRPr="00C66793">
              <w:t xml:space="preserve"> (31.5 ppm)</w:t>
            </w:r>
            <w:r>
              <w:t xml:space="preserve"> (mice, 4 h)</w:t>
            </w:r>
          </w:p>
          <w:p w14:paraId="546B5689" w14:textId="548A184A" w:rsidR="00C66793" w:rsidRDefault="00C66793" w:rsidP="00097C5E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t>NOAEL: 1 ppm (1.2 mg/m</w:t>
            </w:r>
            <w:r w:rsidRPr="00C66793">
              <w:rPr>
                <w:vertAlign w:val="superscript"/>
              </w:rPr>
              <w:t>3</w:t>
            </w:r>
            <w:r>
              <w:t>) (mice, 8 h, inhalation)</w:t>
            </w:r>
            <w:r w:rsidR="00D07978">
              <w:t xml:space="preserve"> for</w:t>
            </w:r>
            <w:r w:rsidR="009D22CE">
              <w:t xml:space="preserve"> effects on</w:t>
            </w:r>
            <w:r w:rsidR="00D07978">
              <w:t xml:space="preserve"> </w:t>
            </w:r>
            <w:r w:rsidR="009D22CE">
              <w:t xml:space="preserve">lung </w:t>
            </w:r>
          </w:p>
          <w:p w14:paraId="5318691E" w14:textId="7B3BB7EB" w:rsidR="00DA352E" w:rsidRDefault="00435D93" w:rsidP="00097C5E">
            <w:pPr>
              <w:pStyle w:val="ListBullet"/>
              <w:spacing w:before="60" w:after="60"/>
              <w:ind w:left="714" w:right="357" w:hanging="357"/>
              <w:contextualSpacing w:val="0"/>
            </w:pPr>
            <w:r>
              <w:t>LOAEL: 0.1</w:t>
            </w:r>
            <w:r w:rsidR="0068235A">
              <w:t>1</w:t>
            </w:r>
            <w:r>
              <w:t xml:space="preserve"> ppm</w:t>
            </w:r>
            <w:r w:rsidR="0068235A">
              <w:t xml:space="preserve"> (0.13 </w:t>
            </w:r>
            <w:r w:rsidR="0068235A" w:rsidRPr="00C66793">
              <w:t>mg/m</w:t>
            </w:r>
            <w:r w:rsidR="0068235A" w:rsidRPr="00C66793">
              <w:rPr>
                <w:vertAlign w:val="superscript"/>
              </w:rPr>
              <w:t>3</w:t>
            </w:r>
            <w:r w:rsidR="0068235A">
              <w:t>)</w:t>
            </w:r>
            <w:r>
              <w:t xml:space="preserve"> (rats, 6 h/d, 5 d/wk, 8 wk, inhalation) for effects on the lungs</w:t>
            </w:r>
            <w:r w:rsidR="005175E1">
              <w:t xml:space="preserve"> (same study as DFG)</w:t>
            </w:r>
            <w:r w:rsidR="001E2278">
              <w:t>.</w:t>
            </w:r>
          </w:p>
          <w:p w14:paraId="34E3B809" w14:textId="3B8AB397" w:rsidR="00CD1A5B" w:rsidRPr="00DA352E" w:rsidRDefault="00CD1A5B" w:rsidP="00097C5E">
            <w:pPr>
              <w:pStyle w:val="ListBullet"/>
              <w:numPr>
                <w:ilvl w:val="0"/>
                <w:numId w:val="0"/>
              </w:numPr>
              <w:spacing w:after="80"/>
              <w:ind w:left="360" w:right="357" w:hanging="360"/>
            </w:pPr>
          </w:p>
        </w:tc>
      </w:tr>
    </w:tbl>
    <w:p w14:paraId="7871E2B6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p w14:paraId="44135BC0" w14:textId="6FDAB166" w:rsidR="007E2A4B" w:rsidRDefault="003A6261">
      <w:r>
        <w:t>NIL</w:t>
      </w:r>
      <w:r w:rsidR="006B3E4C">
        <w:t>.</w:t>
      </w:r>
    </w:p>
    <w:bookmarkEnd w:id="0"/>
    <w:p w14:paraId="35B3A380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556C3E8A" w14:textId="77777777" w:rsidTr="003A6261">
        <w:trPr>
          <w:trHeight w:val="454"/>
          <w:tblHeader/>
        </w:trPr>
        <w:tc>
          <w:tcPr>
            <w:tcW w:w="6597" w:type="dxa"/>
            <w:vAlign w:val="center"/>
          </w:tcPr>
          <w:p w14:paraId="47943BAB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1CC1E49E" w14:textId="77777777" w:rsidR="002E0D61" w:rsidRDefault="003A6261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8ADAE22" w14:textId="77777777" w:rsidTr="003A6261">
        <w:trPr>
          <w:trHeight w:val="454"/>
        </w:trPr>
        <w:tc>
          <w:tcPr>
            <w:tcW w:w="6597" w:type="dxa"/>
            <w:vAlign w:val="center"/>
          </w:tcPr>
          <w:p w14:paraId="34A8165D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2F6ECCA5" w14:textId="77777777" w:rsidR="008A36CF" w:rsidRDefault="003A626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6B3E4C" w14:paraId="6C2F060B" w14:textId="77777777" w:rsidTr="0014718B">
        <w:trPr>
          <w:trHeight w:val="454"/>
        </w:trPr>
        <w:sdt>
          <w:sdtPr>
            <w:rPr>
              <w:b/>
            </w:rPr>
            <w:id w:val="1830936485"/>
            <w:placeholder>
              <w:docPart w:val="682F3610325D4F83965521A55700A1D3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35251F50" w14:textId="07D3C702" w:rsidR="006B3E4C" w:rsidRDefault="006B3E4C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6307C6D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05BDE6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C64D14B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2BE0F41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DEA50EF" w14:textId="77777777" w:rsidTr="00812887">
        <w:trPr>
          <w:cantSplit/>
        </w:trPr>
        <w:tc>
          <w:tcPr>
            <w:tcW w:w="3227" w:type="dxa"/>
          </w:tcPr>
          <w:p w14:paraId="6F6FA1D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8A1453F" w14:textId="77777777" w:rsidR="00687890" w:rsidRPr="00DD2F9B" w:rsidRDefault="00847DAD" w:rsidP="00DD2F9B">
            <w:pPr>
              <w:pStyle w:val="Tablefont"/>
            </w:pPr>
            <w:r w:rsidRPr="00847DAD">
              <w:t>—</w:t>
            </w:r>
          </w:p>
        </w:tc>
      </w:tr>
      <w:tr w:rsidR="007925F0" w:rsidRPr="004C23F4" w14:paraId="6ACB3908" w14:textId="77777777" w:rsidTr="00812887">
        <w:trPr>
          <w:cantSplit/>
        </w:trPr>
        <w:tc>
          <w:tcPr>
            <w:tcW w:w="3227" w:type="dxa"/>
          </w:tcPr>
          <w:p w14:paraId="312FD2DE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12B953A9" w14:textId="77777777" w:rsidR="007925F0" w:rsidRPr="00DD2F9B" w:rsidRDefault="00847DAD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5635E70A" w14:textId="77777777" w:rsidTr="00812887">
        <w:trPr>
          <w:cantSplit/>
        </w:trPr>
        <w:tc>
          <w:tcPr>
            <w:tcW w:w="3227" w:type="dxa"/>
          </w:tcPr>
          <w:p w14:paraId="1157E26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7395D5BF" w14:textId="77777777" w:rsidR="00AF483F" w:rsidRPr="00DD2F9B" w:rsidRDefault="00847DAD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E0C3556" w14:textId="77777777" w:rsidTr="00812887">
        <w:trPr>
          <w:cantSplit/>
        </w:trPr>
        <w:tc>
          <w:tcPr>
            <w:tcW w:w="3227" w:type="dxa"/>
          </w:tcPr>
          <w:p w14:paraId="6CED3EC6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48E3175" w14:textId="77777777" w:rsidR="00687890" w:rsidRPr="00DD2F9B" w:rsidRDefault="00847DAD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EC7F89E" w14:textId="77777777" w:rsidTr="00812887">
        <w:trPr>
          <w:cantSplit/>
        </w:trPr>
        <w:tc>
          <w:tcPr>
            <w:tcW w:w="3227" w:type="dxa"/>
          </w:tcPr>
          <w:p w14:paraId="75670A4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D02C839" w14:textId="77777777" w:rsidR="00E41A26" w:rsidRPr="00DD2F9B" w:rsidRDefault="00847D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3FB8466" w14:textId="77777777" w:rsidTr="00812887">
        <w:trPr>
          <w:cantSplit/>
        </w:trPr>
        <w:tc>
          <w:tcPr>
            <w:tcW w:w="3227" w:type="dxa"/>
          </w:tcPr>
          <w:p w14:paraId="18998AEF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573BBE1" w14:textId="77777777" w:rsidR="002E0D61" w:rsidRPr="00DD2F9B" w:rsidRDefault="00847D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BA58D6" w14:textId="77777777" w:rsidTr="00812887">
        <w:trPr>
          <w:cantSplit/>
        </w:trPr>
        <w:tc>
          <w:tcPr>
            <w:tcW w:w="3227" w:type="dxa"/>
          </w:tcPr>
          <w:p w14:paraId="731318D7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EACDD80" w14:textId="77777777" w:rsidR="002E0D61" w:rsidRPr="00DD2F9B" w:rsidRDefault="00847DAD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79E11EA6" w14:textId="77777777" w:rsidTr="00812887">
        <w:trPr>
          <w:cantSplit/>
        </w:trPr>
        <w:tc>
          <w:tcPr>
            <w:tcW w:w="3227" w:type="dxa"/>
          </w:tcPr>
          <w:p w14:paraId="6FEEBB58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34960240" w14:textId="77777777" w:rsidR="002E0D61" w:rsidRPr="00DD2F9B" w:rsidRDefault="00847DAD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5B60965" w14:textId="77777777" w:rsidTr="00812887">
        <w:trPr>
          <w:cantSplit/>
        </w:trPr>
        <w:tc>
          <w:tcPr>
            <w:tcW w:w="3227" w:type="dxa"/>
          </w:tcPr>
          <w:p w14:paraId="4C61B87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5BEFB315" w14:textId="77777777" w:rsidR="002E0D61" w:rsidRPr="00DD2F9B" w:rsidRDefault="00457199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6D5153D9" w14:textId="77777777" w:rsidTr="00812887">
        <w:trPr>
          <w:cantSplit/>
        </w:trPr>
        <w:tc>
          <w:tcPr>
            <w:tcW w:w="3227" w:type="dxa"/>
          </w:tcPr>
          <w:p w14:paraId="0393163A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3CC85AD4" w14:textId="77777777" w:rsidR="00386093" w:rsidRPr="00DD2F9B" w:rsidRDefault="0045719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C622FBA" w14:textId="77777777" w:rsidTr="00812887">
        <w:trPr>
          <w:cantSplit/>
        </w:trPr>
        <w:tc>
          <w:tcPr>
            <w:tcW w:w="3227" w:type="dxa"/>
          </w:tcPr>
          <w:p w14:paraId="640AAE0E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8C4439A" w14:textId="77777777" w:rsidR="00386093" w:rsidRPr="00DD2F9B" w:rsidRDefault="0045719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0DCDE909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F71B87D" w14:textId="77777777" w:rsidR="00474E33" w:rsidRDefault="00474E33" w:rsidP="00474E33">
      <w:pPr>
        <w:pStyle w:val="Heading3"/>
      </w:pPr>
      <w:r>
        <w:t>Skin notation assessment</w:t>
      </w:r>
    </w:p>
    <w:p w14:paraId="38BF726C" w14:textId="77777777" w:rsidR="003941ED" w:rsidRPr="003941ED" w:rsidRDefault="003941ED" w:rsidP="003941ED">
      <w:pPr>
        <w:rPr>
          <w:lang w:eastAsia="en-AU"/>
        </w:rPr>
      </w:pPr>
      <w:r w:rsidRPr="00D303AD">
        <w:t>Insufficient data to assign a skin notation</w:t>
      </w:r>
      <w:r>
        <w:t>.</w:t>
      </w:r>
    </w:p>
    <w:p w14:paraId="2395590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0AEB4C6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3841E95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6E95FBD7" w14:textId="77777777" w:rsidR="00EB3D1B" w:rsidRDefault="00457199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FDF21CC" w14:textId="77777777" w:rsidR="00687890" w:rsidRPr="004C23F4" w:rsidRDefault="00B479A9" w:rsidP="001E2278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EEC2977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E207E28" w14:textId="77777777" w:rsidR="001B79E5" w:rsidRDefault="001B79E5" w:rsidP="00CC3BC4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2F947F80" w14:textId="77777777" w:rsidR="001B79E5" w:rsidRDefault="00457199" w:rsidP="00CC3BC4">
                <w:pPr>
                  <w:pStyle w:val="Tablefont"/>
                  <w:keepNext/>
                </w:pPr>
                <w:r w:rsidRPr="00457199">
                  <w:t>27.66</w:t>
                </w:r>
              </w:p>
            </w:tc>
          </w:sdtContent>
        </w:sdt>
      </w:tr>
      <w:tr w:rsidR="00A31D99" w:rsidRPr="004C23F4" w14:paraId="7CEA172C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4FF9D82" w14:textId="77777777" w:rsidR="00A31D99" w:rsidRPr="00263255" w:rsidRDefault="00A31D99" w:rsidP="00CC3BC4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D4A77FF" w14:textId="77777777" w:rsidR="00A31D99" w:rsidRDefault="00A0643F" w:rsidP="00CC3BC4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457199">
                  <w:t>1.15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457199">
                  <w:t>0.873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41335774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B87F343" w14:textId="77777777" w:rsidR="00687890" w:rsidRPr="00263255" w:rsidRDefault="00687890" w:rsidP="00CC3BC4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98C29FA" w14:textId="77777777" w:rsidR="00687890" w:rsidRPr="004C23F4" w:rsidRDefault="00E46BCB" w:rsidP="00CC3BC4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13D59B5A" w14:textId="77777777" w:rsidTr="00EA6243">
        <w:trPr>
          <w:cantSplit/>
        </w:trPr>
        <w:tc>
          <w:tcPr>
            <w:tcW w:w="4077" w:type="dxa"/>
            <w:vAlign w:val="center"/>
          </w:tcPr>
          <w:p w14:paraId="69AECBBD" w14:textId="77777777" w:rsidR="00687890" w:rsidRPr="00263255" w:rsidRDefault="00687890" w:rsidP="00CC3BC4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1CB0040" w14:textId="77777777" w:rsidR="00687890" w:rsidRPr="004C23F4" w:rsidRDefault="00A20751" w:rsidP="00CC3BC4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60E854C" w14:textId="77777777" w:rsidTr="00EA6243">
        <w:trPr>
          <w:cantSplit/>
        </w:trPr>
        <w:tc>
          <w:tcPr>
            <w:tcW w:w="4077" w:type="dxa"/>
            <w:vAlign w:val="center"/>
          </w:tcPr>
          <w:p w14:paraId="04B5882B" w14:textId="77777777" w:rsidR="00687890" w:rsidRPr="00263255" w:rsidRDefault="00687890" w:rsidP="00CC3BC4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357D23" w14:textId="77777777" w:rsidR="00687890" w:rsidRPr="004C23F4" w:rsidRDefault="00687890" w:rsidP="00CC3BC4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E9E5D84" w14:textId="77777777" w:rsidTr="00EA6243">
        <w:trPr>
          <w:cantSplit/>
        </w:trPr>
        <w:tc>
          <w:tcPr>
            <w:tcW w:w="4077" w:type="dxa"/>
            <w:vAlign w:val="center"/>
          </w:tcPr>
          <w:p w14:paraId="261CAFCB" w14:textId="77777777" w:rsidR="00E06F40" w:rsidRPr="00263255" w:rsidRDefault="00E06F40" w:rsidP="00CC3BC4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590C9E6" w14:textId="77777777" w:rsidR="00E06F40" w:rsidRPr="00A006A0" w:rsidRDefault="005E36C2" w:rsidP="00CC3BC4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C76461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12B6636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06B3ECA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D5496D5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0746E2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8FCF0C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AAD9686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0DB3392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FA40BE6" w14:textId="77777777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3693229" w14:textId="0E111740" w:rsidR="000E427A" w:rsidRDefault="000E427A" w:rsidP="00084859">
      <w:r>
        <w:t xml:space="preserve">Deutsche Forschungsgemeinschaft (DFG) (2000) </w:t>
      </w:r>
      <w:r w:rsidRPr="000E427A">
        <w:t>Diborane</w:t>
      </w:r>
      <w:r>
        <w:t xml:space="preserve"> – MAK value documentation.</w:t>
      </w:r>
    </w:p>
    <w:p w14:paraId="35B6288C" w14:textId="4D9B0A8D" w:rsidR="000E427A" w:rsidRDefault="000E427A" w:rsidP="00084859">
      <w:r>
        <w:t xml:space="preserve">Health Council of the Netherlands (HCOTN) (2000) </w:t>
      </w:r>
      <w:r w:rsidRPr="000E427A">
        <w:t>Diborane</w:t>
      </w:r>
      <w:r>
        <w:t xml:space="preserve">. Health-based calculated occupational cancer risk values. The Hague: Health Council of the Netherlands; publication no. </w:t>
      </w:r>
      <w:r w:rsidRPr="000E427A">
        <w:t>2000 / 15OSH</w:t>
      </w:r>
      <w:r>
        <w:t>.</w:t>
      </w:r>
    </w:p>
    <w:p w14:paraId="6251DC4E" w14:textId="70A22B02" w:rsidR="00CC3BC4" w:rsidRDefault="00CC3BC4" w:rsidP="00CC3BC4">
      <w:r>
        <w:t xml:space="preserve">US National Institute for Occupational Safety and Health (NIOSH) (1994) Immediately dangerous to life or health concentrations – diborane. </w:t>
      </w:r>
    </w:p>
    <w:p w14:paraId="4FF092A5" w14:textId="77777777" w:rsidR="00CC3BC4" w:rsidRDefault="00CC3BC4" w:rsidP="00084859">
      <w:pPr>
        <w:rPr>
          <w:b/>
        </w:rPr>
      </w:pPr>
    </w:p>
    <w:p w14:paraId="283E5655" w14:textId="77777777" w:rsidR="000E427A" w:rsidRDefault="000E427A" w:rsidP="00084859">
      <w:pPr>
        <w:rPr>
          <w:b/>
        </w:rPr>
      </w:pPr>
    </w:p>
    <w:p w14:paraId="7A82BBB0" w14:textId="77777777" w:rsidR="000E427A" w:rsidRPr="000E427A" w:rsidRDefault="000E427A" w:rsidP="00084859">
      <w:pPr>
        <w:rPr>
          <w:b/>
        </w:rPr>
      </w:pPr>
    </w:p>
    <w:sectPr w:rsidR="000E427A" w:rsidRPr="000E427A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3A15B" w14:textId="77777777" w:rsidR="00F3473C" w:rsidRDefault="00F3473C" w:rsidP="00F43AD5">
      <w:pPr>
        <w:spacing w:after="0" w:line="240" w:lineRule="auto"/>
      </w:pPr>
      <w:r>
        <w:separator/>
      </w:r>
    </w:p>
  </w:endnote>
  <w:endnote w:type="continuationSeparator" w:id="0">
    <w:p w14:paraId="06B976C9" w14:textId="77777777" w:rsidR="00F3473C" w:rsidRDefault="00F3473C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B22E1" w14:textId="77777777" w:rsidR="008256AB" w:rsidRDefault="008256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0887E9" w14:textId="77777777" w:rsidR="008A36CF" w:rsidRDefault="004711F6" w:rsidP="0034744C">
        <w:pPr>
          <w:pStyle w:val="Footer"/>
          <w:rPr>
            <w:sz w:val="18"/>
            <w:szCs w:val="18"/>
          </w:rPr>
        </w:pPr>
        <w:r w:rsidRPr="004711F6">
          <w:rPr>
            <w:b/>
            <w:sz w:val="18"/>
            <w:szCs w:val="18"/>
          </w:rPr>
          <w:t>Diborane</w:t>
        </w:r>
        <w:r w:rsidR="008A36CF">
          <w:rPr>
            <w:b/>
            <w:sz w:val="18"/>
            <w:szCs w:val="18"/>
          </w:rPr>
          <w:t xml:space="preserve"> (</w:t>
        </w:r>
        <w:r w:rsidRPr="004711F6">
          <w:rPr>
            <w:b/>
            <w:sz w:val="18"/>
            <w:szCs w:val="18"/>
          </w:rPr>
          <w:t>19287-45-7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9529D47" w14:textId="0F64DA31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256A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66C66" w14:textId="77777777" w:rsidR="008256AB" w:rsidRDefault="008256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C35EC" w14:textId="77777777" w:rsidR="00F3473C" w:rsidRDefault="00F3473C" w:rsidP="00F43AD5">
      <w:pPr>
        <w:spacing w:after="0" w:line="240" w:lineRule="auto"/>
      </w:pPr>
      <w:r>
        <w:separator/>
      </w:r>
    </w:p>
  </w:footnote>
  <w:footnote w:type="continuationSeparator" w:id="0">
    <w:p w14:paraId="4EE24297" w14:textId="77777777" w:rsidR="00F3473C" w:rsidRDefault="00F3473C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879822" w14:textId="2817AA24" w:rsidR="008256AB" w:rsidRDefault="008256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4DFFF" w14:textId="2EE6E1C0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6C20E7D4" wp14:editId="456A91B9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981CD" w14:textId="308CE41B" w:rsidR="008256AB" w:rsidRDefault="008256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509E" w14:textId="48CAB1DF" w:rsidR="008256AB" w:rsidRDefault="008256A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2F591" w14:textId="231683D7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D3548" w14:textId="6A6F3ED7" w:rsidR="008256AB" w:rsidRDefault="008256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F4AE0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1DA06CD"/>
    <w:multiLevelType w:val="hybridMultilevel"/>
    <w:tmpl w:val="18F837D0"/>
    <w:lvl w:ilvl="0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472B0D6A"/>
    <w:multiLevelType w:val="hybridMultilevel"/>
    <w:tmpl w:val="7EFC26A0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71AF1DEF"/>
    <w:multiLevelType w:val="hybridMultilevel"/>
    <w:tmpl w:val="02C24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95980840">
    <w:abstractNumId w:val="0"/>
  </w:num>
  <w:num w:numId="2" w16cid:durableId="1192499007">
    <w:abstractNumId w:val="0"/>
  </w:num>
  <w:num w:numId="3" w16cid:durableId="974412742">
    <w:abstractNumId w:val="1"/>
  </w:num>
  <w:num w:numId="4" w16cid:durableId="684943390">
    <w:abstractNumId w:val="0"/>
  </w:num>
  <w:num w:numId="5" w16cid:durableId="751008996">
    <w:abstractNumId w:val="3"/>
  </w:num>
  <w:num w:numId="6" w16cid:durableId="260066834">
    <w:abstractNumId w:val="0"/>
  </w:num>
  <w:num w:numId="7" w16cid:durableId="2096241030">
    <w:abstractNumId w:val="0"/>
  </w:num>
  <w:num w:numId="8" w16cid:durableId="1310817999">
    <w:abstractNumId w:val="2"/>
  </w:num>
  <w:num w:numId="9" w16cid:durableId="1976180754">
    <w:abstractNumId w:val="0"/>
  </w:num>
  <w:num w:numId="10" w16cid:durableId="1853951548">
    <w:abstractNumId w:val="0"/>
  </w:num>
  <w:num w:numId="11" w16cid:durableId="45648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520"/>
    <w:rsid w:val="00007B80"/>
    <w:rsid w:val="00013A22"/>
    <w:rsid w:val="00014C3F"/>
    <w:rsid w:val="00017C82"/>
    <w:rsid w:val="00032B88"/>
    <w:rsid w:val="000357C9"/>
    <w:rsid w:val="00046DF5"/>
    <w:rsid w:val="00052060"/>
    <w:rsid w:val="00052185"/>
    <w:rsid w:val="0005574A"/>
    <w:rsid w:val="00055FE1"/>
    <w:rsid w:val="00056EC2"/>
    <w:rsid w:val="00060B48"/>
    <w:rsid w:val="00066DDE"/>
    <w:rsid w:val="00067F32"/>
    <w:rsid w:val="00071807"/>
    <w:rsid w:val="000803E1"/>
    <w:rsid w:val="00084513"/>
    <w:rsid w:val="00084859"/>
    <w:rsid w:val="00092D94"/>
    <w:rsid w:val="00097C5E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1CE9"/>
    <w:rsid w:val="000E427A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30B8"/>
    <w:rsid w:val="00146545"/>
    <w:rsid w:val="00146B75"/>
    <w:rsid w:val="0015266D"/>
    <w:rsid w:val="0015288A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0EAA"/>
    <w:rsid w:val="001E2278"/>
    <w:rsid w:val="001E46DA"/>
    <w:rsid w:val="001E7D80"/>
    <w:rsid w:val="001F010C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8A2"/>
    <w:rsid w:val="00224EE2"/>
    <w:rsid w:val="00227EC7"/>
    <w:rsid w:val="00232B02"/>
    <w:rsid w:val="00244AD1"/>
    <w:rsid w:val="00244E2C"/>
    <w:rsid w:val="002463BC"/>
    <w:rsid w:val="002465CE"/>
    <w:rsid w:val="0025734A"/>
    <w:rsid w:val="00263255"/>
    <w:rsid w:val="00276494"/>
    <w:rsid w:val="00277B0C"/>
    <w:rsid w:val="002B1A2C"/>
    <w:rsid w:val="002C34F2"/>
    <w:rsid w:val="002C58FF"/>
    <w:rsid w:val="002C6DB7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7BF3"/>
    <w:rsid w:val="003337DA"/>
    <w:rsid w:val="00334EFB"/>
    <w:rsid w:val="00335CDE"/>
    <w:rsid w:val="003365A5"/>
    <w:rsid w:val="00337BB4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1ED"/>
    <w:rsid w:val="00394922"/>
    <w:rsid w:val="003A0E32"/>
    <w:rsid w:val="003A2B94"/>
    <w:rsid w:val="003A6261"/>
    <w:rsid w:val="003B387D"/>
    <w:rsid w:val="003C0D58"/>
    <w:rsid w:val="003D1BC6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5D93"/>
    <w:rsid w:val="004414B5"/>
    <w:rsid w:val="00444482"/>
    <w:rsid w:val="00444B42"/>
    <w:rsid w:val="00445E44"/>
    <w:rsid w:val="004509E2"/>
    <w:rsid w:val="004515EE"/>
    <w:rsid w:val="004529F0"/>
    <w:rsid w:val="00457199"/>
    <w:rsid w:val="00460A03"/>
    <w:rsid w:val="004711F6"/>
    <w:rsid w:val="00472A11"/>
    <w:rsid w:val="00472AAD"/>
    <w:rsid w:val="00474E33"/>
    <w:rsid w:val="00476803"/>
    <w:rsid w:val="00483F4F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D7593"/>
    <w:rsid w:val="004E5EDD"/>
    <w:rsid w:val="004F216F"/>
    <w:rsid w:val="004F448A"/>
    <w:rsid w:val="004F493D"/>
    <w:rsid w:val="004F65E8"/>
    <w:rsid w:val="0050005E"/>
    <w:rsid w:val="00502B88"/>
    <w:rsid w:val="005142C4"/>
    <w:rsid w:val="0051509C"/>
    <w:rsid w:val="005175E1"/>
    <w:rsid w:val="005272E2"/>
    <w:rsid w:val="0053108F"/>
    <w:rsid w:val="00532B56"/>
    <w:rsid w:val="00534B10"/>
    <w:rsid w:val="005446A2"/>
    <w:rsid w:val="00544D2F"/>
    <w:rsid w:val="00546209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36C2"/>
    <w:rsid w:val="005E6979"/>
    <w:rsid w:val="005E75CB"/>
    <w:rsid w:val="006013C1"/>
    <w:rsid w:val="00603CCC"/>
    <w:rsid w:val="006064A8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235A"/>
    <w:rsid w:val="006867F3"/>
    <w:rsid w:val="00687890"/>
    <w:rsid w:val="006901A2"/>
    <w:rsid w:val="00690368"/>
    <w:rsid w:val="0069079C"/>
    <w:rsid w:val="00690B53"/>
    <w:rsid w:val="00695B72"/>
    <w:rsid w:val="006B160A"/>
    <w:rsid w:val="006B3E4C"/>
    <w:rsid w:val="006B4E6C"/>
    <w:rsid w:val="006B50B6"/>
    <w:rsid w:val="006B595E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278B7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2B87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56AB"/>
    <w:rsid w:val="00826F21"/>
    <w:rsid w:val="00834CC8"/>
    <w:rsid w:val="00835E00"/>
    <w:rsid w:val="00837113"/>
    <w:rsid w:val="008414E4"/>
    <w:rsid w:val="00843E21"/>
    <w:rsid w:val="0084508E"/>
    <w:rsid w:val="00847DAD"/>
    <w:rsid w:val="00850A5E"/>
    <w:rsid w:val="00857A8A"/>
    <w:rsid w:val="008630EE"/>
    <w:rsid w:val="00864D13"/>
    <w:rsid w:val="00871CD5"/>
    <w:rsid w:val="00874046"/>
    <w:rsid w:val="008745A2"/>
    <w:rsid w:val="008768A8"/>
    <w:rsid w:val="0088798F"/>
    <w:rsid w:val="00887E4B"/>
    <w:rsid w:val="008915C8"/>
    <w:rsid w:val="008A36CF"/>
    <w:rsid w:val="008A3BC4"/>
    <w:rsid w:val="008A4D25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8F651C"/>
    <w:rsid w:val="00900951"/>
    <w:rsid w:val="00910158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0A"/>
    <w:rsid w:val="009A1254"/>
    <w:rsid w:val="009B2FF2"/>
    <w:rsid w:val="009B380C"/>
    <w:rsid w:val="009B4843"/>
    <w:rsid w:val="009B6543"/>
    <w:rsid w:val="009B7F0A"/>
    <w:rsid w:val="009C199D"/>
    <w:rsid w:val="009C278F"/>
    <w:rsid w:val="009C2B94"/>
    <w:rsid w:val="009C5874"/>
    <w:rsid w:val="009D22CE"/>
    <w:rsid w:val="009D3B5A"/>
    <w:rsid w:val="009E0C05"/>
    <w:rsid w:val="009E0D1C"/>
    <w:rsid w:val="009E2214"/>
    <w:rsid w:val="009E355A"/>
    <w:rsid w:val="009E5B43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4338"/>
    <w:rsid w:val="00A357BA"/>
    <w:rsid w:val="00A35ADC"/>
    <w:rsid w:val="00A402A3"/>
    <w:rsid w:val="00A53681"/>
    <w:rsid w:val="00A6299E"/>
    <w:rsid w:val="00A633D4"/>
    <w:rsid w:val="00A6461A"/>
    <w:rsid w:val="00A84504"/>
    <w:rsid w:val="00A8672F"/>
    <w:rsid w:val="00A93057"/>
    <w:rsid w:val="00A96330"/>
    <w:rsid w:val="00A968B0"/>
    <w:rsid w:val="00AB18C2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438C"/>
    <w:rsid w:val="00B1765C"/>
    <w:rsid w:val="00B213C4"/>
    <w:rsid w:val="00B40C60"/>
    <w:rsid w:val="00B479A9"/>
    <w:rsid w:val="00B52EDF"/>
    <w:rsid w:val="00B71188"/>
    <w:rsid w:val="00B76A41"/>
    <w:rsid w:val="00B87D4C"/>
    <w:rsid w:val="00B93646"/>
    <w:rsid w:val="00B960A3"/>
    <w:rsid w:val="00BA0B38"/>
    <w:rsid w:val="00BA1DBB"/>
    <w:rsid w:val="00BA4510"/>
    <w:rsid w:val="00BA529A"/>
    <w:rsid w:val="00BB612A"/>
    <w:rsid w:val="00BD3CC7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7452"/>
    <w:rsid w:val="00C61EDF"/>
    <w:rsid w:val="00C6239D"/>
    <w:rsid w:val="00C6594B"/>
    <w:rsid w:val="00C66793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C3BC4"/>
    <w:rsid w:val="00CD1A5B"/>
    <w:rsid w:val="00CD2BFD"/>
    <w:rsid w:val="00CD7147"/>
    <w:rsid w:val="00CE5AD6"/>
    <w:rsid w:val="00CE617F"/>
    <w:rsid w:val="00CE78EF"/>
    <w:rsid w:val="00CF5F13"/>
    <w:rsid w:val="00D048F7"/>
    <w:rsid w:val="00D0517E"/>
    <w:rsid w:val="00D07978"/>
    <w:rsid w:val="00D140FC"/>
    <w:rsid w:val="00D21D8C"/>
    <w:rsid w:val="00D30781"/>
    <w:rsid w:val="00D31357"/>
    <w:rsid w:val="00D31A1F"/>
    <w:rsid w:val="00D33220"/>
    <w:rsid w:val="00D334D1"/>
    <w:rsid w:val="00D33ADB"/>
    <w:rsid w:val="00D44C89"/>
    <w:rsid w:val="00D516CD"/>
    <w:rsid w:val="00D668E6"/>
    <w:rsid w:val="00D70670"/>
    <w:rsid w:val="00D74D80"/>
    <w:rsid w:val="00D76624"/>
    <w:rsid w:val="00D87570"/>
    <w:rsid w:val="00D91CB9"/>
    <w:rsid w:val="00D9287D"/>
    <w:rsid w:val="00D97989"/>
    <w:rsid w:val="00D97D8D"/>
    <w:rsid w:val="00DA086E"/>
    <w:rsid w:val="00DA352E"/>
    <w:rsid w:val="00DB5D81"/>
    <w:rsid w:val="00DC7694"/>
    <w:rsid w:val="00DD1BF6"/>
    <w:rsid w:val="00DD2F9B"/>
    <w:rsid w:val="00DE2513"/>
    <w:rsid w:val="00DE26E8"/>
    <w:rsid w:val="00DF5824"/>
    <w:rsid w:val="00DF65B6"/>
    <w:rsid w:val="00DF6F36"/>
    <w:rsid w:val="00E0084C"/>
    <w:rsid w:val="00E025AB"/>
    <w:rsid w:val="00E02B23"/>
    <w:rsid w:val="00E06F40"/>
    <w:rsid w:val="00E07CE8"/>
    <w:rsid w:val="00E16FCC"/>
    <w:rsid w:val="00E26A07"/>
    <w:rsid w:val="00E32595"/>
    <w:rsid w:val="00E3773B"/>
    <w:rsid w:val="00E37CFD"/>
    <w:rsid w:val="00E41A26"/>
    <w:rsid w:val="00E46BCB"/>
    <w:rsid w:val="00E51CAF"/>
    <w:rsid w:val="00E5359D"/>
    <w:rsid w:val="00E60F04"/>
    <w:rsid w:val="00E62AAC"/>
    <w:rsid w:val="00E65BFD"/>
    <w:rsid w:val="00E67C2F"/>
    <w:rsid w:val="00E67EF5"/>
    <w:rsid w:val="00E804EA"/>
    <w:rsid w:val="00E80A71"/>
    <w:rsid w:val="00E82337"/>
    <w:rsid w:val="00E8417B"/>
    <w:rsid w:val="00E92499"/>
    <w:rsid w:val="00E949AF"/>
    <w:rsid w:val="00E96077"/>
    <w:rsid w:val="00EA0A06"/>
    <w:rsid w:val="00EA6243"/>
    <w:rsid w:val="00EA74AB"/>
    <w:rsid w:val="00EB3D1B"/>
    <w:rsid w:val="00ED1D89"/>
    <w:rsid w:val="00ED66BC"/>
    <w:rsid w:val="00EF056C"/>
    <w:rsid w:val="00EF233A"/>
    <w:rsid w:val="00EF303E"/>
    <w:rsid w:val="00EF3A40"/>
    <w:rsid w:val="00EF7463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32A89"/>
    <w:rsid w:val="00F33B59"/>
    <w:rsid w:val="00F3473C"/>
    <w:rsid w:val="00F43AD5"/>
    <w:rsid w:val="00F4402E"/>
    <w:rsid w:val="00F56DD0"/>
    <w:rsid w:val="00F573B8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5A87E757"/>
  <w15:docId w15:val="{17D0BA17-3D0C-497E-8DB9-33D804C8E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4711F6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7B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7BB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7BB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F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F0A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E0058EE794034C5197B3CDA2C7A689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24730A-D713-45C5-9922-BA8DF240895E}"/>
      </w:docPartPr>
      <w:docPartBody>
        <w:p w:rsidR="00373009" w:rsidRDefault="00CA03B5" w:rsidP="00CA03B5">
          <w:pPr>
            <w:pStyle w:val="E0058EE794034C5197B3CDA2C7A6893C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682F3610325D4F83965521A55700A1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B213AF-85B9-4F71-8299-33A643B87BF0}"/>
      </w:docPartPr>
      <w:docPartBody>
        <w:p w:rsidR="000169E8" w:rsidRDefault="00836635" w:rsidP="00836635">
          <w:pPr>
            <w:pStyle w:val="682F3610325D4F83965521A55700A1D3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69E8"/>
    <w:rsid w:val="000E13E0"/>
    <w:rsid w:val="001430B8"/>
    <w:rsid w:val="00373009"/>
    <w:rsid w:val="00836635"/>
    <w:rsid w:val="00CA03B5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36635"/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E0058EE794034C5197B3CDA2C7A6893C">
    <w:name w:val="E0058EE794034C5197B3CDA2C7A6893C"/>
    <w:rsid w:val="00CA03B5"/>
    <w:rPr>
      <w:lang w:val="en-US" w:eastAsia="en-US"/>
    </w:rPr>
  </w:style>
  <w:style w:type="paragraph" w:customStyle="1" w:styleId="682F3610325D4F83965521A55700A1D3">
    <w:name w:val="682F3610325D4F83965521A55700A1D3"/>
    <w:rsid w:val="008366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06AA3C-96F6-4962-A813-B6CB261972EC}"/>
</file>

<file path=customXml/itemProps2.xml><?xml version="1.0" encoding="utf-8"?>
<ds:datastoreItem xmlns:ds="http://schemas.openxmlformats.org/officeDocument/2006/customXml" ds:itemID="{02ABE1B4-E40C-45AE-BE20-193BE1D04B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6FD3B4-E5FF-44D0-A85D-1656AEB7AF7B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bf54d604-3e62-4e70-ba33-9e9084b96a66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47CD600-6411-4068-834B-23583BEF88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</Company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HEARD,Jonathan</dc:creator>
  <cp:lastModifiedBy>WOOD,Nina</cp:lastModifiedBy>
  <cp:revision>3</cp:revision>
  <cp:lastPrinted>2018-10-22T22:41:00Z</cp:lastPrinted>
  <dcterms:created xsi:type="dcterms:W3CDTF">2019-10-22T23:24:00Z</dcterms:created>
  <dcterms:modified xsi:type="dcterms:W3CDTF">2025-12-22T03:48:00Z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2025-12-22T03:48:42Z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58a6ed07-042e-4e6a-b4b8-71c20dbdc873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