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5F735C0F" w14:textId="71F8F205" w:rsidR="00BD499F" w:rsidRPr="004C23F4" w:rsidRDefault="00AC7D49" w:rsidP="00B40C60">
          <w:pPr>
            <w:pStyle w:val="Heading1"/>
            <w:jc w:val="center"/>
            <w:rPr>
              <w:rFonts w:ascii="Arial" w:hAnsi="Arial" w:cs="Arial"/>
            </w:rPr>
          </w:pPr>
          <w:r w:rsidRPr="00AC7D49">
            <w:rPr>
              <w:rFonts w:ascii="Arial" w:hAnsi="Arial" w:cs="Arial"/>
            </w:rPr>
            <w:t>Diazomethane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4"/>
        <w:gridCol w:w="5042"/>
      </w:tblGrid>
      <w:tr w:rsidR="00F43AD5" w:rsidRPr="004C23F4" w14:paraId="2627BC54" w14:textId="77777777" w:rsidTr="00EB4FD8">
        <w:trPr>
          <w:cantSplit/>
          <w:tblHeader/>
        </w:trPr>
        <w:tc>
          <w:tcPr>
            <w:tcW w:w="3984" w:type="dxa"/>
          </w:tcPr>
          <w:p w14:paraId="679F941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2" w:type="dxa"/>
          </w:tcPr>
          <w:p w14:paraId="70025FF2" w14:textId="44D85448" w:rsidR="00F43AD5" w:rsidRPr="00717D45" w:rsidRDefault="00AC7D49" w:rsidP="00B76A41">
            <w:pPr>
              <w:pStyle w:val="Tablefont"/>
            </w:pPr>
            <w:r w:rsidRPr="00AC7D49">
              <w:t>334-88-3</w:t>
            </w:r>
          </w:p>
        </w:tc>
      </w:tr>
      <w:tr w:rsidR="00F43AD5" w:rsidRPr="004C23F4" w14:paraId="4196DBE1" w14:textId="77777777" w:rsidTr="00EB4FD8">
        <w:trPr>
          <w:cantSplit/>
        </w:trPr>
        <w:tc>
          <w:tcPr>
            <w:tcW w:w="3984" w:type="dxa"/>
          </w:tcPr>
          <w:p w14:paraId="5D70AE4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2" w:type="dxa"/>
          </w:tcPr>
          <w:p w14:paraId="46DA590B" w14:textId="6034E93A" w:rsidR="00F43AD5" w:rsidRPr="00717D45" w:rsidRDefault="00AC7D49" w:rsidP="00B76A41">
            <w:pPr>
              <w:pStyle w:val="Tablefont"/>
            </w:pPr>
            <w:r>
              <w:t xml:space="preserve">Azimethylene, </w:t>
            </w:r>
            <w:r w:rsidR="00255D0F">
              <w:t>diazirine</w:t>
            </w:r>
          </w:p>
        </w:tc>
      </w:tr>
      <w:tr w:rsidR="00F43AD5" w:rsidRPr="004C23F4" w14:paraId="1ECE06D8" w14:textId="77777777" w:rsidTr="00EB4FD8">
        <w:trPr>
          <w:cantSplit/>
        </w:trPr>
        <w:tc>
          <w:tcPr>
            <w:tcW w:w="3984" w:type="dxa"/>
          </w:tcPr>
          <w:p w14:paraId="537E1B42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2" w:type="dxa"/>
          </w:tcPr>
          <w:p w14:paraId="27E8889F" w14:textId="7865D9A9" w:rsidR="00F43AD5" w:rsidRPr="00717D45" w:rsidRDefault="00AC7D49" w:rsidP="00B76A41">
            <w:pPr>
              <w:pStyle w:val="Tablefont"/>
            </w:pPr>
            <w:r>
              <w:t>CH</w:t>
            </w:r>
            <w:r w:rsidRPr="00AC7D49">
              <w:rPr>
                <w:vertAlign w:val="subscript"/>
              </w:rPr>
              <w:t>2</w:t>
            </w:r>
            <w:r>
              <w:t>N</w:t>
            </w:r>
            <w:r w:rsidRPr="00AC7D49">
              <w:rPr>
                <w:vertAlign w:val="subscript"/>
              </w:rPr>
              <w:t>2</w:t>
            </w:r>
          </w:p>
        </w:tc>
      </w:tr>
    </w:tbl>
    <w:p w14:paraId="07BF2BD0" w14:textId="67E0B064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77AA0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7"/>
        <w:gridCol w:w="5019"/>
      </w:tblGrid>
      <w:tr w:rsidR="002C7AFE" w:rsidRPr="004C23F4" w14:paraId="1F052148" w14:textId="77777777" w:rsidTr="008F1F97">
        <w:trPr>
          <w:cantSplit/>
          <w:tblHeader/>
        </w:trPr>
        <w:tc>
          <w:tcPr>
            <w:tcW w:w="4007" w:type="dxa"/>
            <w:vAlign w:val="center"/>
          </w:tcPr>
          <w:p w14:paraId="4C006FF4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19" w:type="dxa"/>
          </w:tcPr>
          <w:p w14:paraId="47D3AF9E" w14:textId="44F1A6A8" w:rsidR="002C7AFE" w:rsidRPr="008F1F97" w:rsidRDefault="00273081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 pp</w:t>
            </w:r>
            <w:r w:rsidR="00F90CDD">
              <w:rPr>
                <w:b/>
              </w:rPr>
              <w:t>b</w:t>
            </w:r>
            <w:r w:rsidR="008F1F97">
              <w:rPr>
                <w:b/>
              </w:rPr>
              <w:t xml:space="preserve"> (</w:t>
            </w:r>
            <w:r w:rsidR="003C2B5E">
              <w:rPr>
                <w:b/>
              </w:rPr>
              <w:t xml:space="preserve">3.4 </w:t>
            </w:r>
            <w:r w:rsidR="003C2B5E">
              <w:rPr>
                <w:rFonts w:cs="Arial"/>
                <w:b/>
              </w:rPr>
              <w:t>µ</w:t>
            </w:r>
            <w:r w:rsidR="003C2B5E">
              <w:rPr>
                <w:b/>
              </w:rPr>
              <w:t>g/m</w:t>
            </w:r>
            <w:r w:rsidR="003C2B5E">
              <w:rPr>
                <w:b/>
                <w:vertAlign w:val="superscript"/>
              </w:rPr>
              <w:t>3</w:t>
            </w:r>
            <w:r w:rsidR="008F1F97">
              <w:rPr>
                <w:b/>
              </w:rPr>
              <w:t>)</w:t>
            </w:r>
          </w:p>
        </w:tc>
      </w:tr>
      <w:tr w:rsidR="008F1F97" w:rsidRPr="004C23F4" w14:paraId="2012D9DB" w14:textId="77777777" w:rsidTr="008F1F97">
        <w:trPr>
          <w:cantSplit/>
        </w:trPr>
        <w:tc>
          <w:tcPr>
            <w:tcW w:w="4007" w:type="dxa"/>
            <w:vAlign w:val="center"/>
          </w:tcPr>
          <w:p w14:paraId="22DA9BAD" w14:textId="77777777" w:rsidR="008F1F97" w:rsidRPr="002C58FF" w:rsidRDefault="008F1F97" w:rsidP="008F1F97">
            <w:pPr>
              <w:pStyle w:val="Tablerowright"/>
            </w:pPr>
            <w:r w:rsidRPr="002C58FF">
              <w:t>STEL</w:t>
            </w:r>
            <w:r>
              <w:t>:</w:t>
            </w:r>
          </w:p>
        </w:tc>
        <w:tc>
          <w:tcPr>
            <w:tcW w:w="5019" w:type="dxa"/>
          </w:tcPr>
          <w:p w14:paraId="3793117E" w14:textId="372241AA" w:rsidR="008F1F97" w:rsidRPr="00EB3D1B" w:rsidRDefault="008F1F97" w:rsidP="008F1F97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8F1F97" w:rsidRPr="004C23F4" w14:paraId="47F3B6B9" w14:textId="77777777" w:rsidTr="008F1F97">
        <w:trPr>
          <w:cantSplit/>
        </w:trPr>
        <w:tc>
          <w:tcPr>
            <w:tcW w:w="4007" w:type="dxa"/>
            <w:vAlign w:val="center"/>
          </w:tcPr>
          <w:p w14:paraId="0E3C5A30" w14:textId="77777777" w:rsidR="008F1F97" w:rsidRPr="002C58FF" w:rsidRDefault="008F1F97" w:rsidP="008F1F97">
            <w:pPr>
              <w:pStyle w:val="Tablerowright"/>
            </w:pPr>
            <w:r>
              <w:t>Peak limitation:</w:t>
            </w:r>
          </w:p>
        </w:tc>
        <w:tc>
          <w:tcPr>
            <w:tcW w:w="5019" w:type="dxa"/>
          </w:tcPr>
          <w:p w14:paraId="3C5C9CAF" w14:textId="64462E03" w:rsidR="008F1F97" w:rsidRPr="00EB3D1B" w:rsidRDefault="008F1F97" w:rsidP="008F1F97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8F1F97" w:rsidRPr="004C23F4" w14:paraId="69447139" w14:textId="77777777" w:rsidTr="008F1F97">
        <w:trPr>
          <w:cantSplit/>
        </w:trPr>
        <w:tc>
          <w:tcPr>
            <w:tcW w:w="4007" w:type="dxa"/>
          </w:tcPr>
          <w:p w14:paraId="6BB5A62E" w14:textId="77777777" w:rsidR="008F1F97" w:rsidRPr="002C58FF" w:rsidRDefault="008F1F97" w:rsidP="008F1F97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Pr="003241A8">
              <w:t>Notations</w:t>
            </w:r>
            <w:r>
              <w:t>:</w:t>
            </w:r>
          </w:p>
        </w:tc>
        <w:tc>
          <w:tcPr>
            <w:tcW w:w="5019" w:type="dxa"/>
          </w:tcPr>
          <w:p w14:paraId="32B51DC9" w14:textId="53DED9F7" w:rsidR="008F1F97" w:rsidRPr="00EB3D1B" w:rsidRDefault="008F1F97" w:rsidP="008F1F97">
            <w:pPr>
              <w:pStyle w:val="Tablefont"/>
              <w:rPr>
                <w:b/>
              </w:rPr>
            </w:pPr>
            <w:r>
              <w:rPr>
                <w:b/>
              </w:rPr>
              <w:t>Carc. 1B</w:t>
            </w:r>
            <w:r w:rsidR="001F111D">
              <w:rPr>
                <w:b/>
              </w:rPr>
              <w:t>; Sk.</w:t>
            </w:r>
          </w:p>
        </w:tc>
      </w:tr>
      <w:tr w:rsidR="008F1F97" w:rsidRPr="004C23F4" w14:paraId="661E17E2" w14:textId="77777777" w:rsidTr="008F1F97">
        <w:trPr>
          <w:cantSplit/>
        </w:trPr>
        <w:tc>
          <w:tcPr>
            <w:tcW w:w="4007" w:type="dxa"/>
            <w:vAlign w:val="center"/>
          </w:tcPr>
          <w:p w14:paraId="01B8834F" w14:textId="77777777" w:rsidR="008F1F97" w:rsidRPr="002C58FF" w:rsidRDefault="008F1F97" w:rsidP="008F1F97">
            <w:pPr>
              <w:pStyle w:val="Tablerowright"/>
            </w:pPr>
            <w:r>
              <w:t>IDLH:</w:t>
            </w:r>
          </w:p>
        </w:tc>
        <w:tc>
          <w:tcPr>
            <w:tcW w:w="5019" w:type="dxa"/>
          </w:tcPr>
          <w:p w14:paraId="1E921AE2" w14:textId="0D53EC31" w:rsidR="008F1F97" w:rsidRPr="006F701E" w:rsidRDefault="00571F89" w:rsidP="008F1F97">
            <w:pPr>
              <w:pStyle w:val="Tablefont"/>
              <w:rPr>
                <w:b/>
              </w:rPr>
            </w:pPr>
            <w:r w:rsidRPr="008E2145">
              <w:rPr>
                <w:b/>
              </w:rPr>
              <w:t>2</w:t>
            </w:r>
            <w:r w:rsidR="00840FE8">
              <w:rPr>
                <w:b/>
              </w:rPr>
              <w:t xml:space="preserve"> </w:t>
            </w:r>
            <w:r w:rsidRPr="008E2145">
              <w:rPr>
                <w:b/>
              </w:rPr>
              <w:t>ppm</w:t>
            </w:r>
          </w:p>
        </w:tc>
      </w:tr>
      <w:tr w:rsidR="00CE2A1A" w:rsidRPr="004C23F4" w14:paraId="66C4D0DF" w14:textId="77777777" w:rsidTr="00C56BC9">
        <w:trPr>
          <w:cantSplit/>
        </w:trPr>
        <w:tc>
          <w:tcPr>
            <w:tcW w:w="9026" w:type="dxa"/>
            <w:gridSpan w:val="2"/>
          </w:tcPr>
          <w:p w14:paraId="7B7230BE" w14:textId="52898BAF" w:rsidR="00CE2A1A" w:rsidRPr="00C72C39" w:rsidRDefault="00CE2A1A" w:rsidP="008F1F97">
            <w:pPr>
              <w:pStyle w:val="Tablefont"/>
            </w:pPr>
            <w:r w:rsidRPr="008E2145">
              <w:rPr>
                <w:b/>
              </w:rPr>
              <w:t>Sampling and analysis:</w:t>
            </w:r>
            <w:r w:rsidRPr="00C72C39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352142F8DFB459CB5A7B88C9028D34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="00C72C39">
                  <w:rPr>
                    <w:rStyle w:val="WESstatus"/>
                    <w:color w:val="auto"/>
                  </w:rPr>
                  <w:t>There is uncertainty regarding quantification of the recommended value with available sampling and/or analysis techniques.</w:t>
                </w:r>
              </w:sdtContent>
            </w:sdt>
            <w:r w:rsidRPr="00C72C39" w:rsidDel="00CE2A1A">
              <w:t xml:space="preserve"> </w:t>
            </w:r>
          </w:p>
        </w:tc>
      </w:tr>
    </w:tbl>
    <w:p w14:paraId="278DF1E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B86CEB1" w14:textId="0817DC17" w:rsidR="006639B4" w:rsidRDefault="008F1F97" w:rsidP="000C139A">
      <w:r>
        <w:rPr>
          <w:rFonts w:cs="Arial"/>
        </w:rPr>
        <w:t>A</w:t>
      </w:r>
      <w:r w:rsidR="00EB4FD8">
        <w:rPr>
          <w:rFonts w:cs="Arial"/>
        </w:rPr>
        <w:t>n interim</w:t>
      </w:r>
      <w:r>
        <w:rPr>
          <w:rFonts w:cs="Arial"/>
        </w:rPr>
        <w:t xml:space="preserve"> TWA of 2 pp</w:t>
      </w:r>
      <w:r w:rsidR="00F90CDD">
        <w:rPr>
          <w:rFonts w:cs="Arial"/>
        </w:rPr>
        <w:t>b</w:t>
      </w:r>
      <w:r>
        <w:rPr>
          <w:rFonts w:cs="Arial"/>
        </w:rPr>
        <w:t xml:space="preserve"> (</w:t>
      </w:r>
      <w:r w:rsidR="00432123" w:rsidRPr="008E2145">
        <w:t xml:space="preserve">3.4 </w:t>
      </w:r>
      <w:r w:rsidR="00432123" w:rsidRPr="008E2145">
        <w:rPr>
          <w:rFonts w:cs="Arial"/>
        </w:rPr>
        <w:t>µ</w:t>
      </w:r>
      <w:r w:rsidR="00432123" w:rsidRPr="008E2145">
        <w:t>g/m</w:t>
      </w:r>
      <w:r w:rsidR="00432123" w:rsidRPr="008E2145">
        <w:rPr>
          <w:vertAlign w:val="superscript"/>
        </w:rPr>
        <w:t>3</w:t>
      </w:r>
      <w:r w:rsidR="00432123">
        <w:t>)</w:t>
      </w:r>
      <w:r>
        <w:rPr>
          <w:rFonts w:cs="Arial"/>
        </w:rPr>
        <w:t xml:space="preserve"> is </w:t>
      </w:r>
      <w:r w:rsidR="003C4317">
        <w:rPr>
          <w:rFonts w:cs="Arial"/>
        </w:rPr>
        <w:t xml:space="preserve">recommended </w:t>
      </w:r>
      <w:r>
        <w:rPr>
          <w:rFonts w:cs="Arial"/>
        </w:rPr>
        <w:t xml:space="preserve">to </w:t>
      </w:r>
      <w:r w:rsidR="001F111D">
        <w:t>reduce the risk of lung cancer</w:t>
      </w:r>
      <w:r w:rsidR="00DA3D04">
        <w:t xml:space="preserve"> in exposed worker</w:t>
      </w:r>
      <w:r w:rsidR="001F111D">
        <w:t>s</w:t>
      </w:r>
      <w:r>
        <w:t>.</w:t>
      </w:r>
    </w:p>
    <w:p w14:paraId="7EBAF800" w14:textId="1CA38209" w:rsidR="00EB4FD8" w:rsidRDefault="00EB4FD8" w:rsidP="00EB4FD8">
      <w:pPr>
        <w:pStyle w:val="Tabletextprimarysource"/>
        <w:tabs>
          <w:tab w:val="left" w:pos="1182"/>
        </w:tabs>
        <w:spacing w:line="276" w:lineRule="auto"/>
        <w:rPr>
          <w:b/>
          <w:bCs/>
          <w:iCs/>
        </w:rPr>
      </w:pPr>
      <w:r w:rsidRPr="00EB4FD8">
        <w:t xml:space="preserve">Given the limited data available </w:t>
      </w:r>
      <w:r>
        <w:t>on the mechanism of action for carcinogenicity and its relevance in humans</w:t>
      </w:r>
      <w:r w:rsidRPr="00EB4FD8">
        <w:t>, it is recommended that a review of additional sources be conducted at the next scheduled review.</w:t>
      </w:r>
    </w:p>
    <w:p w14:paraId="4DB41B9D" w14:textId="1071F46F" w:rsidR="00C7155E" w:rsidRPr="004C23F4" w:rsidRDefault="00F10C97" w:rsidP="003365A5">
      <w:pPr>
        <w:pStyle w:val="Heading2"/>
      </w:pPr>
      <w:r>
        <w:t>Discussion and conclusions</w:t>
      </w:r>
    </w:p>
    <w:p w14:paraId="705EF44A" w14:textId="77777777" w:rsidR="007412E2" w:rsidRDefault="0034134F" w:rsidP="003840A8">
      <w:pPr>
        <w:pStyle w:val="Tabletextprimarysource"/>
        <w:tabs>
          <w:tab w:val="left" w:pos="1182"/>
        </w:tabs>
        <w:spacing w:line="276" w:lineRule="auto"/>
      </w:pPr>
      <w:r>
        <w:t>D</w:t>
      </w:r>
      <w:r w:rsidR="008F1F97">
        <w:t xml:space="preserve">iazomethane is not produced commercially </w:t>
      </w:r>
      <w:r>
        <w:t xml:space="preserve">due to its explosive nature, </w:t>
      </w:r>
      <w:r w:rsidR="008F1F97">
        <w:t xml:space="preserve">but is produced and used </w:t>
      </w:r>
      <w:r w:rsidR="008F1F97">
        <w:rPr>
          <w:i/>
        </w:rPr>
        <w:t>in</w:t>
      </w:r>
      <w:r w:rsidR="00AC7D4A">
        <w:rPr>
          <w:i/>
        </w:rPr>
        <w:t> </w:t>
      </w:r>
      <w:r w:rsidR="008F1F97">
        <w:rPr>
          <w:i/>
        </w:rPr>
        <w:t>situ</w:t>
      </w:r>
      <w:r w:rsidR="008F1F97">
        <w:t xml:space="preserve"> as a methylating agent for acidic compounds such as phenols and carboxylic acids.</w:t>
      </w:r>
      <w:r w:rsidR="00C43783">
        <w:t xml:space="preserve"> </w:t>
      </w:r>
    </w:p>
    <w:p w14:paraId="62F13ECC" w14:textId="6C58AAD1" w:rsidR="008F1F97" w:rsidRDefault="00C43783" w:rsidP="003840A8">
      <w:pPr>
        <w:pStyle w:val="Tabletextprimarysource"/>
        <w:tabs>
          <w:tab w:val="left" w:pos="1182"/>
        </w:tabs>
        <w:spacing w:line="276" w:lineRule="auto"/>
      </w:pPr>
      <w:r>
        <w:t>There are r</w:t>
      </w:r>
      <w:r w:rsidR="008F1F97">
        <w:t xml:space="preserve">eports of exposure causing irritation of eyes, dizziness, denudation of mucous membranes and sensitisation in </w:t>
      </w:r>
      <w:r w:rsidR="00DA3D04">
        <w:t xml:space="preserve">exposed </w:t>
      </w:r>
      <w:r w:rsidR="008F1F97">
        <w:t xml:space="preserve">laboratory workers. </w:t>
      </w:r>
      <w:r>
        <w:t>C</w:t>
      </w:r>
      <w:r w:rsidR="008F1F97">
        <w:t>hest pains, fever and severe asthmatic attacks</w:t>
      </w:r>
      <w:r>
        <w:t xml:space="preserve"> are also reported</w:t>
      </w:r>
      <w:r w:rsidR="008F1F97">
        <w:t>. No other toxicity data exists in humans (ACGIH, 2018).</w:t>
      </w:r>
    </w:p>
    <w:p w14:paraId="54638408" w14:textId="4A854101" w:rsidR="00DC027B" w:rsidRDefault="008F1F97" w:rsidP="00C77AA0">
      <w:r>
        <w:t>Diazomethane was found to b</w:t>
      </w:r>
      <w:r w:rsidR="000D3B86">
        <w:t xml:space="preserve">e carcinogenic in rats and mice under </w:t>
      </w:r>
      <w:r w:rsidR="001F111D">
        <w:t>test conditions relevant to worker exposure</w:t>
      </w:r>
      <w:r w:rsidR="00EB4FD8">
        <w:t>,</w:t>
      </w:r>
      <w:r>
        <w:t xml:space="preserve"> which is likely a resul</w:t>
      </w:r>
      <w:r w:rsidR="0013515D">
        <w:t>t of its methylating properties (ACGIH, 2018)</w:t>
      </w:r>
      <w:r w:rsidR="00C77AA0">
        <w:t xml:space="preserve">. Based on evidence in animals, it is considered to be a carcinogen with potential to </w:t>
      </w:r>
      <w:r w:rsidR="00C64060">
        <w:t xml:space="preserve">cause cancer </w:t>
      </w:r>
      <w:r w:rsidR="00C77AA0">
        <w:t xml:space="preserve">in humans (ACGIH, 2018; DFG, 1999). </w:t>
      </w:r>
      <w:r w:rsidR="003C2B5E">
        <w:t>The current data are insufficient to determine if its</w:t>
      </w:r>
      <w:r w:rsidR="00C43783">
        <w:t xml:space="preserve"> c</w:t>
      </w:r>
      <w:r w:rsidR="00C77AA0">
        <w:t>arcinogenicity act</w:t>
      </w:r>
      <w:r w:rsidR="003C2B5E">
        <w:t>s</w:t>
      </w:r>
      <w:r w:rsidR="00C77AA0">
        <w:t xml:space="preserve"> </w:t>
      </w:r>
      <w:r w:rsidR="00C77AA0" w:rsidRPr="003840A8">
        <w:rPr>
          <w:i/>
        </w:rPr>
        <w:t xml:space="preserve">via </w:t>
      </w:r>
      <w:r w:rsidR="00C77AA0">
        <w:t xml:space="preserve">a mutagenic mode of action. </w:t>
      </w:r>
    </w:p>
    <w:p w14:paraId="3CBE2333" w14:textId="28D6D2D8" w:rsidR="00C96795" w:rsidRDefault="003C2B5E" w:rsidP="00C77AA0">
      <w:r>
        <w:rPr>
          <w:rFonts w:cs="Arial"/>
        </w:rPr>
        <w:t>Given the carcinogenic potential, a</w:t>
      </w:r>
      <w:r w:rsidR="00C43783">
        <w:t xml:space="preserve"> TWA of 2 ppb is derived</w:t>
      </w:r>
      <w:r w:rsidR="00C43783">
        <w:rPr>
          <w:rFonts w:cs="Arial"/>
        </w:rPr>
        <w:t xml:space="preserve"> u</w:t>
      </w:r>
      <w:r w:rsidR="00C77AA0">
        <w:rPr>
          <w:rFonts w:cs="Arial"/>
        </w:rPr>
        <w:t>sing the</w:t>
      </w:r>
      <w:r w:rsidR="008E2145">
        <w:rPr>
          <w:rFonts w:cs="Arial"/>
        </w:rPr>
        <w:t xml:space="preserve"> current </w:t>
      </w:r>
      <w:r w:rsidR="00C77AA0">
        <w:rPr>
          <w:rFonts w:cs="Arial"/>
        </w:rPr>
        <w:t xml:space="preserve">TWA of 0.2 ppm as a starting point and </w:t>
      </w:r>
      <w:r w:rsidR="00C77AA0">
        <w:t xml:space="preserve">dividing by 100 to provide an adequate margin of risk. </w:t>
      </w:r>
    </w:p>
    <w:p w14:paraId="60E61263" w14:textId="0E580247" w:rsidR="00C77AA0" w:rsidRPr="00086F3C" w:rsidRDefault="00C96795" w:rsidP="00C77AA0">
      <w:r w:rsidRPr="00C96795">
        <w:t>Investigation of additional data in the next scheduled review is recommended, particularly related to carcinogenicity data.</w:t>
      </w:r>
    </w:p>
    <w:p w14:paraId="7FC935D7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8A3030D" w14:textId="77777777" w:rsidR="00DC027B" w:rsidRDefault="008F1F97" w:rsidP="00AC7D49">
      <w:pPr>
        <w:rPr>
          <w:rFonts w:cs="Arial"/>
        </w:rPr>
      </w:pPr>
      <w:r>
        <w:rPr>
          <w:rFonts w:cs="Arial"/>
        </w:rPr>
        <w:t>C</w:t>
      </w:r>
      <w:r w:rsidR="00AC7D49" w:rsidRPr="00AC7D49">
        <w:rPr>
          <w:rFonts w:cs="Arial"/>
        </w:rPr>
        <w:t xml:space="preserve">lassified as a </w:t>
      </w:r>
      <w:r w:rsidR="0034134F">
        <w:rPr>
          <w:rFonts w:cs="Arial"/>
        </w:rPr>
        <w:t xml:space="preserve">category 1B </w:t>
      </w:r>
      <w:r w:rsidR="00AC7D49" w:rsidRPr="00AC7D49">
        <w:rPr>
          <w:rFonts w:cs="Arial"/>
        </w:rPr>
        <w:t>carcinogen according to the Globally Harmonized System of Classification and Labelling o</w:t>
      </w:r>
      <w:r w:rsidR="00AC7D4A">
        <w:rPr>
          <w:rFonts w:cs="Arial"/>
        </w:rPr>
        <w:t>f</w:t>
      </w:r>
      <w:r w:rsidR="00AC7D49" w:rsidRPr="00AC7D49">
        <w:rPr>
          <w:rFonts w:cs="Arial"/>
        </w:rPr>
        <w:t xml:space="preserve"> Chemicals (GHS). </w:t>
      </w:r>
    </w:p>
    <w:p w14:paraId="71DE6322" w14:textId="77777777" w:rsidR="00DC027B" w:rsidRDefault="00AC7D49" w:rsidP="00AC7D49">
      <w:pPr>
        <w:rPr>
          <w:rFonts w:cs="Arial"/>
        </w:rPr>
      </w:pPr>
      <w:r w:rsidRPr="00AC7D49">
        <w:rPr>
          <w:rFonts w:cs="Arial"/>
        </w:rPr>
        <w:t>Not classified as a skin</w:t>
      </w:r>
      <w:r w:rsidR="00AC7D4A">
        <w:rPr>
          <w:rFonts w:cs="Arial"/>
        </w:rPr>
        <w:t xml:space="preserve"> sensitiser</w:t>
      </w:r>
      <w:r w:rsidRPr="00AC7D49">
        <w:rPr>
          <w:rFonts w:cs="Arial"/>
        </w:rPr>
        <w:t xml:space="preserve"> or respiratory sensitiser according to the GHS.</w:t>
      </w:r>
    </w:p>
    <w:p w14:paraId="1E532D9E" w14:textId="5D8FD4AA" w:rsidR="0025734A" w:rsidRPr="004C23F4" w:rsidRDefault="001F111D" w:rsidP="00AC7D49">
      <w:pPr>
        <w:rPr>
          <w:rFonts w:cs="Arial"/>
        </w:rPr>
      </w:pPr>
      <w:r>
        <w:rPr>
          <w:rFonts w:cs="Arial"/>
        </w:rPr>
        <w:t xml:space="preserve">A skin notation is recommended based on </w:t>
      </w:r>
      <w:r>
        <w:t>evidence of systemic carcinogenic potential following dermal application in animals</w:t>
      </w:r>
    </w:p>
    <w:p w14:paraId="70C667F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068E519C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1CDD850C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07BF8407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7945D9C0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708FA7C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5938BBF6" w14:textId="4DD73E70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AC7D4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AC7D49">
                  <w:t>TWA: 0.2 ppm (0.34 mg/m</w:t>
                </w:r>
                <w:r w:rsidR="00AC7D49" w:rsidRPr="00AC7D49">
                  <w:rPr>
                    <w:vertAlign w:val="superscript"/>
                  </w:rPr>
                  <w:t>3</w:t>
                </w:r>
                <w:r w:rsidR="00AC7D49">
                  <w:t>)</w:t>
                </w:r>
              </w:sdtContent>
            </w:sdt>
          </w:p>
        </w:tc>
      </w:tr>
      <w:tr w:rsidR="00C978F0" w:rsidRPr="00DA352E" w14:paraId="5AA4DD4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2246E36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412679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1C956C5" w14:textId="7F364BA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AC7D49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AC7D49">
                  <w:t>TLV-TWA: 0.2 ppm (0.34 mg/m</w:t>
                </w:r>
                <w:r w:rsidR="00AC7D49" w:rsidRPr="00AC7D49">
                  <w:rPr>
                    <w:vertAlign w:val="superscript"/>
                  </w:rPr>
                  <w:t>3</w:t>
                </w:r>
                <w:r w:rsidR="00AC7D49">
                  <w:t>)</w:t>
                </w:r>
              </w:sdtContent>
            </w:sdt>
          </w:p>
        </w:tc>
      </w:tr>
      <w:tr w:rsidR="00C978F0" w:rsidRPr="00DA352E" w14:paraId="15C3050A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7A4E1A1" w14:textId="232C789C" w:rsidR="00C978F0" w:rsidRDefault="00CE7F4C" w:rsidP="003365A5">
            <w:pPr>
              <w:pStyle w:val="Tabletextprimarysource"/>
            </w:pPr>
            <w:r>
              <w:t xml:space="preserve">The TLV-TWA recommended to prevent irritation of the </w:t>
            </w:r>
            <w:r w:rsidR="003840A8">
              <w:t xml:space="preserve">eyes and </w:t>
            </w:r>
            <w:r>
              <w:t>lower respiratory passages and related toxic effects.</w:t>
            </w:r>
          </w:p>
          <w:p w14:paraId="16F5134E" w14:textId="77777777" w:rsidR="00CE7F4C" w:rsidRDefault="00CE7F4C" w:rsidP="003365A5">
            <w:pPr>
              <w:pStyle w:val="Tabletextprimarysource"/>
            </w:pPr>
            <w:r>
              <w:t>Summary of data:</w:t>
            </w:r>
          </w:p>
          <w:p w14:paraId="545EFDD5" w14:textId="77777777" w:rsidR="00CE7F4C" w:rsidRDefault="00CE7F4C" w:rsidP="00CE7F4C">
            <w:pPr>
              <w:pStyle w:val="Tabletextprimarysource"/>
            </w:pPr>
            <w:r>
              <w:t>Human data:</w:t>
            </w:r>
          </w:p>
          <w:p w14:paraId="3AEB58B9" w14:textId="6397961C" w:rsidR="00E171F3" w:rsidRDefault="00CE7F4C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has caused irritation of eyes, dizziness, denudation of mucous membra</w:t>
            </w:r>
            <w:r w:rsidR="008F1F97">
              <w:t>nes and sensitis</w:t>
            </w:r>
            <w:r>
              <w:t>ation in laboratory workers</w:t>
            </w:r>
            <w:r w:rsidR="00DA679A">
              <w:t xml:space="preserve"> </w:t>
            </w:r>
          </w:p>
          <w:p w14:paraId="6F3E9579" w14:textId="4E78DBEC" w:rsidR="00DA679A" w:rsidRDefault="00E171F3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DA679A">
              <w:t>ase reports of chest pains, fever</w:t>
            </w:r>
            <w:r w:rsidR="00AC7D4A">
              <w:t xml:space="preserve"> </w:t>
            </w:r>
            <w:r w:rsidR="00DA679A">
              <w:t>and severe asthmatic attacks (no further information)</w:t>
            </w:r>
            <w:r w:rsidR="00AC7D4A">
              <w:t>.</w:t>
            </w:r>
          </w:p>
          <w:p w14:paraId="2C2ED646" w14:textId="271387CC" w:rsidR="00DA679A" w:rsidRDefault="00DA679A" w:rsidP="00DA679A">
            <w:pPr>
              <w:pStyle w:val="Tabletextprimarysource"/>
            </w:pPr>
            <w:r>
              <w:t>Animal data:</w:t>
            </w:r>
          </w:p>
          <w:p w14:paraId="5F4895D3" w14:textId="77777777" w:rsidR="00DA679A" w:rsidRDefault="00DA679A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175 ppm for 10 min fatal to cats within 3 d</w:t>
            </w:r>
          </w:p>
          <w:p w14:paraId="5B81B523" w14:textId="77777777" w:rsidR="00DA679A" w:rsidRDefault="00DA679A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Exposure of guinea pigs produced severe respiratory tract irritation and pulmonary oedema (no further information)</w:t>
            </w:r>
          </w:p>
          <w:p w14:paraId="359E3A57" w14:textId="156F73BE" w:rsidR="00DA679A" w:rsidRDefault="00DA679A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</w:t>
            </w:r>
            <w:r w:rsidR="00227F92">
              <w:t xml:space="preserve">oxicity </w:t>
            </w:r>
            <w:r>
              <w:t xml:space="preserve">in rats </w:t>
            </w:r>
            <w:r w:rsidR="00227F92">
              <w:t>comparable to phosgene</w:t>
            </w:r>
            <w:r w:rsidR="00E171F3">
              <w:t xml:space="preserve"> and related to its strong methylating agent</w:t>
            </w:r>
          </w:p>
          <w:p w14:paraId="73C18D86" w14:textId="07BF290C" w:rsidR="00E171F3" w:rsidRDefault="00227F92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13 rats exposed for 4.5</w:t>
            </w:r>
            <w:r w:rsidR="00B357D5">
              <w:t>–</w:t>
            </w:r>
            <w:r>
              <w:t>6 mo to diazomethane gas</w:t>
            </w:r>
            <w:r w:rsidR="00E171F3">
              <w:t>:</w:t>
            </w:r>
            <w:r>
              <w:t xml:space="preserve"> </w:t>
            </w:r>
          </w:p>
          <w:p w14:paraId="6C3BFEE5" w14:textId="0C406714" w:rsidR="00E171F3" w:rsidRDefault="00227F92" w:rsidP="00FE28A8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 xml:space="preserve">7 rats survived longer than 10 mo with 3 presenting pulmonary adenomas </w:t>
            </w:r>
          </w:p>
          <w:p w14:paraId="75184549" w14:textId="7A5A109B" w:rsidR="00227F92" w:rsidRDefault="00227F92" w:rsidP="00FE28A8">
            <w:pPr>
              <w:pStyle w:val="ListBullet"/>
              <w:numPr>
                <w:ilvl w:val="0"/>
                <w:numId w:val="8"/>
              </w:numPr>
              <w:spacing w:before="60" w:after="60"/>
              <w:contextualSpacing w:val="0"/>
            </w:pPr>
            <w:r>
              <w:t>1</w:t>
            </w:r>
            <w:r w:rsidR="00B357D5">
              <w:t>/</w:t>
            </w:r>
            <w:r>
              <w:t>3 also had a squamous-cell carcinoma of the lung</w:t>
            </w:r>
            <w:r w:rsidR="005B3376">
              <w:t xml:space="preserve"> (no further information)</w:t>
            </w:r>
          </w:p>
          <w:p w14:paraId="656E9BC6" w14:textId="32559691" w:rsidR="00752504" w:rsidRDefault="005B3376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12 mice skin painted 5 times/wk for 5 mo with liquid diazomethane</w:t>
            </w:r>
            <w:r w:rsidR="00752504">
              <w:t>:</w:t>
            </w:r>
            <w:r w:rsidR="00273081">
              <w:t xml:space="preserve"> </w:t>
            </w:r>
          </w:p>
          <w:p w14:paraId="5BF014E9" w14:textId="7122F71A" w:rsidR="005B3376" w:rsidRDefault="0034134F" w:rsidP="00FE28A8">
            <w:pPr>
              <w:pStyle w:val="ListBullet"/>
              <w:numPr>
                <w:ilvl w:val="0"/>
                <w:numId w:val="9"/>
              </w:numPr>
              <w:spacing w:before="60" w:after="60"/>
              <w:contextualSpacing w:val="0"/>
            </w:pPr>
            <w:r>
              <w:t>all 8 that</w:t>
            </w:r>
            <w:r w:rsidR="00273081">
              <w:t xml:space="preserve"> died between 5 and 12 mo had lung adenomas</w:t>
            </w:r>
          </w:p>
          <w:p w14:paraId="4E986BE5" w14:textId="1360D996" w:rsidR="001F111D" w:rsidRDefault="001F111D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but consistent evidence of lung adenomas in mice and pulmonary adenomas and squamous carcinomas in rats; relevant to occupational exposure route</w:t>
            </w:r>
            <w:r w:rsidR="006F701E">
              <w:t>.</w:t>
            </w:r>
          </w:p>
          <w:p w14:paraId="2E60E343" w14:textId="77777777" w:rsidR="00AC7D4A" w:rsidRDefault="00AC7D4A" w:rsidP="00273081">
            <w:pPr>
              <w:pStyle w:val="Tabletextprimarysource"/>
            </w:pPr>
          </w:p>
          <w:p w14:paraId="072162D0" w14:textId="094520DA" w:rsidR="00273081" w:rsidRDefault="00273081" w:rsidP="00273081">
            <w:pPr>
              <w:pStyle w:val="Tabletextprimarysource"/>
            </w:pPr>
            <w:r>
              <w:t>Insufficient evidence to recommend skin or SEN notations or a TLV-STEL</w:t>
            </w:r>
            <w:r w:rsidR="00255D0F">
              <w:t>.</w:t>
            </w:r>
          </w:p>
          <w:p w14:paraId="50AD45D0" w14:textId="77777777" w:rsidR="00273081" w:rsidRDefault="00273081" w:rsidP="00273081">
            <w:pPr>
              <w:pStyle w:val="Tabletextprimarysource"/>
            </w:pPr>
            <w:r>
              <w:t>No information on derivation of TLV-TWA.</w:t>
            </w:r>
          </w:p>
          <w:p w14:paraId="711D8D4F" w14:textId="21659261" w:rsidR="00AC7D4A" w:rsidRPr="00DA352E" w:rsidRDefault="00AC7D4A" w:rsidP="00273081">
            <w:pPr>
              <w:pStyle w:val="Tabletextprimarysource"/>
            </w:pPr>
          </w:p>
        </w:tc>
      </w:tr>
      <w:tr w:rsidR="00C978F0" w:rsidRPr="00DA352E" w14:paraId="593659D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5A5157D" w14:textId="2830EA4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C7D49">
                  <w:t>1999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AC7D49">
                  <w:t>Not assigned</w:t>
                </w:r>
              </w:sdtContent>
            </w:sdt>
          </w:p>
        </w:tc>
      </w:tr>
      <w:tr w:rsidR="00C978F0" w:rsidRPr="00DA352E" w14:paraId="3DDE9EE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57686A" w14:textId="711D1680" w:rsidR="00273081" w:rsidRDefault="00273081" w:rsidP="003365A5">
            <w:pPr>
              <w:pStyle w:val="Tabletextprimarysource"/>
            </w:pPr>
            <w:r>
              <w:t>Summary of additional data:</w:t>
            </w:r>
          </w:p>
          <w:p w14:paraId="47E07D89" w14:textId="605D341E" w:rsidR="00C978F0" w:rsidRDefault="00273081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MAK recommended due to carcinogenic effects in rodents</w:t>
            </w:r>
          </w:p>
          <w:p w14:paraId="2A98367A" w14:textId="79BB648A" w:rsidR="0013515D" w:rsidRDefault="0013515D" w:rsidP="001351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Highly mutagenic in </w:t>
            </w:r>
            <w:r>
              <w:rPr>
                <w:i/>
              </w:rPr>
              <w:t>E</w:t>
            </w:r>
            <w:r w:rsidR="00EB4FD8">
              <w:rPr>
                <w:i/>
              </w:rPr>
              <w:t>.</w:t>
            </w:r>
            <w:r>
              <w:rPr>
                <w:i/>
              </w:rPr>
              <w:t xml:space="preserve"> coli</w:t>
            </w:r>
          </w:p>
          <w:p w14:paraId="672C594F" w14:textId="425BF345" w:rsidR="0013515D" w:rsidRDefault="0013515D" w:rsidP="001351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in mutagenicity test with </w:t>
            </w:r>
            <w:r w:rsidRPr="00FE28A8">
              <w:rPr>
                <w:i/>
              </w:rPr>
              <w:t>Saccharomyces cerevisiae</w:t>
            </w:r>
            <w:r>
              <w:t xml:space="preserve"> and in two other mutagenicity tests</w:t>
            </w:r>
            <w:r w:rsidR="00D52B33">
              <w:t xml:space="preserve"> (no further information)</w:t>
            </w:r>
          </w:p>
          <w:p w14:paraId="5C907EF3" w14:textId="6E33B93F" w:rsidR="00E72BAC" w:rsidRDefault="00E72BAC" w:rsidP="0013515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When DNA was incubated with diazomethane </w:t>
            </w:r>
            <w:r w:rsidRPr="008E2145">
              <w:rPr>
                <w:i/>
              </w:rPr>
              <w:t>in vitro</w:t>
            </w:r>
            <w:r>
              <w:t>, DNA-methylation could be detected</w:t>
            </w:r>
          </w:p>
          <w:p w14:paraId="715F2210" w14:textId="59D0344D" w:rsidR="003840A8" w:rsidRDefault="003840A8" w:rsidP="003840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Carcinogenicity likely due to methylating properties</w:t>
            </w:r>
          </w:p>
          <w:p w14:paraId="334AAFE5" w14:textId="77777777" w:rsidR="00273081" w:rsidRDefault="00273081" w:rsidP="001F111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Unclear results in sensitising test in guinea pigs</w:t>
            </w:r>
            <w:r w:rsidR="00255D0F">
              <w:t>.</w:t>
            </w:r>
          </w:p>
          <w:p w14:paraId="152169A5" w14:textId="675497A6" w:rsidR="00AC7D4A" w:rsidRPr="00DA352E" w:rsidRDefault="00AC7D4A" w:rsidP="001F111D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007295A1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083EEF3" w14:textId="37627EF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C7D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C7D49">
                  <w:t>NA</w:t>
                </w:r>
              </w:sdtContent>
            </w:sdt>
          </w:p>
        </w:tc>
      </w:tr>
      <w:tr w:rsidR="00C978F0" w:rsidRPr="00DA352E" w14:paraId="0DBF63A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E3018D" w14:textId="55B59619" w:rsidR="00C978F0" w:rsidRPr="00DA352E" w:rsidRDefault="00AC7D49" w:rsidP="003365A5">
            <w:pPr>
              <w:pStyle w:val="Tabletextprimarysource"/>
            </w:pPr>
            <w:r>
              <w:t>No report</w:t>
            </w:r>
            <w:r w:rsidR="00DA3D04">
              <w:t>.</w:t>
            </w:r>
          </w:p>
        </w:tc>
      </w:tr>
      <w:tr w:rsidR="00DA352E" w:rsidRPr="00DA352E" w14:paraId="2F5E6AB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25FC6E8" w14:textId="06CE1C6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C7D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C7D49">
                  <w:t>NA</w:t>
                </w:r>
              </w:sdtContent>
            </w:sdt>
          </w:p>
        </w:tc>
      </w:tr>
      <w:tr w:rsidR="00DA352E" w:rsidRPr="00DA352E" w14:paraId="5BF80FF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4304C9D" w14:textId="3FE247A5" w:rsidR="00DA352E" w:rsidRPr="00DA352E" w:rsidRDefault="00AC7D49" w:rsidP="003365A5">
            <w:pPr>
              <w:pStyle w:val="Tabletextprimarysource"/>
            </w:pPr>
            <w:r>
              <w:t>No report</w:t>
            </w:r>
            <w:r w:rsidR="00DA3D04">
              <w:t>.</w:t>
            </w:r>
          </w:p>
        </w:tc>
      </w:tr>
      <w:tr w:rsidR="00DA352E" w:rsidRPr="00DA352E" w14:paraId="047EF2D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89EE11" w14:textId="5E69413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C7D49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C7D49">
                  <w:t>NA</w:t>
                </w:r>
              </w:sdtContent>
            </w:sdt>
          </w:p>
        </w:tc>
      </w:tr>
      <w:tr w:rsidR="00DA352E" w:rsidRPr="00DA352E" w14:paraId="22BE68A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5380FAF" w14:textId="66479D35" w:rsidR="00DA352E" w:rsidRPr="00DA352E" w:rsidRDefault="00255D0F" w:rsidP="003365A5">
            <w:pPr>
              <w:pStyle w:val="Tabletextprimarysource"/>
            </w:pPr>
            <w:r w:rsidRPr="00255D0F">
              <w:t>No report</w:t>
            </w:r>
            <w:r w:rsidR="00DA3D04">
              <w:t>.</w:t>
            </w:r>
          </w:p>
        </w:tc>
      </w:tr>
    </w:tbl>
    <w:p w14:paraId="7DC23585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3"/>
        <w:gridCol w:w="661"/>
        <w:gridCol w:w="6444"/>
      </w:tblGrid>
      <w:tr w:rsidR="004966BF" w:rsidRPr="00263255" w14:paraId="4B8856BE" w14:textId="77777777" w:rsidTr="00273081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1E8C2182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00EE4B2D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50C6B3BF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71EA7B4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ACEA751" w14:textId="77777777" w:rsidTr="00273081">
        <w:trPr>
          <w:cantSplit/>
        </w:trPr>
        <w:tc>
          <w:tcPr>
            <w:tcW w:w="1498" w:type="dxa"/>
          </w:tcPr>
          <w:p w14:paraId="40627A82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1D02A14C" w14:textId="7EB5495B" w:rsidR="004966BF" w:rsidRPr="00CE617F" w:rsidRDefault="009520A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73081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08F2B2CF" w14:textId="23548E2D" w:rsidR="004966BF" w:rsidRPr="004C23F4" w:rsidRDefault="00273081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</w:t>
            </w:r>
            <w:r w:rsidR="0034134F">
              <w:rPr>
                <w:rStyle w:val="checkbox"/>
                <w:rFonts w:ascii="Arial" w:hAnsi="Arial" w:cs="Arial"/>
              </w:rPr>
              <w:t>2</w:t>
            </w:r>
          </w:p>
        </w:tc>
        <w:tc>
          <w:tcPr>
            <w:tcW w:w="6444" w:type="dxa"/>
          </w:tcPr>
          <w:p w14:paraId="61C26CA4" w14:textId="41C140F7" w:rsidR="004966BF" w:rsidRPr="004C23F4" w:rsidRDefault="00273081" w:rsidP="001F111D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1F111D">
              <w:t>Did not identify any critical new studies</w:t>
            </w:r>
            <w:r w:rsidR="00DA3D04">
              <w:t>.</w:t>
            </w:r>
          </w:p>
        </w:tc>
      </w:tr>
      <w:tr w:rsidR="006F701E" w:rsidRPr="004C23F4" w14:paraId="2A819563" w14:textId="77777777" w:rsidTr="00273081">
        <w:trPr>
          <w:cantSplit/>
        </w:trPr>
        <w:tc>
          <w:tcPr>
            <w:tcW w:w="1498" w:type="dxa"/>
          </w:tcPr>
          <w:p w14:paraId="06E9C2B9" w14:textId="1540A859" w:rsidR="006F701E" w:rsidRDefault="006F701E" w:rsidP="00224EE2">
            <w:pPr>
              <w:pStyle w:val="Tablefont"/>
            </w:pPr>
            <w:r>
              <w:t>NIOSH</w:t>
            </w:r>
          </w:p>
        </w:tc>
        <w:tc>
          <w:tcPr>
            <w:tcW w:w="423" w:type="dxa"/>
          </w:tcPr>
          <w:p w14:paraId="50DFDAFE" w14:textId="333C139A" w:rsidR="006F701E" w:rsidRDefault="009520A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1113585"/>
                <w:placeholder>
                  <w:docPart w:val="AD0522BA098148BC8A35F2D9A379C92C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6F701E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6E12D6C" w14:textId="39B8FC1F" w:rsidR="006F701E" w:rsidRDefault="006F701E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1996</w:t>
            </w:r>
          </w:p>
        </w:tc>
        <w:tc>
          <w:tcPr>
            <w:tcW w:w="6444" w:type="dxa"/>
          </w:tcPr>
          <w:p w14:paraId="77985854" w14:textId="05A2C614" w:rsidR="006F701E" w:rsidRPr="001F111D" w:rsidRDefault="006F701E" w:rsidP="001F111D">
            <w:pPr>
              <w:pStyle w:val="ListBullet"/>
              <w:numPr>
                <w:ilvl w:val="0"/>
                <w:numId w:val="6"/>
              </w:numPr>
              <w:spacing w:before="60" w:after="60"/>
              <w:contextualSpacing w:val="0"/>
            </w:pPr>
            <w:r>
              <w:t>IDLH based on analogy to phosgene.</w:t>
            </w:r>
          </w:p>
        </w:tc>
      </w:tr>
    </w:tbl>
    <w:bookmarkEnd w:id="0"/>
    <w:p w14:paraId="33DD0A4D" w14:textId="17F5F0B0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13515D" w14:paraId="4FB1A2D8" w14:textId="77777777" w:rsidTr="003840A8">
        <w:trPr>
          <w:trHeight w:val="454"/>
          <w:tblHeader/>
        </w:trPr>
        <w:tc>
          <w:tcPr>
            <w:tcW w:w="6609" w:type="dxa"/>
            <w:vAlign w:val="center"/>
          </w:tcPr>
          <w:p w14:paraId="3DFD8CFC" w14:textId="77777777" w:rsidR="0013515D" w:rsidRDefault="0013515D" w:rsidP="00D2697B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mutagenic?</w:t>
            </w:r>
          </w:p>
        </w:tc>
        <w:sdt>
          <w:sdtPr>
            <w:id w:val="319705052"/>
            <w:placeholder>
              <w:docPart w:val="7735E8A047AA441495750665B28DB0F1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31675CA" w14:textId="2CFD8871" w:rsidR="0013515D" w:rsidRDefault="0013515D" w:rsidP="00D2697B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13515D" w14:paraId="583BDBCF" w14:textId="77777777" w:rsidTr="003840A8">
        <w:trPr>
          <w:trHeight w:val="454"/>
        </w:trPr>
        <w:tc>
          <w:tcPr>
            <w:tcW w:w="6609" w:type="dxa"/>
            <w:vAlign w:val="center"/>
          </w:tcPr>
          <w:p w14:paraId="6CC117DA" w14:textId="77777777" w:rsidR="0013515D" w:rsidRDefault="0013515D" w:rsidP="00D2697B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46F2E001F5234705AADA2770FD8E5D89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46BCE8CD" w14:textId="2E0E9751" w:rsidR="0013515D" w:rsidRDefault="008E2145" w:rsidP="00D2697B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EB4FD8" w14:paraId="43CD4338" w14:textId="77777777" w:rsidTr="003B794E">
        <w:trPr>
          <w:trHeight w:val="454"/>
        </w:trPr>
        <w:sdt>
          <w:sdtPr>
            <w:rPr>
              <w:b/>
            </w:rPr>
            <w:id w:val="1830936485"/>
            <w:placeholder>
              <w:docPart w:val="828F6AD21B0B4C768F0B87AB7CF583FA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5C304B80" w14:textId="6D153EC8" w:rsidR="00EB4FD8" w:rsidRDefault="00EB4FD8" w:rsidP="00D2697B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  <w:bookmarkEnd w:id="1"/>
    </w:tbl>
    <w:p w14:paraId="511F5F83" w14:textId="77777777" w:rsidR="0013515D" w:rsidRPr="0013515D" w:rsidRDefault="0013515D" w:rsidP="0013515D">
      <w:pPr>
        <w:rPr>
          <w:lang w:eastAsia="en-AU"/>
        </w:rPr>
      </w:pPr>
    </w:p>
    <w:p w14:paraId="733E62A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056B85E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3B5B5E42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3B3BEFC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08FE5E" w14:textId="77777777" w:rsidTr="00812887">
        <w:trPr>
          <w:cantSplit/>
        </w:trPr>
        <w:tc>
          <w:tcPr>
            <w:tcW w:w="3227" w:type="dxa"/>
          </w:tcPr>
          <w:p w14:paraId="08FCE77B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949171F" w14:textId="56B93DB3" w:rsidR="00687890" w:rsidRPr="00DD2F9B" w:rsidRDefault="00743EA6" w:rsidP="00DD2F9B">
            <w:pPr>
              <w:pStyle w:val="Tablefont"/>
            </w:pPr>
            <w:r w:rsidRPr="00743EA6">
              <w:t>Carc. 1B</w:t>
            </w:r>
          </w:p>
        </w:tc>
      </w:tr>
      <w:tr w:rsidR="007925F0" w:rsidRPr="004C23F4" w14:paraId="7C73703E" w14:textId="77777777" w:rsidTr="00812887">
        <w:trPr>
          <w:cantSplit/>
        </w:trPr>
        <w:tc>
          <w:tcPr>
            <w:tcW w:w="3227" w:type="dxa"/>
          </w:tcPr>
          <w:p w14:paraId="58132A86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7253305E" w14:textId="3511C128" w:rsidR="007925F0" w:rsidRPr="00DD2F9B" w:rsidRDefault="00A277A1" w:rsidP="00DD2F9B">
            <w:pPr>
              <w:pStyle w:val="Tablefont"/>
            </w:pPr>
            <w:r w:rsidRPr="00A277A1">
              <w:t>Carcinogenicity – category 1B</w:t>
            </w:r>
          </w:p>
        </w:tc>
      </w:tr>
      <w:tr w:rsidR="00AF483F" w:rsidRPr="004C23F4" w14:paraId="2CA59F7D" w14:textId="77777777" w:rsidTr="00812887">
        <w:trPr>
          <w:cantSplit/>
        </w:trPr>
        <w:tc>
          <w:tcPr>
            <w:tcW w:w="3227" w:type="dxa"/>
          </w:tcPr>
          <w:p w14:paraId="73A60284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2BB75DE" w14:textId="72145FAB" w:rsidR="00AF483F" w:rsidRPr="00DD2F9B" w:rsidRDefault="00743EA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A0A010A" w14:textId="77777777" w:rsidTr="00812887">
        <w:trPr>
          <w:cantSplit/>
        </w:trPr>
        <w:tc>
          <w:tcPr>
            <w:tcW w:w="3227" w:type="dxa"/>
          </w:tcPr>
          <w:p w14:paraId="68E45014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19E10F05" w14:textId="38E7FB39" w:rsidR="00687890" w:rsidRPr="00DD2F9B" w:rsidRDefault="00743EA6" w:rsidP="00DD2F9B">
            <w:pPr>
              <w:pStyle w:val="Tablefont"/>
            </w:pPr>
            <w:r w:rsidRPr="00743EA6">
              <w:t>Carcinogenicity – category 1B</w:t>
            </w:r>
          </w:p>
        </w:tc>
      </w:tr>
      <w:tr w:rsidR="00E41A26" w:rsidRPr="004C23F4" w14:paraId="11862B75" w14:textId="77777777" w:rsidTr="00812887">
        <w:trPr>
          <w:cantSplit/>
        </w:trPr>
        <w:tc>
          <w:tcPr>
            <w:tcW w:w="3227" w:type="dxa"/>
          </w:tcPr>
          <w:p w14:paraId="1CD6CEC0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7C667B9" w14:textId="14B2C86B" w:rsidR="00E41A26" w:rsidRPr="00DD2F9B" w:rsidRDefault="00743EA6" w:rsidP="00DD2F9B">
            <w:pPr>
              <w:pStyle w:val="Tablefont"/>
            </w:pPr>
            <w:r w:rsidRPr="00743EA6">
              <w:t>Carc. 1B</w:t>
            </w:r>
          </w:p>
        </w:tc>
      </w:tr>
      <w:tr w:rsidR="002E0D61" w:rsidRPr="004C23F4" w14:paraId="0D14D69B" w14:textId="77777777" w:rsidTr="00812887">
        <w:trPr>
          <w:cantSplit/>
        </w:trPr>
        <w:tc>
          <w:tcPr>
            <w:tcW w:w="3227" w:type="dxa"/>
          </w:tcPr>
          <w:p w14:paraId="633DD5BC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563D69E8" w14:textId="5B9652EB" w:rsidR="002E0D61" w:rsidRPr="00DD2F9B" w:rsidRDefault="00743EA6" w:rsidP="00DD2F9B">
            <w:pPr>
              <w:pStyle w:val="Tablefont"/>
            </w:pPr>
            <w:r w:rsidRPr="00743EA6">
              <w:t>Carcinogenicity – A2</w:t>
            </w:r>
          </w:p>
        </w:tc>
      </w:tr>
      <w:tr w:rsidR="002E0D61" w:rsidRPr="004C23F4" w14:paraId="7013B7FF" w14:textId="77777777" w:rsidTr="00812887">
        <w:trPr>
          <w:cantSplit/>
        </w:trPr>
        <w:tc>
          <w:tcPr>
            <w:tcW w:w="3227" w:type="dxa"/>
          </w:tcPr>
          <w:p w14:paraId="7379AC4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1DD42ECA" w14:textId="2D58477E" w:rsidR="002E0D61" w:rsidRPr="00DD2F9B" w:rsidRDefault="00743EA6" w:rsidP="00DD2F9B">
            <w:pPr>
              <w:pStyle w:val="Tablefont"/>
            </w:pPr>
            <w:r w:rsidRPr="00743EA6">
              <w:t>—</w:t>
            </w:r>
          </w:p>
        </w:tc>
      </w:tr>
      <w:tr w:rsidR="002E0D61" w:rsidRPr="004C23F4" w14:paraId="68DDBEA2" w14:textId="77777777" w:rsidTr="00812887">
        <w:trPr>
          <w:cantSplit/>
        </w:trPr>
        <w:tc>
          <w:tcPr>
            <w:tcW w:w="3227" w:type="dxa"/>
          </w:tcPr>
          <w:p w14:paraId="3F86AFD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D13BA45" w14:textId="0D9DFECD" w:rsidR="002E0D61" w:rsidRPr="00DD2F9B" w:rsidRDefault="00743EA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C016E92" w14:textId="77777777" w:rsidTr="00812887">
        <w:trPr>
          <w:cantSplit/>
        </w:trPr>
        <w:tc>
          <w:tcPr>
            <w:tcW w:w="3227" w:type="dxa"/>
          </w:tcPr>
          <w:p w14:paraId="1DE73754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4A424943" w14:textId="6BF880DA" w:rsidR="002E0D61" w:rsidRPr="00DD2F9B" w:rsidRDefault="00743EA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2C687D7" w14:textId="77777777" w:rsidTr="00812887">
        <w:trPr>
          <w:cantSplit/>
        </w:trPr>
        <w:tc>
          <w:tcPr>
            <w:tcW w:w="3227" w:type="dxa"/>
          </w:tcPr>
          <w:p w14:paraId="0DFBD213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0B6E046" w14:textId="61203321" w:rsidR="00386093" w:rsidRPr="00DD2F9B" w:rsidRDefault="00743EA6" w:rsidP="00DD2F9B">
            <w:pPr>
              <w:pStyle w:val="Tablefont"/>
            </w:pPr>
            <w:r w:rsidRPr="00743EA6">
              <w:t>Carcinogenicity – Group 3</w:t>
            </w:r>
          </w:p>
        </w:tc>
      </w:tr>
      <w:tr w:rsidR="00386093" w:rsidRPr="004C23F4" w14:paraId="55696798" w14:textId="77777777" w:rsidTr="00812887">
        <w:trPr>
          <w:cantSplit/>
        </w:trPr>
        <w:tc>
          <w:tcPr>
            <w:tcW w:w="3227" w:type="dxa"/>
          </w:tcPr>
          <w:p w14:paraId="2556159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2878E42" w14:textId="790FFECE" w:rsidR="00386093" w:rsidRPr="00DD2F9B" w:rsidRDefault="00743EA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7B8288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EF7BBF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0FD53D0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0F3461B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2DDE8B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0292C00A" w14:textId="18360238" w:rsidR="00932DCE" w:rsidRPr="004C23F4" w:rsidRDefault="00CE2A1A" w:rsidP="00F9496B">
            <w:pPr>
              <w:pStyle w:val="Tablefont"/>
            </w:pPr>
            <w:r>
              <w:t>Insufficient date available, however there is e</w:t>
            </w:r>
            <w:r w:rsidR="001F111D">
              <w:t>vidence of systemic carcinogenic potential following dermal application in animals</w:t>
            </w:r>
            <w:r>
              <w:t xml:space="preserve">. </w:t>
            </w:r>
          </w:p>
        </w:tc>
      </w:tr>
    </w:tbl>
    <w:bookmarkEnd w:id="3"/>
    <w:p w14:paraId="26362CC2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17214F71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075FE6F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052C7F6E" w14:textId="563716E3" w:rsidR="00EB3D1B" w:rsidRDefault="006F701E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73F16988" w14:textId="77777777" w:rsidR="00687890" w:rsidRPr="004C23F4" w:rsidRDefault="00B479A9" w:rsidP="00255D0F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6794E53E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F6A6B30" w14:textId="77777777" w:rsidR="001B79E5" w:rsidRDefault="001B79E5" w:rsidP="0034134F">
            <w:pPr>
              <w:pStyle w:val="Tablefont"/>
              <w:keepNext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09ECFC2" w14:textId="4AB6C412" w:rsidR="001B79E5" w:rsidRDefault="00743EA6" w:rsidP="0034134F">
                <w:pPr>
                  <w:pStyle w:val="Tablefont"/>
                  <w:keepNext/>
                </w:pPr>
                <w:r w:rsidRPr="00743EA6">
                  <w:t>86.09</w:t>
                </w:r>
              </w:p>
            </w:tc>
          </w:sdtContent>
        </w:sdt>
      </w:tr>
      <w:tr w:rsidR="00A31D99" w:rsidRPr="004C23F4" w14:paraId="7E021F3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62B7C53" w14:textId="77777777" w:rsidR="00A31D99" w:rsidRPr="00263255" w:rsidRDefault="00A31D99" w:rsidP="0034134F">
            <w:pPr>
              <w:pStyle w:val="Tablefont"/>
              <w:keepNext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5D4D6AAC" w14:textId="413A62CF" w:rsidR="00A31D99" w:rsidRDefault="00A0643F" w:rsidP="0034134F">
            <w:pPr>
              <w:pStyle w:val="Tablefont"/>
              <w:keepNext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743EA6">
                  <w:t>1.72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743EA6">
                  <w:t>0.582</w:t>
                </w:r>
              </w:sdtContent>
            </w:sdt>
            <w:r w:rsidRPr="00743EA6">
              <w:t xml:space="preserve"> </w:t>
            </w:r>
            <w:r>
              <w:t>ppm</w:t>
            </w:r>
          </w:p>
        </w:tc>
      </w:tr>
      <w:tr w:rsidR="00687890" w:rsidRPr="004C23F4" w14:paraId="1E3BC6C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75C121" w14:textId="77777777" w:rsidR="00687890" w:rsidRPr="00263255" w:rsidRDefault="00687890" w:rsidP="0034134F">
            <w:pPr>
              <w:pStyle w:val="Tablefont"/>
              <w:keepNext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A7ED199" w14:textId="77777777" w:rsidR="00687890" w:rsidRPr="004C23F4" w:rsidRDefault="00E46BCB" w:rsidP="0034134F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F58E389" w14:textId="77777777" w:rsidTr="00EA6243">
        <w:trPr>
          <w:cantSplit/>
        </w:trPr>
        <w:tc>
          <w:tcPr>
            <w:tcW w:w="4077" w:type="dxa"/>
            <w:vAlign w:val="center"/>
          </w:tcPr>
          <w:p w14:paraId="7645A538" w14:textId="77777777" w:rsidR="00687890" w:rsidRPr="00263255" w:rsidRDefault="00687890" w:rsidP="0034134F">
            <w:pPr>
              <w:pStyle w:val="Tablefont"/>
              <w:keepNext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8E048E2" w14:textId="77777777" w:rsidR="00687890" w:rsidRPr="004C23F4" w:rsidRDefault="00A20751" w:rsidP="0034134F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FD5ACC8" w14:textId="77777777" w:rsidTr="00EA6243">
        <w:trPr>
          <w:cantSplit/>
        </w:trPr>
        <w:tc>
          <w:tcPr>
            <w:tcW w:w="4077" w:type="dxa"/>
            <w:vAlign w:val="center"/>
          </w:tcPr>
          <w:p w14:paraId="101DEC05" w14:textId="77777777" w:rsidR="00687890" w:rsidRPr="00263255" w:rsidRDefault="00687890" w:rsidP="0034134F">
            <w:pPr>
              <w:pStyle w:val="Tablefont"/>
              <w:keepNext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6F428FF" w14:textId="77777777" w:rsidR="00687890" w:rsidRPr="004C23F4" w:rsidRDefault="00687890" w:rsidP="0034134F">
                <w:pPr>
                  <w:pStyle w:val="Tablefont"/>
                  <w:keepNext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6CF6CEF" w14:textId="77777777" w:rsidTr="00EA6243">
        <w:trPr>
          <w:cantSplit/>
        </w:trPr>
        <w:tc>
          <w:tcPr>
            <w:tcW w:w="4077" w:type="dxa"/>
            <w:vAlign w:val="center"/>
          </w:tcPr>
          <w:p w14:paraId="03524EF3" w14:textId="77777777" w:rsidR="00E06F40" w:rsidRPr="00263255" w:rsidRDefault="00E06F40" w:rsidP="0034134F">
            <w:pPr>
              <w:pStyle w:val="Tablefont"/>
              <w:keepNext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7AB6F09" w14:textId="77777777" w:rsidR="00E06F40" w:rsidRPr="00A006A0" w:rsidRDefault="009520A7" w:rsidP="0034134F">
            <w:pPr>
              <w:pStyle w:val="Tablefont"/>
              <w:keepNext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E92F44A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7DBA017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16B2A5E2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5E92914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81F59D9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F9969A5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B76D03C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45C6C1AF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50126F8" w14:textId="73BA7791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5389ECD0" w14:textId="747C83ED" w:rsidR="00743EA6" w:rsidRDefault="000C72D9" w:rsidP="000C72D9">
      <w:r w:rsidRPr="002022B6">
        <w:t>Deutsche Forschungsgemeinschaft (DFG)</w:t>
      </w:r>
      <w:r>
        <w:t xml:space="preserve"> (1999)</w:t>
      </w:r>
      <w:r w:rsidR="00255D0F">
        <w:t xml:space="preserve"> </w:t>
      </w:r>
      <w:r>
        <w:t>Diazomethane – MAK value documentation.</w:t>
      </w:r>
    </w:p>
    <w:p w14:paraId="3E2DC455" w14:textId="1F522A18" w:rsidR="000C72D9" w:rsidRDefault="000C72D9" w:rsidP="000C72D9">
      <w:r>
        <w:t>European Chemicals Agency (ECHA) (2019)</w:t>
      </w:r>
      <w:r w:rsidR="00255D0F">
        <w:t xml:space="preserve"> </w:t>
      </w:r>
      <w:r>
        <w:t>Diazomethane – REACH assessment.</w:t>
      </w:r>
    </w:p>
    <w:p w14:paraId="617129B7" w14:textId="5B914D70" w:rsidR="000C72D9" w:rsidRDefault="000C72D9" w:rsidP="000C72D9">
      <w:r w:rsidRPr="002022B6">
        <w:t>International Agency for Research on Cancer</w:t>
      </w:r>
      <w:r>
        <w:t xml:space="preserve"> (IARC) (1987) </w:t>
      </w:r>
      <w:r w:rsidRPr="000C72D9">
        <w:t>Diazomethane</w:t>
      </w:r>
      <w:r>
        <w:t>. IARC Monographs on the evaluation of the carcinogenic risk to humans.</w:t>
      </w:r>
    </w:p>
    <w:p w14:paraId="7B40C04B" w14:textId="2C6F1036" w:rsidR="00255D0F" w:rsidRDefault="00255D0F" w:rsidP="00255D0F">
      <w:r w:rsidRPr="0035432C"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3BCDAF8D" w14:textId="7942A200" w:rsidR="0034134F" w:rsidRDefault="0034134F" w:rsidP="00255D0F">
      <w:r>
        <w:t>US Environmental Protection Authority (US EPA) (2002) Integrated Risk Information System (IRIS) Chemical Assessment Summary – Diazomethane.</w:t>
      </w:r>
    </w:p>
    <w:p w14:paraId="0D61CD88" w14:textId="5EA597E8" w:rsidR="006F701E" w:rsidRDefault="006F701E" w:rsidP="006F701E">
      <w:r>
        <w:t xml:space="preserve">US National Institute for Occupational Safety and Health (NIOSH) (1994) Immediately dangerous to life or health concentrations – diazomethane compounds. </w:t>
      </w:r>
    </w:p>
    <w:p w14:paraId="0C4DC946" w14:textId="77777777" w:rsidR="006F701E" w:rsidRDefault="006F701E" w:rsidP="00255D0F"/>
    <w:p w14:paraId="7054AB69" w14:textId="77777777" w:rsidR="00255D0F" w:rsidRPr="00351FE0" w:rsidRDefault="00255D0F" w:rsidP="000C72D9"/>
    <w:sectPr w:rsidR="00255D0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E90C1" w14:textId="77777777" w:rsidR="008D0EDE" w:rsidRDefault="008D0EDE" w:rsidP="00F43AD5">
      <w:pPr>
        <w:spacing w:after="0" w:line="240" w:lineRule="auto"/>
      </w:pPr>
      <w:r>
        <w:separator/>
      </w:r>
    </w:p>
  </w:endnote>
  <w:endnote w:type="continuationSeparator" w:id="0">
    <w:p w14:paraId="3EAF8E62" w14:textId="77777777" w:rsidR="008D0EDE" w:rsidRDefault="008D0ED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1DDCCD" w14:textId="77777777" w:rsidR="00536E3D" w:rsidRDefault="00536E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561FB3E" w14:textId="6A5C00A5" w:rsidR="008A36CF" w:rsidRDefault="00AC7D49" w:rsidP="0034744C">
        <w:pPr>
          <w:pStyle w:val="Footer"/>
          <w:rPr>
            <w:sz w:val="18"/>
            <w:szCs w:val="18"/>
          </w:rPr>
        </w:pPr>
        <w:r w:rsidRPr="00AC7D49">
          <w:rPr>
            <w:b/>
            <w:sz w:val="18"/>
            <w:szCs w:val="18"/>
          </w:rPr>
          <w:t>Diazomethane</w:t>
        </w:r>
        <w:r w:rsidR="008A36CF">
          <w:rPr>
            <w:b/>
            <w:sz w:val="18"/>
            <w:szCs w:val="18"/>
          </w:rPr>
          <w:t xml:space="preserve"> (</w:t>
        </w:r>
        <w:r w:rsidRPr="00AC7D49">
          <w:rPr>
            <w:b/>
            <w:sz w:val="18"/>
            <w:szCs w:val="18"/>
          </w:rPr>
          <w:t>334-88-3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7AF053A9" w14:textId="66EC8E37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180CB8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5605" w14:textId="77777777" w:rsidR="00536E3D" w:rsidRDefault="00536E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12128" w14:textId="77777777" w:rsidR="008D0EDE" w:rsidRDefault="008D0EDE" w:rsidP="00F43AD5">
      <w:pPr>
        <w:spacing w:after="0" w:line="240" w:lineRule="auto"/>
      </w:pPr>
      <w:r>
        <w:separator/>
      </w:r>
    </w:p>
  </w:footnote>
  <w:footnote w:type="continuationSeparator" w:id="0">
    <w:p w14:paraId="6EAF1859" w14:textId="77777777" w:rsidR="008D0EDE" w:rsidRDefault="008D0ED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E5CA0" w14:textId="181DB7FD" w:rsidR="00536E3D" w:rsidRDefault="00536E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8AEDE" w14:textId="47281AA2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1E8B6" w14:textId="16355C2C" w:rsidR="00536E3D" w:rsidRDefault="00536E3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A0989B" w14:textId="5B6E3253" w:rsidR="00180CB8" w:rsidRDefault="00180CB8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FB3E0" w14:textId="2D8D739E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79279" w14:textId="68929BC1" w:rsidR="00180CB8" w:rsidRDefault="00180C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CC4950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CF6142"/>
    <w:multiLevelType w:val="hybridMultilevel"/>
    <w:tmpl w:val="C924F3A2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201F7311"/>
    <w:multiLevelType w:val="hybridMultilevel"/>
    <w:tmpl w:val="4D76097A"/>
    <w:lvl w:ilvl="0" w:tplc="0C09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40542589"/>
    <w:multiLevelType w:val="hybridMultilevel"/>
    <w:tmpl w:val="3B58334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01419"/>
    <w:multiLevelType w:val="hybridMultilevel"/>
    <w:tmpl w:val="55D41F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1011709">
    <w:abstractNumId w:val="0"/>
  </w:num>
  <w:num w:numId="2" w16cid:durableId="1938052791">
    <w:abstractNumId w:val="0"/>
  </w:num>
  <w:num w:numId="3" w16cid:durableId="1692023857">
    <w:abstractNumId w:val="0"/>
  </w:num>
  <w:num w:numId="4" w16cid:durableId="666445898">
    <w:abstractNumId w:val="0"/>
  </w:num>
  <w:num w:numId="5" w16cid:durableId="447160609">
    <w:abstractNumId w:val="0"/>
  </w:num>
  <w:num w:numId="6" w16cid:durableId="1306087277">
    <w:abstractNumId w:val="4"/>
  </w:num>
  <w:num w:numId="7" w16cid:durableId="1507019728">
    <w:abstractNumId w:val="0"/>
  </w:num>
  <w:num w:numId="8" w16cid:durableId="1347169819">
    <w:abstractNumId w:val="1"/>
  </w:num>
  <w:num w:numId="9" w16cid:durableId="2046638588">
    <w:abstractNumId w:val="2"/>
  </w:num>
  <w:num w:numId="10" w16cid:durableId="11445481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D1C"/>
    <w:rsid w:val="00056EC2"/>
    <w:rsid w:val="00060B48"/>
    <w:rsid w:val="00067F32"/>
    <w:rsid w:val="00071807"/>
    <w:rsid w:val="000803E1"/>
    <w:rsid w:val="00084513"/>
    <w:rsid w:val="00084859"/>
    <w:rsid w:val="0008656F"/>
    <w:rsid w:val="000919A4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C72D9"/>
    <w:rsid w:val="000D2551"/>
    <w:rsid w:val="000D291C"/>
    <w:rsid w:val="000D3B86"/>
    <w:rsid w:val="000D6827"/>
    <w:rsid w:val="000E5A54"/>
    <w:rsid w:val="000E63D3"/>
    <w:rsid w:val="000E67CF"/>
    <w:rsid w:val="0010461E"/>
    <w:rsid w:val="00106FAA"/>
    <w:rsid w:val="00113443"/>
    <w:rsid w:val="001269A7"/>
    <w:rsid w:val="00131092"/>
    <w:rsid w:val="0013515D"/>
    <w:rsid w:val="00140E6A"/>
    <w:rsid w:val="00146545"/>
    <w:rsid w:val="00146B75"/>
    <w:rsid w:val="0015266D"/>
    <w:rsid w:val="0015288A"/>
    <w:rsid w:val="00160F47"/>
    <w:rsid w:val="00177CA1"/>
    <w:rsid w:val="00180CB8"/>
    <w:rsid w:val="00183823"/>
    <w:rsid w:val="00183942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65F"/>
    <w:rsid w:val="001E7D80"/>
    <w:rsid w:val="001F111D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27F92"/>
    <w:rsid w:val="0023310F"/>
    <w:rsid w:val="00234863"/>
    <w:rsid w:val="00244AD1"/>
    <w:rsid w:val="002463BC"/>
    <w:rsid w:val="002465CE"/>
    <w:rsid w:val="00255D0F"/>
    <w:rsid w:val="0025734A"/>
    <w:rsid w:val="00263255"/>
    <w:rsid w:val="002706C3"/>
    <w:rsid w:val="00273081"/>
    <w:rsid w:val="00276494"/>
    <w:rsid w:val="00277B0C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134F"/>
    <w:rsid w:val="00347192"/>
    <w:rsid w:val="0034744C"/>
    <w:rsid w:val="00351FE0"/>
    <w:rsid w:val="00352615"/>
    <w:rsid w:val="0035412B"/>
    <w:rsid w:val="003567A8"/>
    <w:rsid w:val="00362895"/>
    <w:rsid w:val="00370DBF"/>
    <w:rsid w:val="003840A8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C2B5E"/>
    <w:rsid w:val="003C4317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32123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E76F8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36E3D"/>
    <w:rsid w:val="005446A2"/>
    <w:rsid w:val="00544D2F"/>
    <w:rsid w:val="00551BD8"/>
    <w:rsid w:val="00560115"/>
    <w:rsid w:val="00571F89"/>
    <w:rsid w:val="00581055"/>
    <w:rsid w:val="00591E38"/>
    <w:rsid w:val="005A19C5"/>
    <w:rsid w:val="005A3034"/>
    <w:rsid w:val="005A462D"/>
    <w:rsid w:val="005B253B"/>
    <w:rsid w:val="005B3376"/>
    <w:rsid w:val="005B771D"/>
    <w:rsid w:val="005C4CCD"/>
    <w:rsid w:val="005C5D16"/>
    <w:rsid w:val="005D3193"/>
    <w:rsid w:val="005D4A6E"/>
    <w:rsid w:val="005E6979"/>
    <w:rsid w:val="005E75CB"/>
    <w:rsid w:val="005F6971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133A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6F701E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12E2"/>
    <w:rsid w:val="00742CA3"/>
    <w:rsid w:val="00743EA6"/>
    <w:rsid w:val="00750212"/>
    <w:rsid w:val="00752504"/>
    <w:rsid w:val="00754779"/>
    <w:rsid w:val="0075716D"/>
    <w:rsid w:val="00765F14"/>
    <w:rsid w:val="00770E31"/>
    <w:rsid w:val="007770F1"/>
    <w:rsid w:val="00781F97"/>
    <w:rsid w:val="00783FB1"/>
    <w:rsid w:val="00785CDD"/>
    <w:rsid w:val="00791847"/>
    <w:rsid w:val="007925F0"/>
    <w:rsid w:val="007939B3"/>
    <w:rsid w:val="0079509C"/>
    <w:rsid w:val="00796708"/>
    <w:rsid w:val="007A328C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0FE8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0EDE"/>
    <w:rsid w:val="008D23AB"/>
    <w:rsid w:val="008D4B8B"/>
    <w:rsid w:val="008D5A78"/>
    <w:rsid w:val="008E2145"/>
    <w:rsid w:val="008E7B64"/>
    <w:rsid w:val="008F1F97"/>
    <w:rsid w:val="008F5DCD"/>
    <w:rsid w:val="00900951"/>
    <w:rsid w:val="00901432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0A7"/>
    <w:rsid w:val="0095260E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7A1"/>
    <w:rsid w:val="00A27E2D"/>
    <w:rsid w:val="00A31D99"/>
    <w:rsid w:val="00A357BA"/>
    <w:rsid w:val="00A35ADC"/>
    <w:rsid w:val="00A402A3"/>
    <w:rsid w:val="00A53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C7D49"/>
    <w:rsid w:val="00AC7D4A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57D5"/>
    <w:rsid w:val="00B40C60"/>
    <w:rsid w:val="00B43221"/>
    <w:rsid w:val="00B479A9"/>
    <w:rsid w:val="00B52EDF"/>
    <w:rsid w:val="00B71188"/>
    <w:rsid w:val="00B76A41"/>
    <w:rsid w:val="00B87D4C"/>
    <w:rsid w:val="00B91FB1"/>
    <w:rsid w:val="00B93646"/>
    <w:rsid w:val="00BA0B38"/>
    <w:rsid w:val="00BA1DBB"/>
    <w:rsid w:val="00BA4510"/>
    <w:rsid w:val="00BA529A"/>
    <w:rsid w:val="00BB612A"/>
    <w:rsid w:val="00BD499F"/>
    <w:rsid w:val="00BD56DE"/>
    <w:rsid w:val="00BE25AB"/>
    <w:rsid w:val="00BF2406"/>
    <w:rsid w:val="00C04A7F"/>
    <w:rsid w:val="00C06E43"/>
    <w:rsid w:val="00C157E2"/>
    <w:rsid w:val="00C16315"/>
    <w:rsid w:val="00C3091E"/>
    <w:rsid w:val="00C40FF1"/>
    <w:rsid w:val="00C419E2"/>
    <w:rsid w:val="00C43783"/>
    <w:rsid w:val="00C5020E"/>
    <w:rsid w:val="00C57452"/>
    <w:rsid w:val="00C61EDF"/>
    <w:rsid w:val="00C6239D"/>
    <w:rsid w:val="00C64060"/>
    <w:rsid w:val="00C6594B"/>
    <w:rsid w:val="00C67FFB"/>
    <w:rsid w:val="00C7155E"/>
    <w:rsid w:val="00C71D1E"/>
    <w:rsid w:val="00C71D7D"/>
    <w:rsid w:val="00C72C39"/>
    <w:rsid w:val="00C74833"/>
    <w:rsid w:val="00C77AA0"/>
    <w:rsid w:val="00C850A0"/>
    <w:rsid w:val="00C85A86"/>
    <w:rsid w:val="00C85FDE"/>
    <w:rsid w:val="00C96795"/>
    <w:rsid w:val="00C978F0"/>
    <w:rsid w:val="00CA58FE"/>
    <w:rsid w:val="00CA7DD3"/>
    <w:rsid w:val="00CB1CB1"/>
    <w:rsid w:val="00CB6BC1"/>
    <w:rsid w:val="00CB6CB8"/>
    <w:rsid w:val="00CC1A68"/>
    <w:rsid w:val="00CC2123"/>
    <w:rsid w:val="00CD1A38"/>
    <w:rsid w:val="00CD2BFD"/>
    <w:rsid w:val="00CE2A1A"/>
    <w:rsid w:val="00CE5AD6"/>
    <w:rsid w:val="00CE617F"/>
    <w:rsid w:val="00CE78EF"/>
    <w:rsid w:val="00CE7F4C"/>
    <w:rsid w:val="00D048F7"/>
    <w:rsid w:val="00D0517E"/>
    <w:rsid w:val="00D140FC"/>
    <w:rsid w:val="00D21D8C"/>
    <w:rsid w:val="00D31357"/>
    <w:rsid w:val="00D33220"/>
    <w:rsid w:val="00D334D1"/>
    <w:rsid w:val="00D44C89"/>
    <w:rsid w:val="00D466CB"/>
    <w:rsid w:val="00D516CD"/>
    <w:rsid w:val="00D52B33"/>
    <w:rsid w:val="00D668E6"/>
    <w:rsid w:val="00D70670"/>
    <w:rsid w:val="00D72426"/>
    <w:rsid w:val="00D74D80"/>
    <w:rsid w:val="00D76624"/>
    <w:rsid w:val="00D85633"/>
    <w:rsid w:val="00D87570"/>
    <w:rsid w:val="00D91CB9"/>
    <w:rsid w:val="00D97989"/>
    <w:rsid w:val="00D97D8D"/>
    <w:rsid w:val="00DA352E"/>
    <w:rsid w:val="00DA3D04"/>
    <w:rsid w:val="00DA679A"/>
    <w:rsid w:val="00DC027B"/>
    <w:rsid w:val="00DC7694"/>
    <w:rsid w:val="00DD1BF6"/>
    <w:rsid w:val="00DD2F9B"/>
    <w:rsid w:val="00DE2513"/>
    <w:rsid w:val="00DE26E8"/>
    <w:rsid w:val="00DE70E0"/>
    <w:rsid w:val="00DF6F36"/>
    <w:rsid w:val="00E0084C"/>
    <w:rsid w:val="00E025AB"/>
    <w:rsid w:val="00E02B23"/>
    <w:rsid w:val="00E06F40"/>
    <w:rsid w:val="00E07CE8"/>
    <w:rsid w:val="00E171F3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72BAC"/>
    <w:rsid w:val="00E804EA"/>
    <w:rsid w:val="00E80A71"/>
    <w:rsid w:val="00E82337"/>
    <w:rsid w:val="00E90A7C"/>
    <w:rsid w:val="00E92499"/>
    <w:rsid w:val="00E949AF"/>
    <w:rsid w:val="00E96077"/>
    <w:rsid w:val="00EA0A06"/>
    <w:rsid w:val="00EA6243"/>
    <w:rsid w:val="00EA74AB"/>
    <w:rsid w:val="00EB3D1B"/>
    <w:rsid w:val="00EB4FD8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3689"/>
    <w:rsid w:val="00F87D92"/>
    <w:rsid w:val="00F90AA7"/>
    <w:rsid w:val="00F90CDD"/>
    <w:rsid w:val="00F92498"/>
    <w:rsid w:val="00F9496B"/>
    <w:rsid w:val="00F970C9"/>
    <w:rsid w:val="00FA0698"/>
    <w:rsid w:val="00FA06A8"/>
    <w:rsid w:val="00FA3DF5"/>
    <w:rsid w:val="00FA741F"/>
    <w:rsid w:val="00FB2579"/>
    <w:rsid w:val="00FB4E07"/>
    <w:rsid w:val="00FB755A"/>
    <w:rsid w:val="00FC60A2"/>
    <w:rsid w:val="00FD1871"/>
    <w:rsid w:val="00FD3110"/>
    <w:rsid w:val="00FE28A8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E7F4C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5D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5D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5D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5D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5D0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77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735E8A047AA441495750665B28DB0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E52F2B-5D38-43EA-AE18-F275700632EA}"/>
      </w:docPartPr>
      <w:docPartBody>
        <w:p w:rsidR="00631FF2" w:rsidRDefault="007F0E74" w:rsidP="007F0E74">
          <w:pPr>
            <w:pStyle w:val="7735E8A047AA441495750665B28DB0F1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46F2E001F5234705AADA2770FD8E5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040EA6-B025-4771-8307-F414C56FC725}"/>
      </w:docPartPr>
      <w:docPartBody>
        <w:p w:rsidR="00631FF2" w:rsidRDefault="007F0E74" w:rsidP="007F0E74">
          <w:pPr>
            <w:pStyle w:val="46F2E001F5234705AADA2770FD8E5D89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352142F8DFB459CB5A7B88C9028D3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8BDCAC-447D-4EE9-99D7-A3C87DE594BD}"/>
      </w:docPartPr>
      <w:docPartBody>
        <w:p w:rsidR="00EE5AEE" w:rsidRDefault="00631FF2" w:rsidP="00631FF2">
          <w:pPr>
            <w:pStyle w:val="F352142F8DFB459CB5A7B88C9028D34D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AD0522BA098148BC8A35F2D9A379C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48664E-933D-4531-A681-524CED85C14E}"/>
      </w:docPartPr>
      <w:docPartBody>
        <w:p w:rsidR="00304132" w:rsidRDefault="007149D5" w:rsidP="007149D5">
          <w:pPr>
            <w:pStyle w:val="AD0522BA098148BC8A35F2D9A379C92C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828F6AD21B0B4C768F0B87AB7CF583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6E820A-98D2-4CA4-8AB3-D1ABFC61F834}"/>
      </w:docPartPr>
      <w:docPartBody>
        <w:p w:rsidR="001A524D" w:rsidRDefault="00025B10" w:rsidP="00025B10">
          <w:pPr>
            <w:pStyle w:val="828F6AD21B0B4C768F0B87AB7CF583FA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25B10"/>
    <w:rsid w:val="001A524D"/>
    <w:rsid w:val="00304132"/>
    <w:rsid w:val="00560115"/>
    <w:rsid w:val="00631FF2"/>
    <w:rsid w:val="007149D5"/>
    <w:rsid w:val="007F0E74"/>
    <w:rsid w:val="00D21A9F"/>
    <w:rsid w:val="00E06608"/>
    <w:rsid w:val="00EE5AEE"/>
    <w:rsid w:val="00F5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5B10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735E8A047AA441495750665B28DB0F1">
    <w:name w:val="7735E8A047AA441495750665B28DB0F1"/>
    <w:rsid w:val="007F0E74"/>
  </w:style>
  <w:style w:type="paragraph" w:customStyle="1" w:styleId="46F2E001F5234705AADA2770FD8E5D89">
    <w:name w:val="46F2E001F5234705AADA2770FD8E5D89"/>
    <w:rsid w:val="007F0E74"/>
  </w:style>
  <w:style w:type="paragraph" w:customStyle="1" w:styleId="F352142F8DFB459CB5A7B88C9028D34D">
    <w:name w:val="F352142F8DFB459CB5A7B88C9028D34D"/>
    <w:rsid w:val="00631FF2"/>
  </w:style>
  <w:style w:type="paragraph" w:customStyle="1" w:styleId="AD0522BA098148BC8A35F2D9A379C92C">
    <w:name w:val="AD0522BA098148BC8A35F2D9A379C92C"/>
    <w:rsid w:val="007149D5"/>
  </w:style>
  <w:style w:type="paragraph" w:customStyle="1" w:styleId="828F6AD21B0B4C768F0B87AB7CF583FA">
    <w:name w:val="828F6AD21B0B4C768F0B87AB7CF583FA"/>
    <w:rsid w:val="00025B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CD6377E-6F2C-4E18-9865-90EEC576B0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2214DB-C399-46F2-BBA2-8792D6F1CB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D616AE-142B-4A5D-A5C1-81F05D7ACC43}"/>
</file>

<file path=customXml/itemProps4.xml><?xml version="1.0" encoding="utf-8"?>
<ds:datastoreItem xmlns:ds="http://schemas.openxmlformats.org/officeDocument/2006/customXml" ds:itemID="{03BB3974-9E2E-43BD-AE38-7A955069F51F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2019-10-10T03:02:00Z</dcterms:created>
  <dcterms:modified xsi:type="dcterms:W3CDTF">2025-12-22T03:48:00Z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2025-12-22T03:48:24Z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1519b505-b264-47ad-a990-36844c4d78f9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