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22FB8CCD" w14:textId="29D56801" w:rsidR="00BD499F" w:rsidRPr="004C23F4" w:rsidRDefault="00745A15" w:rsidP="00B40C60">
          <w:pPr>
            <w:pStyle w:val="Heading1"/>
            <w:jc w:val="center"/>
            <w:rPr>
              <w:rFonts w:ascii="Arial" w:hAnsi="Arial" w:cs="Arial"/>
            </w:rPr>
          </w:pPr>
          <w:r w:rsidRPr="00745A15">
            <w:rPr>
              <w:rFonts w:ascii="Arial" w:hAnsi="Arial" w:cs="Arial"/>
            </w:rPr>
            <w:t>2,2-Dichloropropionic acid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0"/>
        <w:gridCol w:w="5046"/>
      </w:tblGrid>
      <w:tr w:rsidR="00F43AD5" w:rsidRPr="004C23F4" w14:paraId="5FB8719C" w14:textId="77777777" w:rsidTr="00DB013F">
        <w:trPr>
          <w:cantSplit/>
          <w:tblHeader/>
        </w:trPr>
        <w:tc>
          <w:tcPr>
            <w:tcW w:w="3980" w:type="dxa"/>
          </w:tcPr>
          <w:p w14:paraId="2755586F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6" w:type="dxa"/>
          </w:tcPr>
          <w:p w14:paraId="102E6A80" w14:textId="1E0FB841" w:rsidR="00F43AD5" w:rsidRPr="00717D45" w:rsidRDefault="00745A15" w:rsidP="00B76A41">
            <w:pPr>
              <w:pStyle w:val="Tablefont"/>
            </w:pPr>
            <w:r w:rsidRPr="00745A15">
              <w:t>75-99-0</w:t>
            </w:r>
          </w:p>
        </w:tc>
      </w:tr>
      <w:tr w:rsidR="00F43AD5" w:rsidRPr="004C23F4" w14:paraId="3A318463" w14:textId="77777777" w:rsidTr="00DB013F">
        <w:trPr>
          <w:cantSplit/>
        </w:trPr>
        <w:tc>
          <w:tcPr>
            <w:tcW w:w="3980" w:type="dxa"/>
          </w:tcPr>
          <w:p w14:paraId="41EB67F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6" w:type="dxa"/>
          </w:tcPr>
          <w:p w14:paraId="7EFFE643" w14:textId="2ECE71E9" w:rsidR="00F43AD5" w:rsidRPr="00717D45" w:rsidRDefault="00745A15" w:rsidP="00EF0D45">
            <w:pPr>
              <w:pStyle w:val="Tablefont"/>
            </w:pPr>
            <w:proofErr w:type="spellStart"/>
            <w:r w:rsidRPr="00745A15">
              <w:t>Dalapon</w:t>
            </w:r>
            <w:proofErr w:type="spellEnd"/>
            <w:r w:rsidR="009708A9">
              <w:t xml:space="preserve">, </w:t>
            </w:r>
            <w:proofErr w:type="spellStart"/>
            <w:r w:rsidR="00461673">
              <w:t>d</w:t>
            </w:r>
            <w:r w:rsidR="009708A9">
              <w:t>alzpon</w:t>
            </w:r>
            <w:proofErr w:type="spellEnd"/>
            <w:r w:rsidR="009708A9">
              <w:t xml:space="preserve">, </w:t>
            </w:r>
            <w:r w:rsidR="009708A9">
              <w:rPr>
                <w:rFonts w:cs="Arial"/>
              </w:rPr>
              <w:t>α</w:t>
            </w:r>
            <w:r w:rsidR="009708A9">
              <w:t>,</w:t>
            </w:r>
            <w:r w:rsidR="009708A9">
              <w:rPr>
                <w:rFonts w:cs="Arial"/>
              </w:rPr>
              <w:t>α</w:t>
            </w:r>
            <w:r w:rsidR="009708A9">
              <w:t>-</w:t>
            </w:r>
            <w:proofErr w:type="spellStart"/>
            <w:r w:rsidR="00461673">
              <w:t>d</w:t>
            </w:r>
            <w:r w:rsidR="009708A9">
              <w:t>ichloropropionic</w:t>
            </w:r>
            <w:proofErr w:type="spellEnd"/>
            <w:r w:rsidR="009708A9">
              <w:t xml:space="preserve"> acid, </w:t>
            </w:r>
            <w:proofErr w:type="spellStart"/>
            <w:r w:rsidR="00461673">
              <w:t>r</w:t>
            </w:r>
            <w:r w:rsidR="009708A9">
              <w:t>adapon</w:t>
            </w:r>
            <w:proofErr w:type="spellEnd"/>
            <w:r w:rsidR="009708A9">
              <w:t xml:space="preserve"> </w:t>
            </w:r>
          </w:p>
        </w:tc>
      </w:tr>
      <w:tr w:rsidR="00F43AD5" w:rsidRPr="004C23F4" w14:paraId="5C3F5B8D" w14:textId="77777777" w:rsidTr="00DB013F">
        <w:trPr>
          <w:cantSplit/>
        </w:trPr>
        <w:tc>
          <w:tcPr>
            <w:tcW w:w="3980" w:type="dxa"/>
          </w:tcPr>
          <w:p w14:paraId="18B0A11C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6" w:type="dxa"/>
          </w:tcPr>
          <w:p w14:paraId="4B216C2A" w14:textId="07E1D509" w:rsidR="00F43AD5" w:rsidRPr="00717D45" w:rsidRDefault="009708A9" w:rsidP="00B76A41">
            <w:pPr>
              <w:pStyle w:val="Tablefont"/>
            </w:pPr>
            <w:r>
              <w:t>C</w:t>
            </w:r>
            <w:r w:rsidRPr="009708A9">
              <w:rPr>
                <w:vertAlign w:val="subscript"/>
              </w:rPr>
              <w:t>3</w:t>
            </w:r>
            <w:r>
              <w:t>H</w:t>
            </w:r>
            <w:r w:rsidRPr="009708A9">
              <w:rPr>
                <w:vertAlign w:val="subscript"/>
              </w:rPr>
              <w:t>4</w:t>
            </w:r>
            <w:r>
              <w:t>Cl</w:t>
            </w:r>
            <w:r w:rsidRPr="009708A9">
              <w:rPr>
                <w:vertAlign w:val="subscript"/>
              </w:rPr>
              <w:t>2</w:t>
            </w:r>
            <w:r>
              <w:t>O</w:t>
            </w:r>
            <w:r w:rsidRPr="009708A9">
              <w:rPr>
                <w:vertAlign w:val="subscript"/>
              </w:rPr>
              <w:t>2</w:t>
            </w:r>
          </w:p>
        </w:tc>
      </w:tr>
    </w:tbl>
    <w:p w14:paraId="0D4561CE" w14:textId="54A0E14A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A77208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5511DF25" w14:textId="77777777" w:rsidTr="002C0CB6">
        <w:trPr>
          <w:cantSplit/>
          <w:tblHeader/>
        </w:trPr>
        <w:tc>
          <w:tcPr>
            <w:tcW w:w="3997" w:type="dxa"/>
            <w:vAlign w:val="center"/>
          </w:tcPr>
          <w:p w14:paraId="39C5DE13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76E54841" w14:textId="0EF3A411" w:rsidR="002C7AFE" w:rsidRPr="00EB3D1B" w:rsidRDefault="009708A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 ppm (5.8 mg/m</w:t>
            </w:r>
            <w:r w:rsidRPr="009708A9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6959F26A" w14:textId="77777777" w:rsidTr="002C0CB6">
        <w:trPr>
          <w:cantSplit/>
        </w:trPr>
        <w:tc>
          <w:tcPr>
            <w:tcW w:w="3997" w:type="dxa"/>
            <w:vAlign w:val="center"/>
          </w:tcPr>
          <w:p w14:paraId="29AA8042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0D073A72" w14:textId="47B9FDBD" w:rsidR="002C7AFE" w:rsidRPr="00461673" w:rsidRDefault="009708A9" w:rsidP="00017C82">
            <w:pPr>
              <w:pStyle w:val="Tablefont"/>
              <w:rPr>
                <w:b/>
              </w:rPr>
            </w:pPr>
            <w:r w:rsidRPr="007876E2">
              <w:rPr>
                <w:b/>
              </w:rPr>
              <w:t>—</w:t>
            </w:r>
          </w:p>
        </w:tc>
      </w:tr>
      <w:tr w:rsidR="002C7AFE" w:rsidRPr="004C23F4" w14:paraId="3D7701B9" w14:textId="77777777" w:rsidTr="002C0CB6">
        <w:trPr>
          <w:cantSplit/>
        </w:trPr>
        <w:tc>
          <w:tcPr>
            <w:tcW w:w="3997" w:type="dxa"/>
            <w:vAlign w:val="center"/>
          </w:tcPr>
          <w:p w14:paraId="3AB5C5E4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6A759F8E" w14:textId="3BE0971D" w:rsidR="002C7AFE" w:rsidRPr="00461673" w:rsidRDefault="009708A9" w:rsidP="00017C82">
            <w:pPr>
              <w:pStyle w:val="Tablefont"/>
              <w:rPr>
                <w:b/>
              </w:rPr>
            </w:pPr>
            <w:r w:rsidRPr="007876E2">
              <w:rPr>
                <w:b/>
              </w:rPr>
              <w:t>—</w:t>
            </w:r>
          </w:p>
        </w:tc>
      </w:tr>
      <w:tr w:rsidR="002C7AFE" w:rsidRPr="004C23F4" w14:paraId="575A5902" w14:textId="77777777" w:rsidTr="002C0CB6">
        <w:trPr>
          <w:cantSplit/>
        </w:trPr>
        <w:tc>
          <w:tcPr>
            <w:tcW w:w="3997" w:type="dxa"/>
          </w:tcPr>
          <w:p w14:paraId="1989E8B5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5AB11AB4" w14:textId="71F42227" w:rsidR="002C7AFE" w:rsidRPr="00461673" w:rsidRDefault="00BD4DCC" w:rsidP="008A36CF">
            <w:pPr>
              <w:pStyle w:val="Tablefont"/>
              <w:rPr>
                <w:b/>
              </w:rPr>
            </w:pPr>
            <w:r>
              <w:rPr>
                <w:b/>
              </w:rPr>
              <w:t>Sk.</w:t>
            </w:r>
          </w:p>
        </w:tc>
      </w:tr>
      <w:tr w:rsidR="002C7AFE" w:rsidRPr="004C23F4" w14:paraId="4B5A6348" w14:textId="77777777" w:rsidTr="002C0CB6">
        <w:trPr>
          <w:cantSplit/>
        </w:trPr>
        <w:tc>
          <w:tcPr>
            <w:tcW w:w="3997" w:type="dxa"/>
            <w:vAlign w:val="center"/>
          </w:tcPr>
          <w:p w14:paraId="401597F7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1773AA56" w14:textId="3CC2DD1C" w:rsidR="002C7AFE" w:rsidRPr="00461673" w:rsidRDefault="009708A9" w:rsidP="00017C82">
            <w:pPr>
              <w:pStyle w:val="Tablefont"/>
              <w:rPr>
                <w:b/>
              </w:rPr>
            </w:pPr>
            <w:r w:rsidRPr="007876E2">
              <w:rPr>
                <w:b/>
              </w:rPr>
              <w:t>—</w:t>
            </w:r>
          </w:p>
        </w:tc>
      </w:tr>
      <w:tr w:rsidR="002C0CB6" w:rsidRPr="004C23F4" w14:paraId="74F0E3C8" w14:textId="77777777" w:rsidTr="001442F9">
        <w:trPr>
          <w:cantSplit/>
          <w:trHeight w:val="80"/>
        </w:trPr>
        <w:tc>
          <w:tcPr>
            <w:tcW w:w="9026" w:type="dxa"/>
            <w:gridSpan w:val="2"/>
          </w:tcPr>
          <w:p w14:paraId="39545FED" w14:textId="0F36C14D" w:rsidR="002C0CB6" w:rsidRPr="002C0CB6" w:rsidRDefault="002C0CB6" w:rsidP="00017C82">
            <w:pPr>
              <w:pStyle w:val="Tablefont"/>
            </w:pPr>
            <w:r w:rsidRPr="001442F9">
              <w:rPr>
                <w:b/>
              </w:rPr>
              <w:t>Sampling and analysis:</w:t>
            </w:r>
            <w:r w:rsidRPr="001442F9">
              <w:rPr>
                <w:rStyle w:val="WESstatus"/>
                <w:b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12CB0415AECF4B8FBFC578FCE471B1EC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1442F9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  <w:r w:rsidDel="002C0CB6">
              <w:t xml:space="preserve"> </w:t>
            </w:r>
          </w:p>
        </w:tc>
      </w:tr>
    </w:tbl>
    <w:p w14:paraId="585F63F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FE510FA" w14:textId="2EA1956C" w:rsidR="002B6218" w:rsidRDefault="008A3032" w:rsidP="00DB013F">
      <w:r>
        <w:t xml:space="preserve">A TWA of </w:t>
      </w:r>
      <w:r w:rsidR="00A77208" w:rsidRPr="00A77208">
        <w:t>1 ppm (5.8 mg/m</w:t>
      </w:r>
      <w:r w:rsidR="00A77208" w:rsidRPr="00A77208">
        <w:rPr>
          <w:vertAlign w:val="superscript"/>
        </w:rPr>
        <w:t>3</w:t>
      </w:r>
      <w:r w:rsidR="00A77208" w:rsidRPr="00A77208">
        <w:t xml:space="preserve">) </w:t>
      </w:r>
      <w:r>
        <w:t xml:space="preserve">is </w:t>
      </w:r>
      <w:r w:rsidR="005E4CA6" w:rsidRPr="005E4CA6">
        <w:t>retained to protect for</w:t>
      </w:r>
      <w:r w:rsidR="002205CD">
        <w:t xml:space="preserve"> </w:t>
      </w:r>
      <w:r w:rsidR="00416A2C">
        <w:t>irritation of the skin and eyes</w:t>
      </w:r>
      <w:r w:rsidR="005E4CA6" w:rsidRPr="005E4CA6">
        <w:t xml:space="preserve"> in exposed workers</w:t>
      </w:r>
      <w:r w:rsidR="00461673">
        <w:t>.</w:t>
      </w:r>
    </w:p>
    <w:p w14:paraId="288EF459" w14:textId="215D4027" w:rsidR="00DB013F" w:rsidRPr="002B6218" w:rsidRDefault="00DB013F" w:rsidP="00DB013F">
      <w:r w:rsidRPr="00DB013F">
        <w:t>Given the limited data available from the primary sources, it is recommended that a review of additional sources be conducted at the next scheduled review.</w:t>
      </w:r>
    </w:p>
    <w:p w14:paraId="71C107FD" w14:textId="53C6F27B" w:rsidR="00C7155E" w:rsidRPr="004C23F4" w:rsidRDefault="00F10C97" w:rsidP="003365A5">
      <w:pPr>
        <w:pStyle w:val="Heading2"/>
      </w:pPr>
      <w:r>
        <w:t>Discussion and conclusions</w:t>
      </w:r>
    </w:p>
    <w:p w14:paraId="4721A043" w14:textId="44DE2FA6" w:rsidR="00F6633E" w:rsidRDefault="00D45DA5" w:rsidP="005E4CA6">
      <w:pPr>
        <w:pStyle w:val="BodyText"/>
        <w:rPr>
          <w:bCs/>
          <w:iCs/>
        </w:rPr>
      </w:pPr>
      <w:r>
        <w:t>2,2-</w:t>
      </w:r>
      <w:r w:rsidR="00D64ECE" w:rsidRPr="005E4CA6">
        <w:t>Dichloropropionic acid is used commercially as</w:t>
      </w:r>
      <w:r w:rsidR="00E26486" w:rsidRPr="005E4CA6">
        <w:t xml:space="preserve"> </w:t>
      </w:r>
      <w:r w:rsidR="0094626D" w:rsidRPr="005E4CA6">
        <w:t>an herbicide</w:t>
      </w:r>
      <w:r w:rsidR="005E4CA6" w:rsidRPr="005E4CA6">
        <w:rPr>
          <w:bCs/>
          <w:iCs/>
        </w:rPr>
        <w:t xml:space="preserve"> called </w:t>
      </w:r>
      <w:proofErr w:type="spellStart"/>
      <w:r w:rsidR="005E4CA6" w:rsidRPr="005E4CA6">
        <w:rPr>
          <w:bCs/>
          <w:iCs/>
        </w:rPr>
        <w:t>Dalapon</w:t>
      </w:r>
      <w:proofErr w:type="spellEnd"/>
      <w:r w:rsidR="0094626D" w:rsidRPr="005E4CA6">
        <w:t xml:space="preserve"> </w:t>
      </w:r>
      <w:r w:rsidR="005E4CA6" w:rsidRPr="005E4CA6">
        <w:rPr>
          <w:bCs/>
          <w:iCs/>
        </w:rPr>
        <w:t>which is</w:t>
      </w:r>
      <w:r>
        <w:t xml:space="preserve"> 2,2</w:t>
      </w:r>
      <w:r w:rsidR="00BF5F3B">
        <w:noBreakHyphen/>
      </w:r>
      <w:r w:rsidR="0094626D" w:rsidRPr="005E4CA6">
        <w:t>Dichloropropionic acid with either sodium or magnesium salts</w:t>
      </w:r>
      <w:r w:rsidR="005E4CA6" w:rsidRPr="005E4CA6">
        <w:rPr>
          <w:bCs/>
          <w:iCs/>
        </w:rPr>
        <w:t xml:space="preserve"> attached</w:t>
      </w:r>
      <w:r w:rsidR="0094626D" w:rsidRPr="005E4CA6">
        <w:t>.</w:t>
      </w:r>
      <w:r w:rsidR="005E4CA6" w:rsidRPr="005E4CA6">
        <w:rPr>
          <w:bCs/>
          <w:iCs/>
        </w:rPr>
        <w:t xml:space="preserve"> </w:t>
      </w:r>
    </w:p>
    <w:p w14:paraId="02680228" w14:textId="605BAF21" w:rsidR="002B6218" w:rsidRDefault="005E4CA6" w:rsidP="005E4CA6">
      <w:pPr>
        <w:pStyle w:val="BodyText"/>
        <w:rPr>
          <w:bCs/>
          <w:iCs/>
        </w:rPr>
      </w:pPr>
      <w:r w:rsidRPr="005E4CA6">
        <w:t>Limited information in humans and animals is available</w:t>
      </w:r>
      <w:r w:rsidRPr="005E4CA6">
        <w:rPr>
          <w:bCs/>
          <w:iCs/>
        </w:rPr>
        <w:t xml:space="preserve">. Contact dermatitis </w:t>
      </w:r>
      <w:r w:rsidR="00F6633E">
        <w:rPr>
          <w:bCs/>
          <w:iCs/>
        </w:rPr>
        <w:t>is reported</w:t>
      </w:r>
      <w:r w:rsidRPr="005E4CA6">
        <w:rPr>
          <w:bCs/>
          <w:iCs/>
        </w:rPr>
        <w:t xml:space="preserve"> in a worker exposed </w:t>
      </w:r>
      <w:r w:rsidR="00F6633E">
        <w:rPr>
          <w:bCs/>
          <w:iCs/>
        </w:rPr>
        <w:t xml:space="preserve">to a </w:t>
      </w:r>
      <w:r w:rsidRPr="005E4CA6">
        <w:t>sodium 2, 2-dichloropropionate</w:t>
      </w:r>
      <w:r w:rsidR="00D45DA5">
        <w:t xml:space="preserve"> </w:t>
      </w:r>
      <w:r w:rsidRPr="005E4CA6">
        <w:t>containing herbicide</w:t>
      </w:r>
      <w:r w:rsidR="00416A2C">
        <w:rPr>
          <w:bCs/>
          <w:iCs/>
        </w:rPr>
        <w:t xml:space="preserve"> (</w:t>
      </w:r>
      <w:proofErr w:type="spellStart"/>
      <w:r w:rsidR="00416A2C">
        <w:rPr>
          <w:bCs/>
          <w:iCs/>
        </w:rPr>
        <w:t>Dalap</w:t>
      </w:r>
      <w:r w:rsidRPr="005E4CA6">
        <w:rPr>
          <w:bCs/>
          <w:iCs/>
        </w:rPr>
        <w:t>on</w:t>
      </w:r>
      <w:proofErr w:type="spellEnd"/>
      <w:r w:rsidRPr="005E4CA6">
        <w:rPr>
          <w:bCs/>
          <w:iCs/>
        </w:rPr>
        <w:t>) after four days of initial application</w:t>
      </w:r>
      <w:r w:rsidR="002205CD">
        <w:rPr>
          <w:bCs/>
          <w:iCs/>
        </w:rPr>
        <w:t xml:space="preserve"> (DFG, 2004)</w:t>
      </w:r>
      <w:r w:rsidRPr="005E4CA6">
        <w:rPr>
          <w:bCs/>
          <w:iCs/>
        </w:rPr>
        <w:t>.</w:t>
      </w:r>
      <w:r w:rsidR="002205CD">
        <w:rPr>
          <w:bCs/>
          <w:iCs/>
        </w:rPr>
        <w:t xml:space="preserve"> </w:t>
      </w:r>
      <w:r w:rsidR="00416A2C">
        <w:rPr>
          <w:bCs/>
          <w:iCs/>
        </w:rPr>
        <w:t xml:space="preserve">In animals, kidney and liver effects are reported only at high </w:t>
      </w:r>
      <w:r w:rsidR="00BF5F3B">
        <w:rPr>
          <w:bCs/>
          <w:iCs/>
        </w:rPr>
        <w:t>con</w:t>
      </w:r>
      <w:r w:rsidR="00416A2C">
        <w:rPr>
          <w:bCs/>
          <w:iCs/>
        </w:rPr>
        <w:t>centrations in feeding studies (ACGIH, 2018).</w:t>
      </w:r>
      <w:r w:rsidR="00DB013F">
        <w:rPr>
          <w:bCs/>
          <w:iCs/>
        </w:rPr>
        <w:t xml:space="preserve"> </w:t>
      </w:r>
      <w:r w:rsidR="002205CD">
        <w:rPr>
          <w:bCs/>
          <w:iCs/>
        </w:rPr>
        <w:t>A NOEL of 15 mg/kg</w:t>
      </w:r>
      <w:r w:rsidR="00F6633E">
        <w:rPr>
          <w:bCs/>
          <w:iCs/>
        </w:rPr>
        <w:t>/</w:t>
      </w:r>
      <w:r w:rsidR="002205CD">
        <w:rPr>
          <w:bCs/>
          <w:iCs/>
        </w:rPr>
        <w:t xml:space="preserve">day </w:t>
      </w:r>
      <w:r w:rsidR="00F6633E">
        <w:rPr>
          <w:bCs/>
          <w:iCs/>
        </w:rPr>
        <w:t>is reported</w:t>
      </w:r>
      <w:r w:rsidR="002205CD">
        <w:rPr>
          <w:bCs/>
          <w:iCs/>
        </w:rPr>
        <w:t xml:space="preserve"> in a </w:t>
      </w:r>
      <w:proofErr w:type="gramStart"/>
      <w:r w:rsidR="00CD3ED2">
        <w:rPr>
          <w:bCs/>
          <w:iCs/>
        </w:rPr>
        <w:t xml:space="preserve">two </w:t>
      </w:r>
      <w:r w:rsidR="002205CD">
        <w:rPr>
          <w:bCs/>
          <w:iCs/>
        </w:rPr>
        <w:t>year</w:t>
      </w:r>
      <w:proofErr w:type="gramEnd"/>
      <w:r w:rsidR="002205CD">
        <w:rPr>
          <w:bCs/>
          <w:iCs/>
        </w:rPr>
        <w:t xml:space="preserve"> feeding study </w:t>
      </w:r>
      <w:r w:rsidR="00F6633E">
        <w:rPr>
          <w:bCs/>
          <w:iCs/>
        </w:rPr>
        <w:t>in</w:t>
      </w:r>
      <w:r w:rsidR="002205CD">
        <w:rPr>
          <w:bCs/>
          <w:iCs/>
        </w:rPr>
        <w:t xml:space="preserve"> rats. With application of an uncertainty factor of </w:t>
      </w:r>
      <w:r w:rsidR="00CD3ED2">
        <w:rPr>
          <w:bCs/>
          <w:iCs/>
        </w:rPr>
        <w:t>ten</w:t>
      </w:r>
      <w:r w:rsidR="002205CD">
        <w:rPr>
          <w:bCs/>
          <w:iCs/>
        </w:rPr>
        <w:t xml:space="preserve"> and assuming generic exposure factors, this dose corresponds to an inhalation concentration</w:t>
      </w:r>
      <w:r w:rsidR="00F6633E">
        <w:rPr>
          <w:bCs/>
          <w:iCs/>
        </w:rPr>
        <w:t xml:space="preserve"> in humans</w:t>
      </w:r>
      <w:r w:rsidR="002205CD">
        <w:rPr>
          <w:bCs/>
          <w:iCs/>
        </w:rPr>
        <w:t xml:space="preserve"> of 10 mg/m</w:t>
      </w:r>
      <w:r w:rsidR="002205CD">
        <w:rPr>
          <w:bCs/>
          <w:iCs/>
          <w:vertAlign w:val="superscript"/>
        </w:rPr>
        <w:t>3</w:t>
      </w:r>
      <w:r w:rsidR="002205CD">
        <w:rPr>
          <w:bCs/>
          <w:iCs/>
        </w:rPr>
        <w:t xml:space="preserve"> (ACGIH, 2018)</w:t>
      </w:r>
      <w:r w:rsidR="00416A2C">
        <w:rPr>
          <w:bCs/>
          <w:iCs/>
        </w:rPr>
        <w:t xml:space="preserve"> and is</w:t>
      </w:r>
      <w:r w:rsidR="002205CD">
        <w:rPr>
          <w:bCs/>
          <w:iCs/>
        </w:rPr>
        <w:t xml:space="preserve"> considered protective for irritation of the</w:t>
      </w:r>
      <w:r w:rsidR="00D17D2A">
        <w:rPr>
          <w:bCs/>
          <w:iCs/>
        </w:rPr>
        <w:t xml:space="preserve"> </w:t>
      </w:r>
      <w:r w:rsidR="00416A2C">
        <w:rPr>
          <w:bCs/>
          <w:iCs/>
        </w:rPr>
        <w:t xml:space="preserve">skin and </w:t>
      </w:r>
      <w:r w:rsidR="00D17D2A">
        <w:rPr>
          <w:bCs/>
          <w:iCs/>
        </w:rPr>
        <w:t xml:space="preserve">eyes </w:t>
      </w:r>
      <w:r w:rsidR="00CD3ED2">
        <w:rPr>
          <w:bCs/>
          <w:iCs/>
        </w:rPr>
        <w:t xml:space="preserve">in </w:t>
      </w:r>
      <w:r w:rsidR="002205CD">
        <w:rPr>
          <w:bCs/>
          <w:iCs/>
        </w:rPr>
        <w:t>exposed workers.</w:t>
      </w:r>
    </w:p>
    <w:p w14:paraId="0323B0C4" w14:textId="17CE8AEF" w:rsidR="00AE1FAB" w:rsidRPr="002205CD" w:rsidRDefault="00AE1FAB" w:rsidP="005E4CA6">
      <w:pPr>
        <w:pStyle w:val="BodyText"/>
        <w:rPr>
          <w:bCs/>
          <w:iCs/>
        </w:rPr>
      </w:pPr>
      <w:r>
        <w:rPr>
          <w:bCs/>
          <w:iCs/>
        </w:rPr>
        <w:t xml:space="preserve">Given the limited toxicological data, the current TWA of 1 ppm is retained and is considered to protect exposed workers for the listed adverse effects. </w:t>
      </w:r>
      <w:r w:rsidR="00DB013F">
        <w:rPr>
          <w:bCs/>
          <w:iCs/>
        </w:rPr>
        <w:t>However, a review of additional data sources is recommended at the next scheduled review.</w:t>
      </w:r>
    </w:p>
    <w:p w14:paraId="17DA61B7" w14:textId="6EF2B425" w:rsidR="004529F0" w:rsidRPr="004C23F4" w:rsidRDefault="004529F0" w:rsidP="004529F0">
      <w:pPr>
        <w:pStyle w:val="Heading2"/>
      </w:pPr>
      <w:r>
        <w:t>Recommendation for notations</w:t>
      </w:r>
    </w:p>
    <w:p w14:paraId="78B2C622" w14:textId="538686EA" w:rsidR="005E4CA6" w:rsidRPr="005E4CA6" w:rsidRDefault="005E4CA6" w:rsidP="005E4CA6">
      <w:pPr>
        <w:rPr>
          <w:rFonts w:cs="Arial"/>
        </w:rPr>
      </w:pPr>
      <w:r w:rsidRPr="005E4CA6">
        <w:rPr>
          <w:rFonts w:cs="Arial"/>
        </w:rPr>
        <w:t>Not classified as a carcinogen according to the Globally Harmonized System of Classification and Labelling o</w:t>
      </w:r>
      <w:r w:rsidR="00D45DA5">
        <w:rPr>
          <w:rFonts w:cs="Arial"/>
        </w:rPr>
        <w:t>f</w:t>
      </w:r>
      <w:r w:rsidRPr="005E4CA6">
        <w:rPr>
          <w:rFonts w:cs="Arial"/>
        </w:rPr>
        <w:t xml:space="preserve"> Chemicals (GHS). </w:t>
      </w:r>
    </w:p>
    <w:p w14:paraId="7D680EDE" w14:textId="59F0CA9B" w:rsidR="005E4CA6" w:rsidRPr="005E4CA6" w:rsidRDefault="005E4CA6" w:rsidP="005E4CA6">
      <w:pPr>
        <w:rPr>
          <w:rFonts w:cs="Arial"/>
        </w:rPr>
      </w:pPr>
      <w:r w:rsidRPr="005E4CA6">
        <w:rPr>
          <w:rFonts w:cs="Arial"/>
        </w:rPr>
        <w:t xml:space="preserve">Not classified as a skin </w:t>
      </w:r>
      <w:r w:rsidR="00D45DA5">
        <w:rPr>
          <w:rFonts w:cs="Arial"/>
        </w:rPr>
        <w:t xml:space="preserve">sensitiser </w:t>
      </w:r>
      <w:r w:rsidRPr="005E4CA6">
        <w:rPr>
          <w:rFonts w:cs="Arial"/>
        </w:rPr>
        <w:t>or respiratory sensitiser according to the GHS.</w:t>
      </w:r>
    </w:p>
    <w:p w14:paraId="41B6C610" w14:textId="5528B98D" w:rsidR="0025734A" w:rsidRPr="004C23F4" w:rsidRDefault="00BD4DCC" w:rsidP="005E4CA6">
      <w:pPr>
        <w:rPr>
          <w:rFonts w:cs="Arial"/>
        </w:rPr>
      </w:pPr>
      <w:r>
        <w:rPr>
          <w:rFonts w:cs="Arial"/>
        </w:rPr>
        <w:lastRenderedPageBreak/>
        <w:t>A skin notation is recommended based on case studies of dermal absorption and systemic effects in humans</w:t>
      </w:r>
      <w:r w:rsidR="005E4CA6" w:rsidRPr="005E4CA6">
        <w:rPr>
          <w:rFonts w:cs="Arial"/>
        </w:rPr>
        <w:t>.</w:t>
      </w:r>
    </w:p>
    <w:p w14:paraId="4AB1BCD0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1FA561BD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6A351E6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56E196D0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6289ADE8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3346EEF7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27639B3B" w14:textId="6E4FCBD4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708A9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708A9">
                  <w:t>TWA: 1 ppm (5.8 mg/m</w:t>
                </w:r>
                <w:r w:rsidR="009708A9" w:rsidRPr="009708A9">
                  <w:rPr>
                    <w:vertAlign w:val="superscript"/>
                  </w:rPr>
                  <w:t>3</w:t>
                </w:r>
                <w:r w:rsidR="009708A9">
                  <w:t>)</w:t>
                </w:r>
              </w:sdtContent>
            </w:sdt>
          </w:p>
        </w:tc>
      </w:tr>
      <w:tr w:rsidR="00C978F0" w:rsidRPr="00DA352E" w14:paraId="1477E518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34A4CFA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4F055B9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69C8E21" w14:textId="6665E6EE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E1412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E1412C">
                  <w:t>TLV-TWA: 5</w:t>
                </w:r>
                <w:r w:rsidR="00D45DA5">
                  <w:t xml:space="preserve"> </w:t>
                </w:r>
                <w:r w:rsidR="00E1412C">
                  <w:t>mg/m</w:t>
                </w:r>
                <w:r w:rsidR="00E1412C" w:rsidRPr="00E1412C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3A9F8B6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680D841A" w14:textId="1B25835C" w:rsidR="00C978F0" w:rsidRDefault="00E26486" w:rsidP="003365A5">
            <w:pPr>
              <w:pStyle w:val="Tabletextprimarysource"/>
            </w:pPr>
            <w:r w:rsidRPr="00E26486">
              <w:t xml:space="preserve">TLV-TWA recommended </w:t>
            </w:r>
            <w:r>
              <w:t xml:space="preserve">is sufficient to protect </w:t>
            </w:r>
            <w:r w:rsidR="00DA4934">
              <w:t xml:space="preserve">for </w:t>
            </w:r>
            <w:r>
              <w:t>eye and respiratory irritation.</w:t>
            </w:r>
          </w:p>
          <w:p w14:paraId="05938EA9" w14:textId="77777777" w:rsidR="00E26486" w:rsidRDefault="00E26486" w:rsidP="003365A5">
            <w:pPr>
              <w:pStyle w:val="Tabletextprimarysource"/>
            </w:pPr>
            <w:r>
              <w:t>Summary of Data:</w:t>
            </w:r>
          </w:p>
          <w:p w14:paraId="7DFB495F" w14:textId="77777777" w:rsidR="001F22FA" w:rsidRDefault="001F22FA" w:rsidP="003365A5">
            <w:pPr>
              <w:pStyle w:val="Tabletextprimarysource"/>
            </w:pPr>
            <w:r>
              <w:t>Human data:</w:t>
            </w:r>
          </w:p>
          <w:p w14:paraId="0D8E5D6F" w14:textId="1AAAD6F9" w:rsidR="001F22FA" w:rsidRDefault="001F22FA" w:rsidP="002C0C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Half-life: 1.5</w:t>
            </w:r>
            <w:r w:rsidR="00461673">
              <w:t>–</w:t>
            </w:r>
            <w:r>
              <w:t>3.0 days</w:t>
            </w:r>
          </w:p>
          <w:p w14:paraId="0C3A2C5B" w14:textId="2917495F" w:rsidR="00D45DA5" w:rsidRDefault="0094626D" w:rsidP="00416A2C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An unpublished study noted that </w:t>
            </w:r>
            <w:proofErr w:type="spellStart"/>
            <w:r w:rsidR="00F6633E">
              <w:t>D</w:t>
            </w:r>
            <w:r>
              <w:t>alapon</w:t>
            </w:r>
            <w:proofErr w:type="spellEnd"/>
            <w:r>
              <w:t xml:space="preserve"> was rapidly absorbed into human blood with a maximum</w:t>
            </w:r>
            <w:r w:rsidR="00A77208">
              <w:t xml:space="preserve"> concentration occurring with 3</w:t>
            </w:r>
            <w:r w:rsidR="00461673">
              <w:t>–</w:t>
            </w:r>
            <w:r>
              <w:t>9 h of administration</w:t>
            </w:r>
            <w:r w:rsidR="00416A2C">
              <w:t xml:space="preserve"> (no information provided about administration)</w:t>
            </w:r>
            <w:r w:rsidR="00D45DA5">
              <w:t>.</w:t>
            </w:r>
          </w:p>
          <w:p w14:paraId="5EC10D38" w14:textId="58533C39" w:rsidR="0094626D" w:rsidRDefault="0094626D" w:rsidP="0094626D">
            <w:pPr>
              <w:pStyle w:val="Tabletextprimarysource"/>
            </w:pPr>
            <w:r>
              <w:t>Animal data:</w:t>
            </w:r>
          </w:p>
          <w:p w14:paraId="53D93940" w14:textId="0AAB7082" w:rsidR="0094626D" w:rsidRDefault="005968E4" w:rsidP="002C0CB6">
            <w:pPr>
              <w:pStyle w:val="ListBullet"/>
              <w:spacing w:before="60" w:after="60"/>
              <w:ind w:left="714" w:hanging="357"/>
              <w:contextualSpacing w:val="0"/>
            </w:pPr>
            <w:r w:rsidRPr="005968E4">
              <w:t>LD</w:t>
            </w:r>
            <w:r w:rsidRPr="00E206D7">
              <w:rPr>
                <w:vertAlign w:val="subscript"/>
              </w:rPr>
              <w:t>50</w:t>
            </w:r>
            <w:r>
              <w:t>: 2.3</w:t>
            </w:r>
            <w:r w:rsidR="00D45DA5">
              <w:t>–</w:t>
            </w:r>
            <w:r>
              <w:t>10.3 g/kg (oral; rats, mice, guinea pigs, rabbits and chickens)</w:t>
            </w:r>
          </w:p>
          <w:p w14:paraId="67919564" w14:textId="6DEC1077" w:rsidR="00B816EA" w:rsidRDefault="00B816EA" w:rsidP="002C0C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E206D7">
              <w:rPr>
                <w:vertAlign w:val="subscript"/>
              </w:rPr>
              <w:t>50</w:t>
            </w:r>
            <w:r>
              <w:t xml:space="preserve">: </w:t>
            </w:r>
            <w:r w:rsidR="000B3C4F">
              <w:t>&gt;5 g/kg (dermal, rats)</w:t>
            </w:r>
          </w:p>
          <w:p w14:paraId="3EDBCAF7" w14:textId="178D6087" w:rsidR="00215964" w:rsidRDefault="00215964" w:rsidP="002C0C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NOEL of 15 mg/kg/d in rats; 2-yr feeding study; increased kidney weights</w:t>
            </w:r>
          </w:p>
          <w:p w14:paraId="6FDB9B08" w14:textId="3B242CBE" w:rsidR="00416A2C" w:rsidRDefault="00416A2C" w:rsidP="002C0C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Dermal necrosis and conjunctivitis reported in dermal and eye instillation studies in rabbits; no permanent damage</w:t>
            </w:r>
          </w:p>
          <w:p w14:paraId="029ADB1D" w14:textId="6EDF27E6" w:rsidR="000B3C4F" w:rsidRDefault="000B3C4F" w:rsidP="002C0CB6">
            <w:pPr>
              <w:pStyle w:val="ListBullet"/>
              <w:spacing w:before="60" w:after="60"/>
              <w:ind w:left="714" w:hanging="357"/>
              <w:contextualSpacing w:val="0"/>
            </w:pPr>
            <w:r>
              <w:t>Dogs given 100 mg/kg/</w:t>
            </w:r>
            <w:r w:rsidR="007876E2">
              <w:t>d</w:t>
            </w:r>
            <w:r>
              <w:t xml:space="preserve"> of </w:t>
            </w:r>
            <w:proofErr w:type="spellStart"/>
            <w:r w:rsidR="003629D8">
              <w:t>Dalapon</w:t>
            </w:r>
            <w:proofErr w:type="spellEnd"/>
            <w:r w:rsidR="003629D8">
              <w:t xml:space="preserve"> </w:t>
            </w:r>
            <w:r>
              <w:t xml:space="preserve">sodium </w:t>
            </w:r>
            <w:r w:rsidR="00416A2C">
              <w:t xml:space="preserve">in food </w:t>
            </w:r>
            <w:r>
              <w:t xml:space="preserve">for 1 yr or rats given 50 mg/kg/d </w:t>
            </w:r>
            <w:r w:rsidR="00416A2C">
              <w:t xml:space="preserve">in food </w:t>
            </w:r>
            <w:r>
              <w:t>for 2 yr had a slight increase in kidney weight.</w:t>
            </w:r>
          </w:p>
          <w:p w14:paraId="650E267A" w14:textId="63E18A7B" w:rsidR="00C4525A" w:rsidRDefault="00F6633E" w:rsidP="00416A2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  <w:r>
              <w:t>Not genotoxic or carcinogenic.</w:t>
            </w:r>
          </w:p>
          <w:p w14:paraId="5E8A7636" w14:textId="77777777" w:rsidR="00F6633E" w:rsidRDefault="00F6633E" w:rsidP="00416A2C">
            <w:pPr>
              <w:pStyle w:val="ListBullet"/>
              <w:numPr>
                <w:ilvl w:val="0"/>
                <w:numId w:val="0"/>
              </w:numPr>
              <w:spacing w:before="60" w:after="60"/>
              <w:ind w:left="360" w:hanging="360"/>
              <w:contextualSpacing w:val="0"/>
            </w:pPr>
          </w:p>
          <w:p w14:paraId="7F863845" w14:textId="362458BD" w:rsidR="00D45DA5" w:rsidRDefault="00215964" w:rsidP="000E120E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 xml:space="preserve">TWA </w:t>
            </w:r>
            <w:r w:rsidR="00F6633E">
              <w:t>used</w:t>
            </w:r>
            <w:r>
              <w:t xml:space="preserve"> NOEL of 15 mg/kg/d</w:t>
            </w:r>
            <w:r w:rsidR="00F6633E">
              <w:t xml:space="preserve"> in rats</w:t>
            </w:r>
            <w:r w:rsidR="00BD4DCC">
              <w:t xml:space="preserve">; applying </w:t>
            </w:r>
            <w:r w:rsidR="00F6633E">
              <w:t>UF</w:t>
            </w:r>
            <w:r w:rsidR="00BD4DCC">
              <w:t xml:space="preserve"> of 10, assuming 100% a </w:t>
            </w:r>
            <w:r w:rsidR="002205CD">
              <w:t>70</w:t>
            </w:r>
            <w:r w:rsidR="00F6633E">
              <w:t xml:space="preserve"> </w:t>
            </w:r>
            <w:r w:rsidR="002205CD">
              <w:t>kg</w:t>
            </w:r>
            <w:r w:rsidR="00BD4DCC">
              <w:t xml:space="preserve"> worker inhaling 10m</w:t>
            </w:r>
            <w:r w:rsidR="00BD4DCC">
              <w:rPr>
                <w:vertAlign w:val="superscript"/>
              </w:rPr>
              <w:t>3</w:t>
            </w:r>
            <w:r w:rsidR="00BD4DCC">
              <w:t xml:space="preserve"> per 8</w:t>
            </w:r>
            <w:r w:rsidR="00F6633E">
              <w:t xml:space="preserve"> </w:t>
            </w:r>
            <w:r w:rsidR="00BD4DCC">
              <w:t xml:space="preserve">h shift could </w:t>
            </w:r>
            <w:r w:rsidR="000E120E">
              <w:t xml:space="preserve">be </w:t>
            </w:r>
            <w:r w:rsidR="00BD4DCC">
              <w:t>exposed to 10 mg/m</w:t>
            </w:r>
            <w:r w:rsidR="00BD4DCC">
              <w:rPr>
                <w:vertAlign w:val="superscript"/>
              </w:rPr>
              <w:t>3</w:t>
            </w:r>
            <w:r w:rsidR="00BD4DCC">
              <w:t xml:space="preserve"> without effects</w:t>
            </w:r>
            <w:r w:rsidR="000E120E">
              <w:t>.</w:t>
            </w:r>
          </w:p>
          <w:p w14:paraId="6D3E8F9D" w14:textId="77777777" w:rsidR="00F6633E" w:rsidRDefault="00F6633E" w:rsidP="000E120E">
            <w:pPr>
              <w:pStyle w:val="ListBullet"/>
              <w:numPr>
                <w:ilvl w:val="0"/>
                <w:numId w:val="0"/>
              </w:numPr>
              <w:ind w:left="22"/>
            </w:pPr>
          </w:p>
          <w:p w14:paraId="5A90990A" w14:textId="45CD3A33" w:rsidR="002205CD" w:rsidRDefault="002205CD" w:rsidP="000E120E">
            <w:pPr>
              <w:pStyle w:val="ListBullet"/>
              <w:numPr>
                <w:ilvl w:val="0"/>
                <w:numId w:val="0"/>
              </w:numPr>
              <w:ind w:left="22"/>
            </w:pPr>
            <w:r>
              <w:t xml:space="preserve">Consistent with </w:t>
            </w:r>
            <w:r w:rsidR="00D17D2A">
              <w:t xml:space="preserve">the </w:t>
            </w:r>
            <w:r>
              <w:t>1978 TLV-TWA of 1 ppm (5.8 mg/m</w:t>
            </w:r>
            <w:r>
              <w:rPr>
                <w:vertAlign w:val="superscript"/>
              </w:rPr>
              <w:t>3</w:t>
            </w:r>
            <w:r>
              <w:t>)</w:t>
            </w:r>
            <w:r w:rsidR="00D17D2A">
              <w:t xml:space="preserve"> recommended to minimise irritation of the eyes and respiratory tract.</w:t>
            </w:r>
          </w:p>
          <w:p w14:paraId="1B983E6D" w14:textId="33015B03" w:rsidR="002F6D93" w:rsidRPr="002205CD" w:rsidRDefault="002F6D93" w:rsidP="002C0CB6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2C6FA527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15B3C3EA" w14:textId="54A14B3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FB5989">
                  <w:t>2004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E1412C">
                  <w:t>MAK: 1 ppm (5.93 mg/m</w:t>
                </w:r>
                <w:r w:rsidR="00E1412C" w:rsidRPr="00E1412C">
                  <w:rPr>
                    <w:vertAlign w:val="superscript"/>
                  </w:rPr>
                  <w:t>3</w:t>
                </w:r>
                <w:r w:rsidR="00E1412C">
                  <w:t>)</w:t>
                </w:r>
              </w:sdtContent>
            </w:sdt>
          </w:p>
        </w:tc>
      </w:tr>
      <w:tr w:rsidR="00C978F0" w:rsidRPr="00DA352E" w14:paraId="1E3F892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7C692D3" w14:textId="70C72E34" w:rsidR="002C0CB6" w:rsidRDefault="002C0CB6" w:rsidP="000E120E">
            <w:pPr>
              <w:pStyle w:val="Tabletextprimarysource"/>
            </w:pPr>
            <w:r>
              <w:rPr>
                <w:lang w:eastAsia="fr-CA"/>
              </w:rPr>
              <w:t>The current MAK recommended to</w:t>
            </w:r>
            <w:r w:rsidR="00BD4DCC">
              <w:rPr>
                <w:lang w:eastAsia="fr-CA"/>
              </w:rPr>
              <w:t xml:space="preserve"> protect for irritant effects on the respiratory system.</w:t>
            </w:r>
          </w:p>
          <w:p w14:paraId="5B441F5F" w14:textId="542558A5" w:rsidR="00133AB9" w:rsidRDefault="00133AB9" w:rsidP="002C0CB6">
            <w:pPr>
              <w:pStyle w:val="ListBullet"/>
              <w:numPr>
                <w:ilvl w:val="0"/>
                <w:numId w:val="0"/>
              </w:numPr>
            </w:pPr>
            <w:r>
              <w:t>Summary of additional data:</w:t>
            </w:r>
          </w:p>
          <w:p w14:paraId="3D36A0D2" w14:textId="3BC04C83" w:rsidR="00A77208" w:rsidRPr="00A77208" w:rsidRDefault="00A77208" w:rsidP="00A77208">
            <w:pPr>
              <w:pStyle w:val="ListBullet"/>
              <w:numPr>
                <w:ilvl w:val="0"/>
                <w:numId w:val="0"/>
              </w:numPr>
              <w:ind w:left="360" w:hanging="360"/>
            </w:pPr>
            <w:r w:rsidRPr="00A77208">
              <w:t>Human Data</w:t>
            </w:r>
            <w:r w:rsidR="00133AB9">
              <w:t>:</w:t>
            </w:r>
          </w:p>
          <w:p w14:paraId="52852A05" w14:textId="2D88A5D4" w:rsidR="00167A6B" w:rsidRPr="00A77208" w:rsidRDefault="00167A6B" w:rsidP="002C0CB6">
            <w:pPr>
              <w:pStyle w:val="ListBullet"/>
              <w:spacing w:before="60" w:after="60"/>
              <w:ind w:left="714" w:hanging="357"/>
              <w:contextualSpacing w:val="0"/>
            </w:pPr>
            <w:r w:rsidRPr="00A77208">
              <w:t>Contact dermatitis was observed in a worker 4</w:t>
            </w:r>
            <w:r w:rsidR="00461673">
              <w:t xml:space="preserve"> </w:t>
            </w:r>
            <w:r w:rsidRPr="00A77208">
              <w:t>d after the start of the application of a sodium 2,</w:t>
            </w:r>
            <w:r w:rsidR="00D45DA5">
              <w:t> </w:t>
            </w:r>
            <w:r w:rsidRPr="00A77208">
              <w:t>2-dichloropropionate</w:t>
            </w:r>
            <w:r w:rsidR="00D45DA5">
              <w:t xml:space="preserve"> </w:t>
            </w:r>
            <w:r w:rsidRPr="00A77208">
              <w:t>containing herbicide</w:t>
            </w:r>
          </w:p>
          <w:p w14:paraId="7970EEE8" w14:textId="24448331" w:rsidR="00D45DA5" w:rsidRDefault="00A77208" w:rsidP="00416A2C">
            <w:pPr>
              <w:pStyle w:val="ListBullet"/>
              <w:spacing w:before="60" w:after="60"/>
              <w:ind w:left="714" w:hanging="357"/>
              <w:contextualSpacing w:val="0"/>
              <w:rPr>
                <w:lang w:eastAsia="fr-CA"/>
              </w:rPr>
            </w:pPr>
            <w:r w:rsidRPr="00A77208">
              <w:t>A patch test conducted on 76 male workers showed no evidence of allergic response to sodium</w:t>
            </w:r>
            <w:r w:rsidR="00D45DA5">
              <w:t> </w:t>
            </w:r>
            <w:r w:rsidRPr="00A77208">
              <w:t>2, 2-dichloropropionate</w:t>
            </w:r>
            <w:r w:rsidR="00D45DA5">
              <w:t>.</w:t>
            </w:r>
          </w:p>
          <w:p w14:paraId="175C77CB" w14:textId="7D7B2CC1" w:rsidR="00A77208" w:rsidRPr="00A77208" w:rsidRDefault="00A77208" w:rsidP="00A77208">
            <w:pPr>
              <w:pStyle w:val="ListBullet"/>
              <w:numPr>
                <w:ilvl w:val="0"/>
                <w:numId w:val="0"/>
              </w:numPr>
              <w:ind w:left="360" w:hanging="360"/>
              <w:rPr>
                <w:lang w:eastAsia="fr-CA"/>
              </w:rPr>
            </w:pPr>
            <w:r w:rsidRPr="00A77208">
              <w:rPr>
                <w:lang w:eastAsia="fr-CA"/>
              </w:rPr>
              <w:t>Animal Data:</w:t>
            </w:r>
          </w:p>
          <w:p w14:paraId="3B9753C5" w14:textId="77777777" w:rsidR="00A77208" w:rsidRDefault="00A77208" w:rsidP="002C0CB6">
            <w:pPr>
              <w:pStyle w:val="ListBullet"/>
              <w:spacing w:before="60" w:after="60"/>
              <w:ind w:left="714" w:hanging="357"/>
              <w:contextualSpacing w:val="0"/>
            </w:pPr>
            <w:r w:rsidRPr="00A77208">
              <w:t>LD</w:t>
            </w:r>
            <w:r w:rsidRPr="00E206D7">
              <w:rPr>
                <w:vertAlign w:val="subscript"/>
              </w:rPr>
              <w:t>50</w:t>
            </w:r>
            <w:r w:rsidRPr="00A77208">
              <w:t>: 7 g/kg (oral, rats)</w:t>
            </w:r>
            <w:r w:rsidR="00461673">
              <w:t>.</w:t>
            </w:r>
          </w:p>
          <w:p w14:paraId="521F8509" w14:textId="3C30EA3F" w:rsidR="00D45DA5" w:rsidRPr="00A77208" w:rsidRDefault="00D45DA5" w:rsidP="002C0CB6">
            <w:pPr>
              <w:pStyle w:val="ListBullet"/>
              <w:numPr>
                <w:ilvl w:val="0"/>
                <w:numId w:val="0"/>
              </w:numPr>
            </w:pPr>
          </w:p>
        </w:tc>
      </w:tr>
      <w:tr w:rsidR="00C978F0" w:rsidRPr="00DA352E" w14:paraId="738DA98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67C8F2F" w14:textId="15FE7424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E141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E1412C">
                  <w:t>NA</w:t>
                </w:r>
                <w:proofErr w:type="spellEnd"/>
              </w:sdtContent>
            </w:sdt>
          </w:p>
        </w:tc>
      </w:tr>
      <w:tr w:rsidR="00C978F0" w:rsidRPr="00DA352E" w14:paraId="4DEECB5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CADADBC" w14:textId="1872DD9F" w:rsidR="00C978F0" w:rsidRPr="00DA352E" w:rsidRDefault="00E1412C" w:rsidP="003365A5">
            <w:pPr>
              <w:pStyle w:val="Tabletextprimarysource"/>
            </w:pPr>
            <w:r w:rsidRPr="00E1412C">
              <w:t>No report</w:t>
            </w:r>
            <w:r w:rsidR="00004BAC">
              <w:t>.</w:t>
            </w:r>
          </w:p>
        </w:tc>
      </w:tr>
      <w:tr w:rsidR="00DA352E" w:rsidRPr="00DA352E" w14:paraId="529E6338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FC3587" w14:textId="49E68D1D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E141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E1412C">
                  <w:t>NA</w:t>
                </w:r>
                <w:proofErr w:type="spellEnd"/>
              </w:sdtContent>
            </w:sdt>
          </w:p>
        </w:tc>
      </w:tr>
      <w:tr w:rsidR="00DA352E" w:rsidRPr="00DA352E" w14:paraId="442175D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15139C1" w14:textId="73142157" w:rsidR="00DA352E" w:rsidRPr="00DA352E" w:rsidRDefault="00E1412C" w:rsidP="003365A5">
            <w:pPr>
              <w:pStyle w:val="Tabletextprimarysource"/>
            </w:pPr>
            <w:r>
              <w:t>No report</w:t>
            </w:r>
            <w:r w:rsidR="00004BAC">
              <w:t>.</w:t>
            </w:r>
          </w:p>
        </w:tc>
      </w:tr>
      <w:tr w:rsidR="00DA352E" w:rsidRPr="00DA352E" w14:paraId="413C19E3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2B33D1B" w14:textId="1AE5F3D9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E1412C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E1412C">
                  <w:t>NA</w:t>
                </w:r>
                <w:proofErr w:type="spellEnd"/>
              </w:sdtContent>
            </w:sdt>
          </w:p>
        </w:tc>
      </w:tr>
      <w:tr w:rsidR="00DA352E" w:rsidRPr="00DA352E" w14:paraId="2DE8A6D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B9F494" w14:textId="6E74BC68" w:rsidR="00DA352E" w:rsidRPr="00DA352E" w:rsidRDefault="00E1412C" w:rsidP="003365A5">
            <w:pPr>
              <w:pStyle w:val="Tabletextprimarysource"/>
            </w:pPr>
            <w:r>
              <w:t>No report</w:t>
            </w:r>
            <w:r w:rsidR="00004BAC">
              <w:t>.</w:t>
            </w:r>
          </w:p>
        </w:tc>
      </w:tr>
    </w:tbl>
    <w:p w14:paraId="51543342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8"/>
        <w:gridCol w:w="424"/>
        <w:gridCol w:w="650"/>
        <w:gridCol w:w="6454"/>
      </w:tblGrid>
      <w:tr w:rsidR="004966BF" w:rsidRPr="00263255" w14:paraId="1950B080" w14:textId="77777777" w:rsidTr="00D64ECE">
        <w:trPr>
          <w:cantSplit/>
          <w:trHeight w:val="393"/>
          <w:tblHeader/>
        </w:trPr>
        <w:tc>
          <w:tcPr>
            <w:tcW w:w="1498" w:type="dxa"/>
            <w:shd w:val="clear" w:color="auto" w:fill="BFBFBF" w:themeFill="background1" w:themeFillShade="BF"/>
            <w:vAlign w:val="center"/>
          </w:tcPr>
          <w:p w14:paraId="263F3F93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4" w:type="dxa"/>
            <w:shd w:val="clear" w:color="auto" w:fill="BFBFBF" w:themeFill="background1" w:themeFillShade="BF"/>
            <w:vAlign w:val="center"/>
          </w:tcPr>
          <w:p w14:paraId="6376A0A6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50" w:type="dxa"/>
            <w:shd w:val="clear" w:color="auto" w:fill="BFBFBF" w:themeFill="background1" w:themeFillShade="BF"/>
            <w:vAlign w:val="center"/>
          </w:tcPr>
          <w:p w14:paraId="58FDEDA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4" w:type="dxa"/>
            <w:shd w:val="clear" w:color="auto" w:fill="BFBFBF" w:themeFill="background1" w:themeFillShade="BF"/>
            <w:vAlign w:val="center"/>
          </w:tcPr>
          <w:p w14:paraId="2091ED7E" w14:textId="77777777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6A50806A" w14:textId="77777777" w:rsidTr="00D64ECE">
        <w:trPr>
          <w:cantSplit/>
        </w:trPr>
        <w:tc>
          <w:tcPr>
            <w:tcW w:w="1498" w:type="dxa"/>
          </w:tcPr>
          <w:p w14:paraId="1D7CCF8B" w14:textId="77777777" w:rsidR="004966BF" w:rsidRPr="004C23F4" w:rsidRDefault="004966BF" w:rsidP="00224EE2">
            <w:pPr>
              <w:pStyle w:val="Tablefont"/>
            </w:pPr>
            <w:r>
              <w:t>US EPA</w:t>
            </w:r>
          </w:p>
        </w:tc>
        <w:tc>
          <w:tcPr>
            <w:tcW w:w="424" w:type="dxa"/>
          </w:tcPr>
          <w:p w14:paraId="5832D4D2" w14:textId="16B816AB" w:rsidR="004966BF" w:rsidRPr="00CE617F" w:rsidRDefault="005A7408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015498594"/>
                <w:placeholder>
                  <w:docPart w:val="CFFDE270CB50461B826B0194984892C5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70F56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50" w:type="dxa"/>
          </w:tcPr>
          <w:p w14:paraId="311B6783" w14:textId="77777777" w:rsidR="004966BF" w:rsidRPr="004C23F4" w:rsidRDefault="004966BF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</w:p>
        </w:tc>
        <w:tc>
          <w:tcPr>
            <w:tcW w:w="6454" w:type="dxa"/>
          </w:tcPr>
          <w:p w14:paraId="035EE3A9" w14:textId="4F7A35E0" w:rsidR="004966BF" w:rsidRPr="004C23F4" w:rsidRDefault="00D64ECE" w:rsidP="002C0CB6">
            <w:pPr>
              <w:pStyle w:val="Tablefont"/>
              <w:numPr>
                <w:ilvl w:val="0"/>
                <w:numId w:val="6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No additional information</w:t>
            </w:r>
            <w:r w:rsidR="00004BAC">
              <w:rPr>
                <w:rStyle w:val="checkbox"/>
                <w:rFonts w:ascii="Arial" w:hAnsi="Arial" w:cs="Arial"/>
              </w:rPr>
              <w:t>.</w:t>
            </w:r>
            <w:r>
              <w:rPr>
                <w:rStyle w:val="checkbox"/>
                <w:rFonts w:ascii="Arial" w:hAnsi="Arial" w:cs="Arial"/>
              </w:rPr>
              <w:t xml:space="preserve"> </w:t>
            </w:r>
          </w:p>
        </w:tc>
      </w:tr>
    </w:tbl>
    <w:bookmarkEnd w:id="0"/>
    <w:p w14:paraId="090533B7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3C38FAE6" w14:textId="77777777" w:rsidTr="009D2499">
        <w:trPr>
          <w:trHeight w:val="454"/>
          <w:tblHeader/>
        </w:trPr>
        <w:tc>
          <w:tcPr>
            <w:tcW w:w="6603" w:type="dxa"/>
            <w:vAlign w:val="center"/>
          </w:tcPr>
          <w:p w14:paraId="279DB01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677986E5" w14:textId="51289A1F" w:rsidR="002E0D61" w:rsidRDefault="009D2499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5968E4" w14:paraId="5C798168" w14:textId="77777777" w:rsidTr="0026055F">
        <w:trPr>
          <w:trHeight w:val="454"/>
          <w:tblHeader/>
        </w:trPr>
        <w:sdt>
          <w:sdtPr>
            <w:rPr>
              <w:b/>
            </w:rPr>
            <w:id w:val="1830936485"/>
            <w:placeholder>
              <w:docPart w:val="779EEC25B55C4D1DA07532949A983A27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4733750F" w14:textId="77777777" w:rsidR="005968E4" w:rsidRDefault="005968E4" w:rsidP="0026055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1C1E9652" w14:textId="77777777" w:rsidR="005968E4" w:rsidRDefault="005968E4" w:rsidP="0026055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09194835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50264DDF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29F3D426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0A1E86CE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00FB1DD" w14:textId="77777777" w:rsidTr="00812887">
        <w:trPr>
          <w:cantSplit/>
        </w:trPr>
        <w:tc>
          <w:tcPr>
            <w:tcW w:w="3227" w:type="dxa"/>
          </w:tcPr>
          <w:p w14:paraId="68865753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04D0F9E6" w14:textId="6DFD4C62" w:rsidR="00687890" w:rsidRPr="00DD2F9B" w:rsidRDefault="008F44FC" w:rsidP="00DD2F9B">
            <w:pPr>
              <w:pStyle w:val="Tablefont"/>
            </w:pPr>
            <w:r w:rsidRPr="008F44FC">
              <w:t>—</w:t>
            </w:r>
          </w:p>
        </w:tc>
      </w:tr>
      <w:tr w:rsidR="007925F0" w:rsidRPr="004C23F4" w14:paraId="430C2C04" w14:textId="77777777" w:rsidTr="00812887">
        <w:trPr>
          <w:cantSplit/>
        </w:trPr>
        <w:tc>
          <w:tcPr>
            <w:tcW w:w="3227" w:type="dxa"/>
          </w:tcPr>
          <w:p w14:paraId="552745CC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5EAD8D22" w14:textId="376301BA" w:rsidR="007925F0" w:rsidRPr="00DD2F9B" w:rsidRDefault="004A25C0" w:rsidP="00DD2F9B">
            <w:pPr>
              <w:pStyle w:val="Tablefont"/>
            </w:pPr>
            <w:r w:rsidRPr="008F44FC">
              <w:t>—</w:t>
            </w:r>
          </w:p>
        </w:tc>
      </w:tr>
      <w:tr w:rsidR="00AF483F" w:rsidRPr="004C23F4" w14:paraId="30D2CDCA" w14:textId="77777777" w:rsidTr="00812887">
        <w:trPr>
          <w:cantSplit/>
        </w:trPr>
        <w:tc>
          <w:tcPr>
            <w:tcW w:w="3227" w:type="dxa"/>
          </w:tcPr>
          <w:p w14:paraId="4501670D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1DB3024" w14:textId="6C0F1D84" w:rsidR="00AF483F" w:rsidRPr="00DD2F9B" w:rsidRDefault="004A25C0" w:rsidP="00DD2F9B">
            <w:pPr>
              <w:pStyle w:val="Tablefont"/>
            </w:pPr>
            <w:r w:rsidRPr="008F44FC">
              <w:t>—</w:t>
            </w:r>
          </w:p>
        </w:tc>
      </w:tr>
      <w:tr w:rsidR="00687890" w:rsidRPr="004C23F4" w14:paraId="617451BA" w14:textId="77777777" w:rsidTr="00812887">
        <w:trPr>
          <w:cantSplit/>
        </w:trPr>
        <w:tc>
          <w:tcPr>
            <w:tcW w:w="3227" w:type="dxa"/>
          </w:tcPr>
          <w:p w14:paraId="222D89C3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80ACD57" w14:textId="6DE73E4F" w:rsidR="00687890" w:rsidRPr="00DD2F9B" w:rsidRDefault="004A25C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58014CD4" w14:textId="77777777" w:rsidTr="00812887">
        <w:trPr>
          <w:cantSplit/>
        </w:trPr>
        <w:tc>
          <w:tcPr>
            <w:tcW w:w="3227" w:type="dxa"/>
          </w:tcPr>
          <w:p w14:paraId="46704594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5C2A2604" w14:textId="3DA1303C" w:rsidR="00E41A26" w:rsidRPr="00DD2F9B" w:rsidRDefault="004A25C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9EF594A" w14:textId="77777777" w:rsidTr="00812887">
        <w:trPr>
          <w:cantSplit/>
        </w:trPr>
        <w:tc>
          <w:tcPr>
            <w:tcW w:w="3227" w:type="dxa"/>
          </w:tcPr>
          <w:p w14:paraId="44ED5800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6055E2EC" w14:textId="4A08DA77" w:rsidR="002E0D61" w:rsidRPr="00DD2F9B" w:rsidRDefault="004A25C0" w:rsidP="00DD2F9B">
            <w:pPr>
              <w:pStyle w:val="Tablefont"/>
            </w:pPr>
            <w:r w:rsidRPr="004A25C0">
              <w:t>Carcinogenicity – A4</w:t>
            </w:r>
          </w:p>
        </w:tc>
      </w:tr>
      <w:tr w:rsidR="002E0D61" w:rsidRPr="004C23F4" w14:paraId="0371F05C" w14:textId="77777777" w:rsidTr="00812887">
        <w:trPr>
          <w:cantSplit/>
        </w:trPr>
        <w:tc>
          <w:tcPr>
            <w:tcW w:w="3227" w:type="dxa"/>
          </w:tcPr>
          <w:p w14:paraId="4E4158C1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3BF6BB08" w14:textId="5A878916" w:rsidR="002E0D61" w:rsidRPr="00DD2F9B" w:rsidRDefault="004A25C0" w:rsidP="00DD2F9B">
            <w:pPr>
              <w:pStyle w:val="Tablefont"/>
            </w:pPr>
            <w:r w:rsidRPr="008F44FC">
              <w:t>—</w:t>
            </w:r>
          </w:p>
        </w:tc>
      </w:tr>
      <w:tr w:rsidR="002E0D61" w:rsidRPr="004C23F4" w14:paraId="7131BF82" w14:textId="77777777" w:rsidTr="00812887">
        <w:trPr>
          <w:cantSplit/>
        </w:trPr>
        <w:tc>
          <w:tcPr>
            <w:tcW w:w="3227" w:type="dxa"/>
          </w:tcPr>
          <w:p w14:paraId="451EB3B7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45E15975" w14:textId="54496EFA" w:rsidR="002E0D61" w:rsidRPr="00DD2F9B" w:rsidRDefault="008449DE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086B964B" w14:textId="77777777" w:rsidTr="00812887">
        <w:trPr>
          <w:cantSplit/>
        </w:trPr>
        <w:tc>
          <w:tcPr>
            <w:tcW w:w="3227" w:type="dxa"/>
          </w:tcPr>
          <w:p w14:paraId="1C8CCE8C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0DC8F20" w14:textId="58F11852" w:rsidR="002E0D61" w:rsidRPr="00DD2F9B" w:rsidRDefault="008449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DD4180B" w14:textId="77777777" w:rsidTr="00812887">
        <w:trPr>
          <w:cantSplit/>
        </w:trPr>
        <w:tc>
          <w:tcPr>
            <w:tcW w:w="3227" w:type="dxa"/>
          </w:tcPr>
          <w:p w14:paraId="227182A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77AE1E7A" w14:textId="7BFDA346" w:rsidR="00386093" w:rsidRPr="00DD2F9B" w:rsidRDefault="008449DE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0F82139" w14:textId="77777777" w:rsidTr="00812887">
        <w:trPr>
          <w:cantSplit/>
        </w:trPr>
        <w:tc>
          <w:tcPr>
            <w:tcW w:w="3227" w:type="dxa"/>
          </w:tcPr>
          <w:p w14:paraId="7CAB4339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513ECAD5" w14:textId="35225C02" w:rsidR="00386093" w:rsidRPr="00DD2F9B" w:rsidRDefault="008449DE" w:rsidP="00D87570">
            <w:pPr>
              <w:pStyle w:val="Tablefont"/>
              <w:keepNext/>
            </w:pPr>
            <w:r>
              <w:t>NA</w:t>
            </w:r>
          </w:p>
        </w:tc>
      </w:tr>
    </w:tbl>
    <w:bookmarkEnd w:id="2"/>
    <w:p w14:paraId="7A1F6B5C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226698BE" w14:textId="77777777" w:rsidR="00474E33" w:rsidRDefault="00474E33" w:rsidP="00DB013F">
      <w:pPr>
        <w:pStyle w:val="Heading3"/>
        <w:keepNext w:val="0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4000418D" w14:textId="77777777" w:rsidTr="00512E94">
        <w:trPr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54FE6F4A" w14:textId="77777777" w:rsidR="00932DCE" w:rsidRPr="004C23F4" w:rsidRDefault="00932DCE" w:rsidP="00DB013F">
            <w:pPr>
              <w:pStyle w:val="Tableheader"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E164F4C" w14:textId="77777777" w:rsidTr="00DB013F">
        <w:tc>
          <w:tcPr>
            <w:tcW w:w="5000" w:type="pct"/>
            <w:vAlign w:val="center"/>
          </w:tcPr>
          <w:tbl>
            <w:tblPr>
              <w:tblW w:w="8810" w:type="dxa"/>
              <w:tblLook w:val="04A0" w:firstRow="1" w:lastRow="0" w:firstColumn="1" w:lastColumn="0" w:noHBand="0" w:noVBand="1"/>
            </w:tblPr>
            <w:tblGrid>
              <w:gridCol w:w="3825"/>
              <w:gridCol w:w="1130"/>
              <w:gridCol w:w="1130"/>
              <w:gridCol w:w="2725"/>
            </w:tblGrid>
            <w:tr w:rsidR="00BD4DCC" w:rsidRPr="00BD4DCC" w14:paraId="4296E3F7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1081491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Adverse effects in human case study: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EB9C"/>
                  <w:noWrap/>
                  <w:vAlign w:val="center"/>
                  <w:hideMark/>
                </w:tcPr>
                <w:p w14:paraId="3E09DD9C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9C6500"/>
                      <w:sz w:val="18"/>
                      <w:szCs w:val="18"/>
                      <w:lang w:eastAsia="en-AU"/>
                    </w:rPr>
                    <w:t>yes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B8788D5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4.00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992115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7B7F398F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1B4638E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≤1000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05C1CD8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8CB77A4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0B99B14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1946DF26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5AD02759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repeat-dose NOAEL ≤200 mg/kg: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E8259AB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69B6FB3E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BD158C2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1026C774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EB7205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Dermal LD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/Inhalation LD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vertAlign w:val="subscript"/>
                      <w:lang w:eastAsia="en-AU"/>
                    </w:rPr>
                    <w:t>50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&lt;10: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9821304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E205B31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A573F5E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6BB0D5A2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ABE5980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i/>
                      <w:iCs/>
                      <w:color w:val="000000"/>
                      <w:sz w:val="18"/>
                      <w:szCs w:val="18"/>
                      <w:lang w:eastAsia="en-AU"/>
                    </w:rPr>
                    <w:t>In vivo</w:t>
                  </w: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 xml:space="preserve"> dermal absorption rate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37C4B5B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4263C351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848CB6D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54BD2AC1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A009B2A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Estimated dermal exposure at WES &gt;10%: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044D8915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D90909E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1E08DAC3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</w:tr>
            <w:tr w:rsidR="00BD4DCC" w:rsidRPr="00BD4DCC" w14:paraId="3F584E5A" w14:textId="77777777" w:rsidTr="00DB013F">
              <w:trPr>
                <w:trHeight w:val="375"/>
              </w:trPr>
              <w:tc>
                <w:tcPr>
                  <w:tcW w:w="38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781E05A0" w14:textId="77777777" w:rsidR="00BD4DCC" w:rsidRPr="00BD4DCC" w:rsidRDefault="00BD4DCC" w:rsidP="00DB013F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2CAD153" w14:textId="77777777" w:rsidR="00BD4DCC" w:rsidRPr="00BD4DCC" w:rsidRDefault="00BD4DCC" w:rsidP="00DB013F">
                  <w:pPr>
                    <w:spacing w:after="0" w:line="240" w:lineRule="auto"/>
                    <w:jc w:val="center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29CD1CEB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color w:val="C5D9F1"/>
                      <w:sz w:val="18"/>
                      <w:szCs w:val="18"/>
                      <w:lang w:eastAsia="en-AU"/>
                    </w:rPr>
                    <w:t> </w:t>
                  </w:r>
                </w:p>
              </w:tc>
              <w:tc>
                <w:tcPr>
                  <w:tcW w:w="2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  <w:hideMark/>
                </w:tcPr>
                <w:p w14:paraId="3CDB2CF4" w14:textId="77777777" w:rsidR="00BD4DCC" w:rsidRPr="00BD4DCC" w:rsidRDefault="00BD4DCC" w:rsidP="00DB013F">
                  <w:pPr>
                    <w:spacing w:after="0" w:line="240" w:lineRule="auto"/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</w:pPr>
                  <w:r w:rsidRPr="00BD4DCC">
                    <w:rPr>
                      <w:rFonts w:ascii="Segoe UI" w:eastAsia="Times New Roman" w:hAnsi="Segoe UI" w:cs="Segoe UI"/>
                      <w:b/>
                      <w:bCs/>
                      <w:color w:val="000000"/>
                      <w:sz w:val="18"/>
                      <w:szCs w:val="18"/>
                      <w:lang w:eastAsia="en-AU"/>
                    </w:rPr>
                    <w:t>a skin notation is warranted</w:t>
                  </w:r>
                </w:p>
              </w:tc>
            </w:tr>
          </w:tbl>
          <w:p w14:paraId="64DF85A1" w14:textId="5B8A9B38" w:rsidR="00932DCE" w:rsidRPr="004C23F4" w:rsidRDefault="00932DCE" w:rsidP="00DB013F">
            <w:pPr>
              <w:pStyle w:val="Tablefont"/>
            </w:pPr>
          </w:p>
        </w:tc>
      </w:tr>
    </w:tbl>
    <w:bookmarkEnd w:id="3"/>
    <w:p w14:paraId="68ED0055" w14:textId="77777777" w:rsidR="00EB3D1B" w:rsidRDefault="00EB3D1B" w:rsidP="00EB3D1B">
      <w:pPr>
        <w:pStyle w:val="Heading3"/>
      </w:pPr>
      <w:r>
        <w:lastRenderedPageBreak/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3AE99AB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732A21B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1C81CEDC" w14:textId="45527082" w:rsidR="00EB3D1B" w:rsidRDefault="008449DE" w:rsidP="00EB3D1B">
                <w:pPr>
                  <w:pStyle w:val="Tablefont"/>
                </w:pPr>
                <w:r>
                  <w:t>No</w:t>
                </w:r>
              </w:p>
            </w:tc>
          </w:sdtContent>
        </w:sdt>
      </w:tr>
    </w:tbl>
    <w:p w14:paraId="2EE18C04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5C2357B1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1DC54302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33A85721" w14:textId="5D672D5F" w:rsidR="001B79E5" w:rsidRDefault="008449DE" w:rsidP="001B79E5">
                <w:pPr>
                  <w:pStyle w:val="Tablefont"/>
                </w:pPr>
                <w:r w:rsidRPr="008449DE">
                  <w:t>142.97</w:t>
                </w:r>
              </w:p>
            </w:tc>
          </w:sdtContent>
        </w:sdt>
      </w:tr>
      <w:tr w:rsidR="00A31D99" w:rsidRPr="004C23F4" w14:paraId="61B894C8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52E7FECF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29273F6A" w14:textId="3249B640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8449DE">
                  <w:t>5.93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8449DE">
                  <w:t>0.17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C98B3C0" w14:textId="77777777" w:rsidTr="00EA6243">
        <w:trPr>
          <w:cantSplit/>
          <w:tblHeader/>
        </w:trPr>
        <w:tc>
          <w:tcPr>
            <w:tcW w:w="4077" w:type="dxa"/>
            <w:vAlign w:val="center"/>
          </w:tcPr>
          <w:p w14:paraId="01309D3E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10D0C2B" w14:textId="5F768DCC" w:rsidR="00687890" w:rsidRPr="004C23F4" w:rsidRDefault="008449DE" w:rsidP="00717D45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687890" w:rsidRPr="004C23F4" w14:paraId="0B375B95" w14:textId="77777777" w:rsidTr="00EA6243">
        <w:trPr>
          <w:cantSplit/>
        </w:trPr>
        <w:tc>
          <w:tcPr>
            <w:tcW w:w="4077" w:type="dxa"/>
            <w:vAlign w:val="center"/>
          </w:tcPr>
          <w:p w14:paraId="7934A1CA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32FC8CD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A616315" w14:textId="77777777" w:rsidTr="00EA6243">
        <w:trPr>
          <w:cantSplit/>
        </w:trPr>
        <w:tc>
          <w:tcPr>
            <w:tcW w:w="4077" w:type="dxa"/>
            <w:vAlign w:val="center"/>
          </w:tcPr>
          <w:p w14:paraId="65C12763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3E10ED0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6F8C419E" w14:textId="77777777" w:rsidTr="00EA6243">
        <w:trPr>
          <w:cantSplit/>
        </w:trPr>
        <w:tc>
          <w:tcPr>
            <w:tcW w:w="4077" w:type="dxa"/>
            <w:vAlign w:val="center"/>
          </w:tcPr>
          <w:p w14:paraId="7522F20B" w14:textId="77777777" w:rsidR="00E06F40" w:rsidRPr="00263255" w:rsidRDefault="00E06F40" w:rsidP="00084513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58AC92E5" w14:textId="77777777" w:rsidR="00E06F40" w:rsidRPr="00A006A0" w:rsidRDefault="005A7408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72BE2FD9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363EDBE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053E95F1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4D0AE6A3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6A84D753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485DFFE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3EEECEEB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5456FB6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53DB4373" w14:textId="0077CC0B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0EDB69A3" w14:textId="19E99E32" w:rsidR="00366021" w:rsidRDefault="00366021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(2004) </w:t>
      </w:r>
      <w:r w:rsidRPr="00366021">
        <w:t>2,2-Dichloropropionic acid</w:t>
      </w:r>
      <w:r>
        <w:t xml:space="preserve"> – MAK value documentation.</w:t>
      </w:r>
    </w:p>
    <w:p w14:paraId="5A5D7DCA" w14:textId="4F8BF916" w:rsidR="007876E2" w:rsidRDefault="007876E2" w:rsidP="007876E2">
      <w:r>
        <w:t xml:space="preserve">US Environmental Protection Authority (US EPA) (1988) </w:t>
      </w:r>
      <w:r w:rsidRPr="003448DD">
        <w:t>Integrated R</w:t>
      </w:r>
      <w:r>
        <w:t xml:space="preserve">isk Information System (IRIS) </w:t>
      </w:r>
      <w:r w:rsidRPr="003448DD">
        <w:t>Chemical Assessment Summary</w:t>
      </w:r>
      <w:r>
        <w:t xml:space="preserve"> – </w:t>
      </w:r>
      <w:proofErr w:type="spellStart"/>
      <w:r w:rsidRPr="007876E2">
        <w:t>Dalapon</w:t>
      </w:r>
      <w:proofErr w:type="spellEnd"/>
      <w:r w:rsidRPr="007876E2">
        <w:t>, sodium salt</w:t>
      </w:r>
      <w:r>
        <w:t>.</w:t>
      </w:r>
    </w:p>
    <w:p w14:paraId="6EC81299" w14:textId="77777777" w:rsidR="007876E2" w:rsidRPr="00351FE0" w:rsidRDefault="007876E2" w:rsidP="00084859"/>
    <w:sectPr w:rsidR="007876E2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97F1D" w14:textId="77777777" w:rsidR="008734B9" w:rsidRDefault="008734B9" w:rsidP="00F43AD5">
      <w:pPr>
        <w:spacing w:after="0" w:line="240" w:lineRule="auto"/>
      </w:pPr>
      <w:r>
        <w:separator/>
      </w:r>
    </w:p>
  </w:endnote>
  <w:endnote w:type="continuationSeparator" w:id="0">
    <w:p w14:paraId="43BA6E94" w14:textId="77777777" w:rsidR="008734B9" w:rsidRDefault="008734B9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36A1C" w14:textId="77777777" w:rsidR="00512E94" w:rsidRDefault="00512E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3C67841" w14:textId="693E061E" w:rsidR="008A36CF" w:rsidRDefault="009708A9" w:rsidP="0034744C">
        <w:pPr>
          <w:pStyle w:val="Footer"/>
          <w:rPr>
            <w:sz w:val="18"/>
            <w:szCs w:val="18"/>
          </w:rPr>
        </w:pPr>
        <w:r w:rsidRPr="009708A9">
          <w:rPr>
            <w:b/>
            <w:sz w:val="18"/>
            <w:szCs w:val="18"/>
          </w:rPr>
          <w:t>2,2-Dichloropropionic acid</w:t>
        </w:r>
        <w:r w:rsidR="008A36CF">
          <w:rPr>
            <w:b/>
            <w:sz w:val="18"/>
            <w:szCs w:val="18"/>
          </w:rPr>
          <w:t xml:space="preserve"> (</w:t>
        </w:r>
        <w:r w:rsidR="00E1412C" w:rsidRPr="00E1412C">
          <w:rPr>
            <w:b/>
            <w:sz w:val="18"/>
            <w:szCs w:val="18"/>
          </w:rPr>
          <w:t>75-99-0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6FFFFD9F" w14:textId="46F446CD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512E94">
          <w:rPr>
            <w:noProof/>
            <w:sz w:val="18"/>
            <w:szCs w:val="18"/>
          </w:rPr>
          <w:t>5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0926A" w14:textId="77777777" w:rsidR="00512E94" w:rsidRDefault="00512E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C25B1" w14:textId="77777777" w:rsidR="008734B9" w:rsidRDefault="008734B9" w:rsidP="00F43AD5">
      <w:pPr>
        <w:spacing w:after="0" w:line="240" w:lineRule="auto"/>
      </w:pPr>
      <w:r>
        <w:separator/>
      </w:r>
    </w:p>
  </w:footnote>
  <w:footnote w:type="continuationSeparator" w:id="0">
    <w:p w14:paraId="2900B0BE" w14:textId="77777777" w:rsidR="008734B9" w:rsidRDefault="008734B9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D7975" w14:textId="6B6CEA1B" w:rsidR="00E239AA" w:rsidRDefault="00E239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BDB4C" w14:textId="4C5E0146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CCC9C" w14:textId="24A1BA18" w:rsidR="00E239AA" w:rsidRDefault="00E239A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A6321" w14:textId="048352B1" w:rsidR="003478B7" w:rsidRDefault="003478B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9718F" w14:textId="3D080114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B635A" w14:textId="4D63B0D2" w:rsidR="003478B7" w:rsidRDefault="003478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814A88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77937F0"/>
    <w:multiLevelType w:val="hybridMultilevel"/>
    <w:tmpl w:val="00760E5A"/>
    <w:lvl w:ilvl="0" w:tplc="DDD4AD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550F2"/>
    <w:multiLevelType w:val="hybridMultilevel"/>
    <w:tmpl w:val="16C4AACA"/>
    <w:lvl w:ilvl="0" w:tplc="0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1527844">
    <w:abstractNumId w:val="1"/>
  </w:num>
  <w:num w:numId="2" w16cid:durableId="940722024">
    <w:abstractNumId w:val="0"/>
  </w:num>
  <w:num w:numId="3" w16cid:durableId="1796486701">
    <w:abstractNumId w:val="0"/>
  </w:num>
  <w:num w:numId="4" w16cid:durableId="729308110">
    <w:abstractNumId w:val="0"/>
  </w:num>
  <w:num w:numId="5" w16cid:durableId="909508697">
    <w:abstractNumId w:val="0"/>
  </w:num>
  <w:num w:numId="6" w16cid:durableId="83761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proofState w:spelling="clean" w:grammar="clean"/>
  <w:defaultTabStop w:val="720"/>
  <w:characterSpacingControl w:val="doNotCompress"/>
  <w:hdrShapeDefaults>
    <o:shapedefaults v:ext="edit" spidmax="102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BAC"/>
    <w:rsid w:val="00007B80"/>
    <w:rsid w:val="00013A22"/>
    <w:rsid w:val="00014C3F"/>
    <w:rsid w:val="00017C82"/>
    <w:rsid w:val="00032B88"/>
    <w:rsid w:val="00046DF5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C4F"/>
    <w:rsid w:val="000B3E12"/>
    <w:rsid w:val="000B3E78"/>
    <w:rsid w:val="000B7B48"/>
    <w:rsid w:val="000C096D"/>
    <w:rsid w:val="000C139A"/>
    <w:rsid w:val="000C2053"/>
    <w:rsid w:val="000C248C"/>
    <w:rsid w:val="000D291C"/>
    <w:rsid w:val="000E120E"/>
    <w:rsid w:val="000E5A54"/>
    <w:rsid w:val="000E63D3"/>
    <w:rsid w:val="000E67CF"/>
    <w:rsid w:val="000F4C1D"/>
    <w:rsid w:val="0010461E"/>
    <w:rsid w:val="00106FAA"/>
    <w:rsid w:val="00113443"/>
    <w:rsid w:val="001269A7"/>
    <w:rsid w:val="00131092"/>
    <w:rsid w:val="00133AB9"/>
    <w:rsid w:val="00140E6A"/>
    <w:rsid w:val="001442F9"/>
    <w:rsid w:val="00146545"/>
    <w:rsid w:val="00146B75"/>
    <w:rsid w:val="0015266D"/>
    <w:rsid w:val="0015288A"/>
    <w:rsid w:val="00160F47"/>
    <w:rsid w:val="00167A6B"/>
    <w:rsid w:val="00177CA1"/>
    <w:rsid w:val="00183823"/>
    <w:rsid w:val="00183942"/>
    <w:rsid w:val="00197BBE"/>
    <w:rsid w:val="001A009E"/>
    <w:rsid w:val="001A1287"/>
    <w:rsid w:val="001A3859"/>
    <w:rsid w:val="001A3C9D"/>
    <w:rsid w:val="001A43F8"/>
    <w:rsid w:val="001B79E5"/>
    <w:rsid w:val="001C3462"/>
    <w:rsid w:val="001D56F0"/>
    <w:rsid w:val="001D663B"/>
    <w:rsid w:val="001D7B41"/>
    <w:rsid w:val="001E46DA"/>
    <w:rsid w:val="001E7D80"/>
    <w:rsid w:val="001F22FA"/>
    <w:rsid w:val="001F4B6C"/>
    <w:rsid w:val="001F62CB"/>
    <w:rsid w:val="001F6ED0"/>
    <w:rsid w:val="001F72E6"/>
    <w:rsid w:val="001F73C5"/>
    <w:rsid w:val="002046A6"/>
    <w:rsid w:val="00204956"/>
    <w:rsid w:val="00213640"/>
    <w:rsid w:val="00215964"/>
    <w:rsid w:val="002205CD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293B"/>
    <w:rsid w:val="002B1A2C"/>
    <w:rsid w:val="002B6218"/>
    <w:rsid w:val="002C0CB6"/>
    <w:rsid w:val="002C34F2"/>
    <w:rsid w:val="002C58FF"/>
    <w:rsid w:val="002C7AFE"/>
    <w:rsid w:val="002D05D2"/>
    <w:rsid w:val="002E0D61"/>
    <w:rsid w:val="002E4C7B"/>
    <w:rsid w:val="002F6D93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65A5"/>
    <w:rsid w:val="00347192"/>
    <w:rsid w:val="0034744C"/>
    <w:rsid w:val="003478B7"/>
    <w:rsid w:val="00351FE0"/>
    <w:rsid w:val="00352615"/>
    <w:rsid w:val="0035412B"/>
    <w:rsid w:val="003567A8"/>
    <w:rsid w:val="00362895"/>
    <w:rsid w:val="003629D8"/>
    <w:rsid w:val="00366021"/>
    <w:rsid w:val="00370DBF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42BB"/>
    <w:rsid w:val="00416A2C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1673"/>
    <w:rsid w:val="00472A11"/>
    <w:rsid w:val="00472AAD"/>
    <w:rsid w:val="00474E33"/>
    <w:rsid w:val="00476803"/>
    <w:rsid w:val="00485BFD"/>
    <w:rsid w:val="004867A2"/>
    <w:rsid w:val="004873F2"/>
    <w:rsid w:val="00490D4C"/>
    <w:rsid w:val="00492726"/>
    <w:rsid w:val="00493A35"/>
    <w:rsid w:val="0049527A"/>
    <w:rsid w:val="004966BF"/>
    <w:rsid w:val="00497984"/>
    <w:rsid w:val="004A0487"/>
    <w:rsid w:val="004A25C0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1FD4"/>
    <w:rsid w:val="00512E94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81055"/>
    <w:rsid w:val="00591E38"/>
    <w:rsid w:val="005968E4"/>
    <w:rsid w:val="005A19C5"/>
    <w:rsid w:val="005A3034"/>
    <w:rsid w:val="005A462D"/>
    <w:rsid w:val="005A7408"/>
    <w:rsid w:val="005B253B"/>
    <w:rsid w:val="005B771D"/>
    <w:rsid w:val="005C5D16"/>
    <w:rsid w:val="005D3193"/>
    <w:rsid w:val="005D4A6E"/>
    <w:rsid w:val="005E4CA6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63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A0F"/>
    <w:rsid w:val="00717D45"/>
    <w:rsid w:val="007208F7"/>
    <w:rsid w:val="007218AF"/>
    <w:rsid w:val="007365D1"/>
    <w:rsid w:val="00740E0E"/>
    <w:rsid w:val="00745A15"/>
    <w:rsid w:val="00750212"/>
    <w:rsid w:val="00754779"/>
    <w:rsid w:val="0075716D"/>
    <w:rsid w:val="00765F14"/>
    <w:rsid w:val="00770E31"/>
    <w:rsid w:val="007770F1"/>
    <w:rsid w:val="00783FB1"/>
    <w:rsid w:val="00785CDD"/>
    <w:rsid w:val="007876E2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49DE"/>
    <w:rsid w:val="0084508E"/>
    <w:rsid w:val="00857A8A"/>
    <w:rsid w:val="008630EE"/>
    <w:rsid w:val="00864D13"/>
    <w:rsid w:val="00870F56"/>
    <w:rsid w:val="00871CD5"/>
    <w:rsid w:val="008734B9"/>
    <w:rsid w:val="008745A2"/>
    <w:rsid w:val="008768A8"/>
    <w:rsid w:val="0088798F"/>
    <w:rsid w:val="00887E4B"/>
    <w:rsid w:val="008915C8"/>
    <w:rsid w:val="008A3032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44FC"/>
    <w:rsid w:val="008F4EAB"/>
    <w:rsid w:val="008F5DCD"/>
    <w:rsid w:val="008F5FCF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532D"/>
    <w:rsid w:val="0093760E"/>
    <w:rsid w:val="00944D3A"/>
    <w:rsid w:val="00946044"/>
    <w:rsid w:val="0094626D"/>
    <w:rsid w:val="0094660B"/>
    <w:rsid w:val="00946A33"/>
    <w:rsid w:val="0095260E"/>
    <w:rsid w:val="009578DD"/>
    <w:rsid w:val="00961124"/>
    <w:rsid w:val="009621B6"/>
    <w:rsid w:val="009708A9"/>
    <w:rsid w:val="00974F2D"/>
    <w:rsid w:val="00977524"/>
    <w:rsid w:val="00977E88"/>
    <w:rsid w:val="00984920"/>
    <w:rsid w:val="0099303A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2499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77208"/>
    <w:rsid w:val="00A84504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1FAB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79A9"/>
    <w:rsid w:val="00B52EDF"/>
    <w:rsid w:val="00B71188"/>
    <w:rsid w:val="00B7174E"/>
    <w:rsid w:val="00B76A41"/>
    <w:rsid w:val="00B816EA"/>
    <w:rsid w:val="00B87D4C"/>
    <w:rsid w:val="00B93646"/>
    <w:rsid w:val="00BA0B38"/>
    <w:rsid w:val="00BA1DBB"/>
    <w:rsid w:val="00BA4510"/>
    <w:rsid w:val="00BA529A"/>
    <w:rsid w:val="00BB612A"/>
    <w:rsid w:val="00BD499F"/>
    <w:rsid w:val="00BD4DCC"/>
    <w:rsid w:val="00BD56DE"/>
    <w:rsid w:val="00BF2406"/>
    <w:rsid w:val="00BF24FB"/>
    <w:rsid w:val="00BF5F3B"/>
    <w:rsid w:val="00C06E43"/>
    <w:rsid w:val="00C16315"/>
    <w:rsid w:val="00C3091E"/>
    <w:rsid w:val="00C40FF1"/>
    <w:rsid w:val="00C419E2"/>
    <w:rsid w:val="00C4525A"/>
    <w:rsid w:val="00C5020E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D3ED2"/>
    <w:rsid w:val="00CE5AD6"/>
    <w:rsid w:val="00CE617F"/>
    <w:rsid w:val="00CE78EF"/>
    <w:rsid w:val="00D048F7"/>
    <w:rsid w:val="00D0517E"/>
    <w:rsid w:val="00D140FC"/>
    <w:rsid w:val="00D17D2A"/>
    <w:rsid w:val="00D21D8C"/>
    <w:rsid w:val="00D31357"/>
    <w:rsid w:val="00D33220"/>
    <w:rsid w:val="00D334D1"/>
    <w:rsid w:val="00D44C89"/>
    <w:rsid w:val="00D45DA5"/>
    <w:rsid w:val="00D516CD"/>
    <w:rsid w:val="00D64ECE"/>
    <w:rsid w:val="00D668E6"/>
    <w:rsid w:val="00D70670"/>
    <w:rsid w:val="00D74D80"/>
    <w:rsid w:val="00D755B6"/>
    <w:rsid w:val="00D76624"/>
    <w:rsid w:val="00D87570"/>
    <w:rsid w:val="00D9176C"/>
    <w:rsid w:val="00D91CB9"/>
    <w:rsid w:val="00D9546D"/>
    <w:rsid w:val="00D97989"/>
    <w:rsid w:val="00D97D8D"/>
    <w:rsid w:val="00DA352E"/>
    <w:rsid w:val="00DA4934"/>
    <w:rsid w:val="00DB013F"/>
    <w:rsid w:val="00DB0D9F"/>
    <w:rsid w:val="00DC7694"/>
    <w:rsid w:val="00DD1BF6"/>
    <w:rsid w:val="00DD2F9B"/>
    <w:rsid w:val="00DE2513"/>
    <w:rsid w:val="00DE26E8"/>
    <w:rsid w:val="00DF6F36"/>
    <w:rsid w:val="00E0084C"/>
    <w:rsid w:val="00E025AB"/>
    <w:rsid w:val="00E02B23"/>
    <w:rsid w:val="00E06F40"/>
    <w:rsid w:val="00E07CE8"/>
    <w:rsid w:val="00E1412C"/>
    <w:rsid w:val="00E206D7"/>
    <w:rsid w:val="00E239AA"/>
    <w:rsid w:val="00E26486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6077"/>
    <w:rsid w:val="00EA0A06"/>
    <w:rsid w:val="00EA6243"/>
    <w:rsid w:val="00EA74AB"/>
    <w:rsid w:val="00EB3D1B"/>
    <w:rsid w:val="00EC5516"/>
    <w:rsid w:val="00ED1D89"/>
    <w:rsid w:val="00ED46A6"/>
    <w:rsid w:val="00ED66BC"/>
    <w:rsid w:val="00EF0D45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491C"/>
    <w:rsid w:val="00F6633E"/>
    <w:rsid w:val="00F67BBB"/>
    <w:rsid w:val="00F87D92"/>
    <w:rsid w:val="00F90AA7"/>
    <w:rsid w:val="00F92498"/>
    <w:rsid w:val="00F9496B"/>
    <w:rsid w:val="00F970C9"/>
    <w:rsid w:val="00FA06A8"/>
    <w:rsid w:val="00FA0C83"/>
    <w:rsid w:val="00FA3DF5"/>
    <w:rsid w:val="00FA741F"/>
    <w:rsid w:val="00FB4E07"/>
    <w:rsid w:val="00FB5989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7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E1412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1412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1412C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41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412C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167A6B"/>
    <w:pPr>
      <w:numPr>
        <w:numId w:val="2"/>
      </w:numPr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5E4CA6"/>
  </w:style>
  <w:style w:type="character" w:customStyle="1" w:styleId="BodyTextChar">
    <w:name w:val="Body Text Char"/>
    <w:basedOn w:val="DefaultParagraphFont"/>
    <w:link w:val="BodyText"/>
    <w:uiPriority w:val="99"/>
    <w:rsid w:val="005E4CA6"/>
  </w:style>
  <w:style w:type="paragraph" w:styleId="Revision">
    <w:name w:val="Revision"/>
    <w:hidden/>
    <w:uiPriority w:val="99"/>
    <w:semiHidden/>
    <w:rsid w:val="001442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1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FFDE270CB50461B826B0194984892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D30F8-F751-45C7-BEFB-A7D3397CEB99}"/>
      </w:docPartPr>
      <w:docPartBody>
        <w:p w:rsidR="00D21A9F" w:rsidRDefault="00D21A9F">
          <w:pPr>
            <w:pStyle w:val="CFFDE270CB50461B826B0194984892C5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79EEC25B55C4D1DA07532949A983A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6F54A2-739E-4CA9-AE33-3C8EFE8D7A40}"/>
      </w:docPartPr>
      <w:docPartBody>
        <w:p w:rsidR="008220DB" w:rsidRDefault="00D07DF5" w:rsidP="00D07DF5">
          <w:pPr>
            <w:pStyle w:val="779EEC25B55C4D1DA07532949A983A27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12CB0415AECF4B8FBFC578FCE471B1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B7D3C-A663-45F4-BDBC-AFE6A123A1EC}"/>
      </w:docPartPr>
      <w:docPartBody>
        <w:p w:rsidR="005E33FF" w:rsidRDefault="009C5F49" w:rsidP="009C5F49">
          <w:pPr>
            <w:pStyle w:val="12CB0415AECF4B8FBFC578FCE471B1EC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1E5C5C"/>
    <w:rsid w:val="005E33FF"/>
    <w:rsid w:val="008220DB"/>
    <w:rsid w:val="0091080E"/>
    <w:rsid w:val="0093532D"/>
    <w:rsid w:val="009C5F49"/>
    <w:rsid w:val="00D07DF5"/>
    <w:rsid w:val="00D2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5F4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CFFDE270CB50461B826B0194984892C5">
    <w:name w:val="CFFDE270CB50461B826B0194984892C5"/>
  </w:style>
  <w:style w:type="paragraph" w:customStyle="1" w:styleId="0168237C60E6479CAFA3D9A1A8409B78">
    <w:name w:val="0168237C60E6479CAFA3D9A1A8409B7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79EEC25B55C4D1DA07532949A983A27">
    <w:name w:val="779EEC25B55C4D1DA07532949A983A27"/>
    <w:rsid w:val="00D07DF5"/>
    <w:rPr>
      <w:lang w:val="en-US" w:eastAsia="en-US"/>
    </w:rPr>
  </w:style>
  <w:style w:type="paragraph" w:customStyle="1" w:styleId="12CB0415AECF4B8FBFC578FCE471B1EC">
    <w:name w:val="12CB0415AECF4B8FBFC578FCE471B1EC"/>
    <w:rsid w:val="009C5F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469984-5E69-49FB-90AC-1E373A98910F}"/>
</file>

<file path=customXml/itemProps2.xml><?xml version="1.0" encoding="utf-8"?>
<ds:datastoreItem xmlns:ds="http://schemas.openxmlformats.org/officeDocument/2006/customXml" ds:itemID="{2724BC76-CBCA-4BB1-8DA5-89830230A2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9A520A-5300-402D-AB87-A540B3F4812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5EE72E-E06D-444A-BD3D-E789808C7611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2019-10-10T03:13:00Z</dcterms:created>
  <dcterms:modified xsi:type="dcterms:W3CDTF">2025-12-22T03:39:00Z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2025-12-22T03:39:33Z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23d186e8-5816-4ed1-aa3d-d666082642ad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