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35271DCB" w14:textId="262D9D1F" w:rsidR="00BD499F" w:rsidRPr="004C23F4" w:rsidRDefault="00484257" w:rsidP="00B40C60">
          <w:pPr>
            <w:pStyle w:val="Heading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1,3-Dichloro-5,5-dimethyl hydantoin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86"/>
        <w:gridCol w:w="5040"/>
      </w:tblGrid>
      <w:tr w:rsidR="00F43AD5" w:rsidRPr="004C23F4" w14:paraId="7FC0A19B" w14:textId="77777777" w:rsidTr="00B76A41">
        <w:trPr>
          <w:cantSplit/>
          <w:tblHeader/>
        </w:trPr>
        <w:tc>
          <w:tcPr>
            <w:tcW w:w="4077" w:type="dxa"/>
          </w:tcPr>
          <w:p w14:paraId="38AEBEDA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22DC7D53" w14:textId="7E92628B" w:rsidR="00F43AD5" w:rsidRPr="00717D45" w:rsidRDefault="00B564A1" w:rsidP="00B76A41">
            <w:pPr>
              <w:pStyle w:val="Tablefont"/>
            </w:pPr>
            <w:r w:rsidRPr="00B564A1">
              <w:t>118-52-5</w:t>
            </w:r>
          </w:p>
        </w:tc>
      </w:tr>
      <w:tr w:rsidR="00F43AD5" w:rsidRPr="004C23F4" w14:paraId="52FE3B43" w14:textId="77777777" w:rsidTr="00B76A41">
        <w:trPr>
          <w:cantSplit/>
        </w:trPr>
        <w:tc>
          <w:tcPr>
            <w:tcW w:w="4077" w:type="dxa"/>
          </w:tcPr>
          <w:p w14:paraId="1C04A9F4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79F8A5D1" w14:textId="17399126" w:rsidR="00F43AD5" w:rsidRPr="00717D45" w:rsidRDefault="000E6D69" w:rsidP="00B76A41">
            <w:pPr>
              <w:pStyle w:val="Tablefont"/>
            </w:pPr>
            <w:r>
              <w:t xml:space="preserve">Dactin, DCDMH, </w:t>
            </w:r>
            <w:r w:rsidR="00264AB7">
              <w:t>halane</w:t>
            </w:r>
          </w:p>
        </w:tc>
      </w:tr>
      <w:tr w:rsidR="00F43AD5" w:rsidRPr="004C23F4" w14:paraId="7C0941E2" w14:textId="77777777" w:rsidTr="00B76A41">
        <w:trPr>
          <w:cantSplit/>
        </w:trPr>
        <w:tc>
          <w:tcPr>
            <w:tcW w:w="4077" w:type="dxa"/>
          </w:tcPr>
          <w:p w14:paraId="7E344863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36C9F002" w14:textId="2F59FFCB" w:rsidR="00F43AD5" w:rsidRPr="00717D45" w:rsidRDefault="000E6D69" w:rsidP="00B76A41">
            <w:pPr>
              <w:pStyle w:val="Tablefont"/>
            </w:pPr>
            <w:r>
              <w:t>C</w:t>
            </w:r>
            <w:r w:rsidRPr="000E6D69">
              <w:rPr>
                <w:vertAlign w:val="subscript"/>
              </w:rPr>
              <w:t>5</w:t>
            </w:r>
            <w:r>
              <w:t>H</w:t>
            </w:r>
            <w:r w:rsidRPr="000E6D69">
              <w:rPr>
                <w:vertAlign w:val="subscript"/>
              </w:rPr>
              <w:t>6</w:t>
            </w:r>
            <w:r>
              <w:t>Cl</w:t>
            </w:r>
            <w:r w:rsidRPr="000E6D69">
              <w:rPr>
                <w:vertAlign w:val="subscript"/>
              </w:rPr>
              <w:t>2</w:t>
            </w:r>
            <w:r>
              <w:t>N</w:t>
            </w:r>
            <w:r w:rsidRPr="000E6D69">
              <w:rPr>
                <w:vertAlign w:val="subscript"/>
              </w:rPr>
              <w:t>2</w:t>
            </w:r>
            <w:r>
              <w:t>O</w:t>
            </w:r>
            <w:r w:rsidRPr="000E6D69">
              <w:rPr>
                <w:vertAlign w:val="subscript"/>
              </w:rPr>
              <w:t>2</w:t>
            </w:r>
          </w:p>
        </w:tc>
      </w:tr>
      <w:tr w:rsidR="00F43AD5" w:rsidRPr="004C23F4" w14:paraId="253F7C36" w14:textId="77777777" w:rsidTr="00B76A41">
        <w:trPr>
          <w:cantSplit/>
        </w:trPr>
        <w:tc>
          <w:tcPr>
            <w:tcW w:w="4077" w:type="dxa"/>
          </w:tcPr>
          <w:p w14:paraId="0A316E0C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2557680D" w14:textId="6D709A5B" w:rsidR="00F43AD5" w:rsidRPr="00264AB7" w:rsidRDefault="000E6D69" w:rsidP="00B76A41">
            <w:pPr>
              <w:pStyle w:val="Tablerowheading"/>
              <w:rPr>
                <w:b w:val="0"/>
              </w:rPr>
            </w:pPr>
            <w:r w:rsidRPr="007403EA">
              <w:rPr>
                <w:b w:val="0"/>
              </w:rPr>
              <w:t>—</w:t>
            </w:r>
          </w:p>
        </w:tc>
      </w:tr>
    </w:tbl>
    <w:p w14:paraId="0F8CF405" w14:textId="3A1CA1C1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2A27CD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0DD11D57" w14:textId="77777777" w:rsidTr="008360A2">
        <w:trPr>
          <w:cantSplit/>
          <w:tblHeader/>
        </w:trPr>
        <w:tc>
          <w:tcPr>
            <w:tcW w:w="3997" w:type="dxa"/>
            <w:vAlign w:val="center"/>
          </w:tcPr>
          <w:p w14:paraId="2D7A1379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9" w:type="dxa"/>
          </w:tcPr>
          <w:p w14:paraId="3F49D084" w14:textId="53F36227" w:rsidR="002C7AFE" w:rsidRPr="00EB3D1B" w:rsidRDefault="000E336F" w:rsidP="00017C82">
            <w:pPr>
              <w:pStyle w:val="Tablefont"/>
              <w:rPr>
                <w:b/>
              </w:rPr>
            </w:pPr>
            <w:r w:rsidRPr="000E336F">
              <w:rPr>
                <w:b/>
              </w:rPr>
              <w:t>0.2 mg/m</w:t>
            </w:r>
            <w:r w:rsidRPr="000E336F">
              <w:rPr>
                <w:b/>
                <w:vertAlign w:val="superscript"/>
              </w:rPr>
              <w:t>3</w:t>
            </w:r>
          </w:p>
        </w:tc>
      </w:tr>
      <w:tr w:rsidR="002C7AFE" w:rsidRPr="004C23F4" w14:paraId="14194536" w14:textId="77777777" w:rsidTr="008360A2">
        <w:trPr>
          <w:cantSplit/>
        </w:trPr>
        <w:tc>
          <w:tcPr>
            <w:tcW w:w="3997" w:type="dxa"/>
            <w:vAlign w:val="center"/>
          </w:tcPr>
          <w:p w14:paraId="2A5F4DBA" w14:textId="77777777" w:rsidR="002C7AFE" w:rsidRPr="002C58FF" w:rsidRDefault="002C7AFE" w:rsidP="00921DE7">
            <w:pPr>
              <w:pStyle w:val="Tablerowright"/>
            </w:pPr>
            <w:r w:rsidRPr="0037634F">
              <w:t>STEL</w:t>
            </w:r>
            <w:r w:rsidR="00921DE7" w:rsidRPr="0037634F">
              <w:t>:</w:t>
            </w:r>
          </w:p>
        </w:tc>
        <w:tc>
          <w:tcPr>
            <w:tcW w:w="5029" w:type="dxa"/>
          </w:tcPr>
          <w:p w14:paraId="2535981D" w14:textId="19511608" w:rsidR="002C7AFE" w:rsidRPr="00EB3D1B" w:rsidRDefault="0037634F" w:rsidP="00017C82">
            <w:pPr>
              <w:pStyle w:val="Tablefont"/>
              <w:rPr>
                <w:b/>
              </w:rPr>
            </w:pPr>
            <w:r w:rsidRPr="000E336F">
              <w:rPr>
                <w:b/>
              </w:rPr>
              <w:t>0.</w:t>
            </w:r>
            <w:r>
              <w:rPr>
                <w:b/>
              </w:rPr>
              <w:t>4</w:t>
            </w:r>
            <w:r w:rsidRPr="000E336F">
              <w:rPr>
                <w:b/>
              </w:rPr>
              <w:t xml:space="preserve"> mg/m</w:t>
            </w:r>
            <w:r w:rsidRPr="000E336F">
              <w:rPr>
                <w:b/>
                <w:vertAlign w:val="superscript"/>
              </w:rPr>
              <w:t>3</w:t>
            </w:r>
          </w:p>
        </w:tc>
      </w:tr>
      <w:tr w:rsidR="002C7AFE" w:rsidRPr="004C23F4" w14:paraId="5F0BEAE7" w14:textId="77777777" w:rsidTr="008360A2">
        <w:trPr>
          <w:cantSplit/>
        </w:trPr>
        <w:tc>
          <w:tcPr>
            <w:tcW w:w="3997" w:type="dxa"/>
            <w:vAlign w:val="center"/>
          </w:tcPr>
          <w:p w14:paraId="2880F6B2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9" w:type="dxa"/>
          </w:tcPr>
          <w:p w14:paraId="7684C87A" w14:textId="03435FE2" w:rsidR="002C7AFE" w:rsidRPr="00EB3D1B" w:rsidRDefault="001605BC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14681F03" w14:textId="77777777" w:rsidTr="008360A2">
        <w:trPr>
          <w:cantSplit/>
        </w:trPr>
        <w:tc>
          <w:tcPr>
            <w:tcW w:w="3997" w:type="dxa"/>
          </w:tcPr>
          <w:p w14:paraId="673F800D" w14:textId="77777777" w:rsidR="002C7AFE" w:rsidRPr="00FA387F" w:rsidRDefault="00A2073D" w:rsidP="003241A8">
            <w:pPr>
              <w:pStyle w:val="Tablerowright"/>
            </w:pPr>
            <w:r w:rsidRPr="00FA387F">
              <w:rPr>
                <w:b w:val="0"/>
                <w:bCs/>
                <w:color w:val="000000" w:themeColor="text1"/>
              </w:rPr>
              <w:tab/>
            </w:r>
            <w:r w:rsidR="00921DE7" w:rsidRPr="00FA387F">
              <w:t>Notations:</w:t>
            </w:r>
          </w:p>
        </w:tc>
        <w:tc>
          <w:tcPr>
            <w:tcW w:w="5029" w:type="dxa"/>
          </w:tcPr>
          <w:p w14:paraId="0A204E4A" w14:textId="4BDA3083" w:rsidR="002C7AFE" w:rsidRPr="007403EA" w:rsidRDefault="007403EA" w:rsidP="008A36CF">
            <w:pPr>
              <w:pStyle w:val="Tablefont"/>
              <w:rPr>
                <w:b/>
              </w:rPr>
            </w:pPr>
            <w:r w:rsidRPr="007403EA">
              <w:rPr>
                <w:b/>
              </w:rPr>
              <w:t>—</w:t>
            </w:r>
          </w:p>
        </w:tc>
      </w:tr>
      <w:tr w:rsidR="002C7AFE" w:rsidRPr="004C23F4" w14:paraId="55F419D2" w14:textId="77777777" w:rsidTr="008360A2">
        <w:trPr>
          <w:cantSplit/>
        </w:trPr>
        <w:tc>
          <w:tcPr>
            <w:tcW w:w="3997" w:type="dxa"/>
            <w:vAlign w:val="center"/>
          </w:tcPr>
          <w:p w14:paraId="797A7D6B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9" w:type="dxa"/>
          </w:tcPr>
          <w:p w14:paraId="6B2A6F13" w14:textId="129E8564" w:rsidR="002C7AFE" w:rsidRPr="00EB3D1B" w:rsidRDefault="000E6D69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5 mg/m</w:t>
            </w:r>
            <w:r w:rsidRPr="000E6D69">
              <w:rPr>
                <w:b/>
                <w:vertAlign w:val="superscript"/>
              </w:rPr>
              <w:t>3</w:t>
            </w:r>
          </w:p>
        </w:tc>
      </w:tr>
      <w:tr w:rsidR="008360A2" w:rsidRPr="004C23F4" w14:paraId="2E32288B" w14:textId="77777777" w:rsidTr="002057F6">
        <w:trPr>
          <w:cantSplit/>
        </w:trPr>
        <w:tc>
          <w:tcPr>
            <w:tcW w:w="9026" w:type="dxa"/>
            <w:gridSpan w:val="2"/>
            <w:vAlign w:val="center"/>
          </w:tcPr>
          <w:p w14:paraId="6B260F9F" w14:textId="0DE1793F" w:rsidR="008360A2" w:rsidRPr="00E95B7B" w:rsidRDefault="008360A2" w:rsidP="008360A2">
            <w:pPr>
              <w:pStyle w:val="Tablefont"/>
            </w:pPr>
            <w:r w:rsidRPr="00DD0432">
              <w:rPr>
                <w:b/>
              </w:rPr>
              <w:t>Sampling and analysis</w:t>
            </w:r>
            <w:r>
              <w:t>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9E9AB9ABB6FE4627B855B4730D9E7129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DD0432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554A37FC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1B529012" w14:textId="5B303ED0" w:rsidR="006639B4" w:rsidRPr="00782D21" w:rsidRDefault="00782D21" w:rsidP="000C139A">
      <w:pPr>
        <w:rPr>
          <w:rFonts w:cs="Arial"/>
        </w:rPr>
      </w:pPr>
      <w:r>
        <w:rPr>
          <w:rFonts w:cs="Arial"/>
        </w:rPr>
        <w:t>A TWA of 0.2 mg/m</w:t>
      </w:r>
      <w:r>
        <w:rPr>
          <w:rFonts w:cs="Arial"/>
          <w:vertAlign w:val="superscript"/>
        </w:rPr>
        <w:t>3</w:t>
      </w:r>
      <w:r>
        <w:rPr>
          <w:rFonts w:cs="Arial"/>
        </w:rPr>
        <w:t xml:space="preserve"> is </w:t>
      </w:r>
      <w:r w:rsidR="00716328">
        <w:rPr>
          <w:rFonts w:cs="Arial"/>
        </w:rPr>
        <w:t>recommended</w:t>
      </w:r>
      <w:r>
        <w:rPr>
          <w:rFonts w:cs="Arial"/>
        </w:rPr>
        <w:t xml:space="preserve"> to protect for irritant effects in exposed workers.</w:t>
      </w:r>
    </w:p>
    <w:p w14:paraId="496DCDFE" w14:textId="77777777" w:rsidR="00C7155E" w:rsidRPr="004C23F4" w:rsidRDefault="00F10C97" w:rsidP="003365A5">
      <w:pPr>
        <w:pStyle w:val="Heading2"/>
      </w:pPr>
      <w:r>
        <w:t>Discussion and conclusions</w:t>
      </w:r>
    </w:p>
    <w:p w14:paraId="17A5DFEE" w14:textId="77777777" w:rsidR="00DD0432" w:rsidRDefault="00CE10C7" w:rsidP="006639B4">
      <w:r>
        <w:rPr>
          <w:rFonts w:cs="Arial"/>
        </w:rPr>
        <w:t>1,3-Dichloro-5,5-dimethyl</w:t>
      </w:r>
      <w:r w:rsidR="00484257">
        <w:rPr>
          <w:rFonts w:cs="Arial"/>
        </w:rPr>
        <w:t xml:space="preserve"> </w:t>
      </w:r>
      <w:r>
        <w:rPr>
          <w:rFonts w:cs="Arial"/>
        </w:rPr>
        <w:t xml:space="preserve">hydantoin (DCDMH) is used as </w:t>
      </w:r>
      <w:r>
        <w:t>a chlorinating agent, as an intermediate for amin</w:t>
      </w:r>
      <w:r w:rsidR="00C5637F">
        <w:t>o acids, drugs and insecticides</w:t>
      </w:r>
      <w:r>
        <w:t xml:space="preserve"> and </w:t>
      </w:r>
      <w:r w:rsidR="00B52744">
        <w:t xml:space="preserve">as a </w:t>
      </w:r>
      <w:r>
        <w:t>stabiliser for vinyl chloride polymers</w:t>
      </w:r>
      <w:r w:rsidR="002D114D">
        <w:t xml:space="preserve">. </w:t>
      </w:r>
    </w:p>
    <w:p w14:paraId="14845FBE" w14:textId="4C87FA9B" w:rsidR="006639B4" w:rsidRPr="00B336BF" w:rsidRDefault="002D114D" w:rsidP="006639B4">
      <w:r>
        <w:t xml:space="preserve">Limited </w:t>
      </w:r>
      <w:r w:rsidR="002E0DD4">
        <w:t>evidence in</w:t>
      </w:r>
      <w:r>
        <w:t xml:space="preserve"> human</w:t>
      </w:r>
      <w:r w:rsidR="002E0DD4">
        <w:t xml:space="preserve">s indicates </w:t>
      </w:r>
      <w:r w:rsidR="00F22A86">
        <w:t>a single exposure exceeding 0.2 mg/m</w:t>
      </w:r>
      <w:r w:rsidR="00F22A86">
        <w:rPr>
          <w:vertAlign w:val="superscript"/>
        </w:rPr>
        <w:t>3</w:t>
      </w:r>
      <w:r w:rsidR="002E0DD4">
        <w:t xml:space="preserve"> is irritating to the respiratory tract</w:t>
      </w:r>
      <w:r w:rsidR="00B336BF">
        <w:t xml:space="preserve">. </w:t>
      </w:r>
      <w:r w:rsidR="00DB37D6">
        <w:t>Limited data from</w:t>
      </w:r>
      <w:r w:rsidR="00B336BF">
        <w:t xml:space="preserve"> animal</w:t>
      </w:r>
      <w:r w:rsidR="00F22A86">
        <w:t xml:space="preserve"> studies</w:t>
      </w:r>
      <w:r w:rsidR="00B336BF">
        <w:t xml:space="preserve"> </w:t>
      </w:r>
      <w:r w:rsidR="00F22A86">
        <w:t>indicate</w:t>
      </w:r>
      <w:r w:rsidR="00DB37D6">
        <w:t xml:space="preserve"> some skin and eye irritation in rabbits at 600 ppm (HCOTN, 2002).</w:t>
      </w:r>
    </w:p>
    <w:p w14:paraId="3CD9D3F8" w14:textId="4D470884" w:rsidR="00586A78" w:rsidRPr="002E0DD4" w:rsidRDefault="00586A78" w:rsidP="006639B4">
      <w:pPr>
        <w:rPr>
          <w:rFonts w:cs="Arial"/>
        </w:rPr>
      </w:pPr>
      <w:r w:rsidRPr="00176B16">
        <w:t>The current TWA</w:t>
      </w:r>
      <w:r>
        <w:t xml:space="preserve"> </w:t>
      </w:r>
      <w:r w:rsidR="005D7EB5">
        <w:t xml:space="preserve">is recommended based on the single exposure evidence presented above. The </w:t>
      </w:r>
      <w:r>
        <w:t xml:space="preserve">STEL </w:t>
      </w:r>
      <w:r w:rsidR="005D7EB5">
        <w:t>is</w:t>
      </w:r>
      <w:r>
        <w:t xml:space="preserve"> </w:t>
      </w:r>
      <w:r w:rsidRPr="00176B16">
        <w:t xml:space="preserve">recommended </w:t>
      </w:r>
      <w:r w:rsidR="00DD0432">
        <w:t>to provide</w:t>
      </w:r>
      <w:r w:rsidR="005D7EB5">
        <w:t xml:space="preserve"> further precaution due to the lack of data. This is supported by</w:t>
      </w:r>
      <w:r w:rsidR="00C5637F">
        <w:t xml:space="preserve"> </w:t>
      </w:r>
      <w:r w:rsidR="005D7EB5">
        <w:t xml:space="preserve">the ACGIH </w:t>
      </w:r>
      <w:r w:rsidR="00DB5435">
        <w:t xml:space="preserve">recommendation </w:t>
      </w:r>
      <w:r w:rsidR="005D7EB5">
        <w:t xml:space="preserve">(2018) and </w:t>
      </w:r>
      <w:r w:rsidRPr="00176B16">
        <w:t xml:space="preserve">evidence from </w:t>
      </w:r>
      <w:r w:rsidR="005D7EB5">
        <w:t xml:space="preserve">the </w:t>
      </w:r>
      <w:r>
        <w:t>HCOTN (2002</w:t>
      </w:r>
      <w:r w:rsidRPr="00176B16">
        <w:t>)</w:t>
      </w:r>
      <w:r>
        <w:t xml:space="preserve"> to limit irritation.</w:t>
      </w:r>
    </w:p>
    <w:p w14:paraId="3559C707" w14:textId="77777777" w:rsidR="004529F0" w:rsidRPr="007403EA" w:rsidRDefault="004529F0" w:rsidP="004529F0">
      <w:pPr>
        <w:pStyle w:val="Heading2"/>
      </w:pPr>
      <w:r w:rsidRPr="007403EA">
        <w:t>Recommendation for notations</w:t>
      </w:r>
    </w:p>
    <w:p w14:paraId="00B70AC0" w14:textId="2E8F57BF" w:rsidR="000E6D69" w:rsidRPr="000E6D69" w:rsidRDefault="007403EA" w:rsidP="000E6D69">
      <w:pPr>
        <w:rPr>
          <w:rFonts w:cs="Arial"/>
        </w:rPr>
      </w:pPr>
      <w:r w:rsidRPr="007403EA">
        <w:rPr>
          <w:rFonts w:cs="Arial"/>
        </w:rPr>
        <w:t>Not c</w:t>
      </w:r>
      <w:r w:rsidR="000E6D69" w:rsidRPr="007403EA">
        <w:rPr>
          <w:rFonts w:cs="Arial"/>
        </w:rPr>
        <w:t>lassified as a carcinogen</w:t>
      </w:r>
      <w:r w:rsidR="00C05937" w:rsidRPr="007403EA">
        <w:rPr>
          <w:rFonts w:cs="Arial"/>
        </w:rPr>
        <w:t xml:space="preserve"> </w:t>
      </w:r>
      <w:r w:rsidR="000E6D69" w:rsidRPr="007403EA">
        <w:rPr>
          <w:rFonts w:cs="Arial"/>
        </w:rPr>
        <w:t>according to the Globally</w:t>
      </w:r>
      <w:r w:rsidR="000E6D69" w:rsidRPr="000E6D69">
        <w:rPr>
          <w:rFonts w:cs="Arial"/>
        </w:rPr>
        <w:t xml:space="preserve"> Harmonized System of Classification and Labelling o</w:t>
      </w:r>
      <w:r w:rsidR="00C5637F">
        <w:rPr>
          <w:rFonts w:cs="Arial"/>
        </w:rPr>
        <w:t>f</w:t>
      </w:r>
      <w:r w:rsidR="000E6D69" w:rsidRPr="000E6D69">
        <w:rPr>
          <w:rFonts w:cs="Arial"/>
        </w:rPr>
        <w:t xml:space="preserve"> Chemicals (GHS). </w:t>
      </w:r>
    </w:p>
    <w:p w14:paraId="09240C9E" w14:textId="2F8B4655" w:rsidR="000E6D69" w:rsidRPr="000E6D69" w:rsidRDefault="000E6D69" w:rsidP="000E6D69">
      <w:pPr>
        <w:rPr>
          <w:rFonts w:cs="Arial"/>
        </w:rPr>
      </w:pPr>
      <w:r w:rsidRPr="000E6D69">
        <w:rPr>
          <w:rFonts w:cs="Arial"/>
        </w:rPr>
        <w:t xml:space="preserve">Not classified as a skin </w:t>
      </w:r>
      <w:r w:rsidR="00DE2959">
        <w:rPr>
          <w:rFonts w:cs="Arial"/>
        </w:rPr>
        <w:t xml:space="preserve">sensitiser </w:t>
      </w:r>
      <w:r w:rsidRPr="000E6D69">
        <w:rPr>
          <w:rFonts w:cs="Arial"/>
        </w:rPr>
        <w:t>or respiratory sensitiser according to the GHS.</w:t>
      </w:r>
    </w:p>
    <w:p w14:paraId="22AEBA0B" w14:textId="69AF6016" w:rsidR="0025734A" w:rsidRPr="004C23F4" w:rsidRDefault="00335D4D" w:rsidP="000E6D69">
      <w:pPr>
        <w:rPr>
          <w:rFonts w:cs="Arial"/>
        </w:rPr>
      </w:pPr>
      <w:r>
        <w:rPr>
          <w:rFonts w:cs="Arial"/>
        </w:rPr>
        <w:t>There are i</w:t>
      </w:r>
      <w:r w:rsidR="000E6D69" w:rsidRPr="000E6D69">
        <w:rPr>
          <w:rFonts w:cs="Arial"/>
        </w:rPr>
        <w:t xml:space="preserve">nsufficient </w:t>
      </w:r>
      <w:r w:rsidR="00C5637F">
        <w:rPr>
          <w:rFonts w:cs="Arial"/>
        </w:rPr>
        <w:t>data</w:t>
      </w:r>
      <w:r w:rsidR="000E6D69" w:rsidRPr="000E6D69">
        <w:rPr>
          <w:rFonts w:cs="Arial"/>
        </w:rPr>
        <w:t xml:space="preserve"> to recommend a skin notation.</w:t>
      </w:r>
    </w:p>
    <w:p w14:paraId="0CF80072" w14:textId="77777777" w:rsidR="005E6979" w:rsidRPr="004C23F4" w:rsidRDefault="005E6979">
      <w:pPr>
        <w:rPr>
          <w:rFonts w:cs="Arial"/>
        </w:rPr>
        <w:sectPr w:rsidR="005E6979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</w:p>
    <w:p w14:paraId="2135D375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28FDF244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162074A5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3143EE79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6AF939E3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7627ABDD" w14:textId="38BB8B5A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2A27CD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0E6D69">
                  <w:t>TWA: 0.2 mg/m</w:t>
                </w:r>
                <w:r w:rsidR="000E6D69" w:rsidRPr="000E6D69">
                  <w:rPr>
                    <w:vertAlign w:val="superscript"/>
                  </w:rPr>
                  <w:t>3</w:t>
                </w:r>
                <w:r w:rsidR="000E6D69">
                  <w:t>; STEL: 0.4 mg/m</w:t>
                </w:r>
                <w:r w:rsidR="000E6D69" w:rsidRPr="000E6D69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79FD223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62EBC5D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171A051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F165724" w14:textId="4F0638C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2A27CD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0E6D69">
                  <w:t>TLV-TWA: 0.2 mg/m</w:t>
                </w:r>
                <w:r w:rsidR="000E6D69" w:rsidRPr="000E6D69">
                  <w:rPr>
                    <w:vertAlign w:val="superscript"/>
                  </w:rPr>
                  <w:t>3</w:t>
                </w:r>
                <w:r w:rsidR="000E6D69">
                  <w:t>; TLV-STEL: 0.4 mg/m</w:t>
                </w:r>
                <w:r w:rsidR="000E6D69" w:rsidRPr="000E6D69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C978F0" w:rsidRPr="00DA352E" w14:paraId="5AC94647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0C5F9B7" w14:textId="25E3375E" w:rsidR="00C978F0" w:rsidRDefault="00D46E55" w:rsidP="00484257">
            <w:pPr>
              <w:pStyle w:val="Tabletextprimarysource"/>
            </w:pPr>
            <w:r>
              <w:t>TLV-TWA recommended to minimise potential for respiratory tract irritation reported for a single human exposure case.</w:t>
            </w:r>
          </w:p>
          <w:p w14:paraId="11441A5E" w14:textId="0B30101B" w:rsidR="00C8018E" w:rsidRDefault="00C8018E">
            <w:pPr>
              <w:pStyle w:val="Tabletextprimarysource"/>
            </w:pPr>
            <w:r>
              <w:t>TLV-STEL recommended as an additional measure for exposure control.</w:t>
            </w:r>
          </w:p>
          <w:p w14:paraId="571957AB" w14:textId="77777777" w:rsidR="001C0564" w:rsidRDefault="001C0564">
            <w:pPr>
              <w:pStyle w:val="Tabletextprimarysource"/>
            </w:pPr>
            <w:r>
              <w:t>Summary of data:</w:t>
            </w:r>
          </w:p>
          <w:p w14:paraId="6ACB36B7" w14:textId="77777777" w:rsidR="001C0564" w:rsidRDefault="001C0564">
            <w:pPr>
              <w:pStyle w:val="Tabletextprimarysource"/>
            </w:pPr>
            <w:r>
              <w:t>Human data:</w:t>
            </w:r>
          </w:p>
          <w:p w14:paraId="5908FA73" w14:textId="2D0CD6E4" w:rsidR="007403EA" w:rsidRDefault="00567FFE" w:rsidP="00716328">
            <w:pPr>
              <w:pStyle w:val="ListBullet"/>
              <w:tabs>
                <w:tab w:val="clear" w:pos="360"/>
                <w:tab w:val="num" w:pos="731"/>
              </w:tabs>
              <w:spacing w:before="60" w:after="60"/>
              <w:ind w:left="714" w:hanging="357"/>
              <w:contextualSpacing w:val="0"/>
            </w:pPr>
            <w:r>
              <w:t xml:space="preserve">Worker experienced cough and chest discomfort from exposure at </w:t>
            </w:r>
            <w:r w:rsidR="007403EA">
              <w:t>&gt;</w:t>
            </w:r>
            <w:r>
              <w:t>0.2</w:t>
            </w:r>
            <w:r w:rsidR="00C5637F">
              <w:t> </w:t>
            </w:r>
            <w:r>
              <w:t>mg/m</w:t>
            </w:r>
            <w:r>
              <w:rPr>
                <w:vertAlign w:val="superscript"/>
              </w:rPr>
              <w:t>3</w:t>
            </w:r>
            <w:r w:rsidR="00C5637F">
              <w:t>.</w:t>
            </w:r>
          </w:p>
          <w:p w14:paraId="299DCE24" w14:textId="4DF8B372" w:rsidR="00567FFE" w:rsidRDefault="00567FFE" w:rsidP="007403EA">
            <w:pPr>
              <w:pStyle w:val="ListBullet"/>
              <w:numPr>
                <w:ilvl w:val="0"/>
                <w:numId w:val="0"/>
              </w:numPr>
              <w:spacing w:before="60" w:after="60"/>
            </w:pPr>
            <w:r>
              <w:t>Animal data:</w:t>
            </w:r>
          </w:p>
          <w:p w14:paraId="78656459" w14:textId="52F4836D" w:rsidR="001C0564" w:rsidRDefault="00146828" w:rsidP="00E95B7B">
            <w:pPr>
              <w:pStyle w:val="ListBullet"/>
              <w:tabs>
                <w:tab w:val="clear" w:pos="360"/>
                <w:tab w:val="num" w:pos="731"/>
              </w:tabs>
              <w:spacing w:before="60" w:after="60"/>
              <w:ind w:left="714" w:hanging="357"/>
              <w:contextualSpacing w:val="0"/>
            </w:pPr>
            <w:r>
              <w:t>LD</w:t>
            </w:r>
            <w:r w:rsidRPr="00B9531B">
              <w:rPr>
                <w:vertAlign w:val="subscript"/>
              </w:rPr>
              <w:t>50</w:t>
            </w:r>
            <w:r>
              <w:t>: 542</w:t>
            </w:r>
            <w:r w:rsidR="005822A0" w:rsidRPr="00B9531B">
              <w:t>±</w:t>
            </w:r>
            <w:r w:rsidR="005822A0">
              <w:t>84 mg/kg (rats, oral)</w:t>
            </w:r>
          </w:p>
          <w:p w14:paraId="31F9BC1F" w14:textId="691AE33F" w:rsidR="005822A0" w:rsidRDefault="005822A0" w:rsidP="00E95B7B">
            <w:pPr>
              <w:pStyle w:val="ListBullet"/>
              <w:tabs>
                <w:tab w:val="clear" w:pos="360"/>
                <w:tab w:val="num" w:pos="731"/>
              </w:tabs>
              <w:spacing w:before="60" w:after="60"/>
              <w:ind w:left="714" w:hanging="357"/>
              <w:contextualSpacing w:val="0"/>
            </w:pPr>
            <w:r>
              <w:t>20 ppm ‘available chlorine’ for 30 d</w:t>
            </w:r>
            <w:r w:rsidR="00CE73B4">
              <w:t xml:space="preserve"> (rats, oral) able to be tolerated.</w:t>
            </w:r>
          </w:p>
          <w:p w14:paraId="12A6F322" w14:textId="77777777" w:rsidR="00C5637F" w:rsidRDefault="00C5637F" w:rsidP="00484257">
            <w:pPr>
              <w:pStyle w:val="Tabletextprimarysource"/>
            </w:pPr>
          </w:p>
          <w:p w14:paraId="37616AC9" w14:textId="77777777" w:rsidR="00C5637F" w:rsidRDefault="00CE73B4" w:rsidP="00484257">
            <w:pPr>
              <w:pStyle w:val="Tabletextprimarysource"/>
            </w:pPr>
            <w:r>
              <w:t>Insufficient data to recommend skin, S</w:t>
            </w:r>
            <w:r w:rsidR="002159E1">
              <w:t>en</w:t>
            </w:r>
            <w:r>
              <w:t xml:space="preserve"> or carcinogenicity notations.</w:t>
            </w:r>
          </w:p>
          <w:p w14:paraId="5C4193A0" w14:textId="194CEE5F" w:rsidR="00F22A86" w:rsidRPr="00DA352E" w:rsidRDefault="00F22A86" w:rsidP="00484257">
            <w:pPr>
              <w:pStyle w:val="Tabletextprimarysource"/>
            </w:pPr>
          </w:p>
        </w:tc>
      </w:tr>
      <w:tr w:rsidR="00C978F0" w:rsidRPr="00DA352E" w14:paraId="0B2DA94D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699F3DF" w14:textId="50E21EB8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2A27C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0E6D69">
                  <w:t>NA</w:t>
                </w:r>
              </w:sdtContent>
            </w:sdt>
          </w:p>
        </w:tc>
      </w:tr>
      <w:tr w:rsidR="00C978F0" w:rsidRPr="00DA352E" w14:paraId="2095DC1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1C4A90A" w14:textId="22E9ACCC" w:rsidR="00C978F0" w:rsidRPr="00DA352E" w:rsidRDefault="000E6D69" w:rsidP="003365A5">
            <w:pPr>
              <w:pStyle w:val="Tabletextprimarysource"/>
            </w:pPr>
            <w:r>
              <w:t>No report</w:t>
            </w:r>
            <w:r w:rsidR="00335D4D">
              <w:t>.</w:t>
            </w:r>
          </w:p>
        </w:tc>
      </w:tr>
      <w:tr w:rsidR="00C978F0" w:rsidRPr="00DA352E" w14:paraId="18F8916F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02866B2" w14:textId="1DA1474B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2A27C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C32C20">
                  <w:t>NA</w:t>
                </w:r>
              </w:sdtContent>
            </w:sdt>
          </w:p>
        </w:tc>
      </w:tr>
      <w:tr w:rsidR="00C978F0" w:rsidRPr="00DA352E" w14:paraId="1E9C6DA5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2F00FD7" w14:textId="4F36022F" w:rsidR="00C978F0" w:rsidRPr="00DA352E" w:rsidRDefault="00C32C20" w:rsidP="003365A5">
            <w:pPr>
              <w:pStyle w:val="Tabletextprimarysource"/>
            </w:pPr>
            <w:r>
              <w:t>No report</w:t>
            </w:r>
            <w:r w:rsidR="00335D4D">
              <w:t>.</w:t>
            </w:r>
          </w:p>
        </w:tc>
      </w:tr>
      <w:tr w:rsidR="00DA352E" w:rsidRPr="00DA352E" w14:paraId="5FE2F4E2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22711CE" w14:textId="465285AE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2A27CD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A85F70">
                  <w:t>NA</w:t>
                </w:r>
              </w:sdtContent>
            </w:sdt>
          </w:p>
        </w:tc>
      </w:tr>
      <w:tr w:rsidR="00DA352E" w:rsidRPr="00DA352E" w14:paraId="517A5240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20D9756B" w14:textId="4BB56975" w:rsidR="00DA352E" w:rsidRPr="00DA352E" w:rsidRDefault="00A85F70" w:rsidP="003365A5">
            <w:pPr>
              <w:pStyle w:val="Tabletextprimarysource"/>
            </w:pPr>
            <w:r>
              <w:t>No report</w:t>
            </w:r>
            <w:r w:rsidR="00335D4D">
              <w:t>.</w:t>
            </w:r>
          </w:p>
        </w:tc>
      </w:tr>
      <w:tr w:rsidR="00DA352E" w:rsidRPr="00DA352E" w14:paraId="3F3DD440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5CB24CEC" w14:textId="41706B0A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2A27CD">
                  <w:t>2002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A85F70">
                  <w:t>TWA: 0.2 mg/m</w:t>
                </w:r>
                <w:r w:rsidR="00A85F70" w:rsidRPr="00A85F70">
                  <w:rPr>
                    <w:vertAlign w:val="superscript"/>
                  </w:rPr>
                  <w:t>3</w:t>
                </w:r>
              </w:sdtContent>
            </w:sdt>
          </w:p>
        </w:tc>
      </w:tr>
      <w:tr w:rsidR="00DA352E" w:rsidRPr="00DA352E" w14:paraId="3CB9EB4F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B3547C4" w14:textId="29BB3BDE" w:rsidR="00CE73B4" w:rsidRDefault="00CE73B4" w:rsidP="003365A5">
            <w:pPr>
              <w:pStyle w:val="Tabletextprimarysource"/>
            </w:pPr>
            <w:r>
              <w:t>Summary of additional data:</w:t>
            </w:r>
          </w:p>
          <w:p w14:paraId="4FD66B63" w14:textId="77777777" w:rsidR="004770FB" w:rsidRDefault="004770FB" w:rsidP="003365A5">
            <w:pPr>
              <w:pStyle w:val="Tabletextprimarysource"/>
            </w:pPr>
            <w:r>
              <w:t>Animal data:</w:t>
            </w:r>
          </w:p>
          <w:p w14:paraId="008B5707" w14:textId="759433DF" w:rsidR="004770FB" w:rsidRDefault="004770FB" w:rsidP="00E95B7B">
            <w:pPr>
              <w:pStyle w:val="ListBullet"/>
              <w:tabs>
                <w:tab w:val="clear" w:pos="360"/>
                <w:tab w:val="num" w:pos="731"/>
              </w:tabs>
              <w:spacing w:before="60" w:after="60"/>
              <w:ind w:left="714" w:hanging="357"/>
              <w:contextualSpacing w:val="0"/>
            </w:pPr>
            <w:r>
              <w:t>Pure form of chemical severely irritating to skin (rabbits</w:t>
            </w:r>
            <w:r w:rsidR="00DB37D6">
              <w:t>, dermal</w:t>
            </w:r>
            <w:r>
              <w:t>)</w:t>
            </w:r>
          </w:p>
          <w:p w14:paraId="6769B91E" w14:textId="31E27B09" w:rsidR="004770FB" w:rsidRDefault="004770FB" w:rsidP="00E95B7B">
            <w:pPr>
              <w:pStyle w:val="ListBullet"/>
              <w:tabs>
                <w:tab w:val="clear" w:pos="360"/>
                <w:tab w:val="num" w:pos="731"/>
              </w:tabs>
              <w:spacing w:before="60" w:after="60"/>
              <w:ind w:left="714" w:hanging="357"/>
              <w:contextualSpacing w:val="0"/>
            </w:pPr>
            <w:r>
              <w:t xml:space="preserve">600 ppm ‘available chlorine’ slightly or mildly irritating </w:t>
            </w:r>
            <w:r w:rsidR="00DB37D6">
              <w:t xml:space="preserve">when applied </w:t>
            </w:r>
            <w:r>
              <w:t>to skin and eyes (rabbits)</w:t>
            </w:r>
          </w:p>
          <w:p w14:paraId="56FA59AD" w14:textId="2ABD7195" w:rsidR="00961B6D" w:rsidRDefault="00530D7D" w:rsidP="00E95B7B">
            <w:pPr>
              <w:pStyle w:val="ListBullet"/>
              <w:tabs>
                <w:tab w:val="clear" w:pos="360"/>
                <w:tab w:val="num" w:pos="731"/>
              </w:tabs>
              <w:spacing w:before="60" w:after="60"/>
              <w:ind w:left="714" w:hanging="357"/>
              <w:contextualSpacing w:val="0"/>
            </w:pPr>
            <w:r>
              <w:t>5/</w:t>
            </w:r>
            <w:r w:rsidR="00961B6D">
              <w:t>10 rats died within 2 d following 1 h dust exposure at 20.5 g/m</w:t>
            </w:r>
            <w:r w:rsidR="00961B6D" w:rsidRPr="00B52744">
              <w:rPr>
                <w:vertAlign w:val="superscript"/>
              </w:rPr>
              <w:t>3</w:t>
            </w:r>
            <w:r w:rsidR="005D7EB5">
              <w:t>; necropsy, revealed discoloration of lungs and liver and distention of the stomach with gas</w:t>
            </w:r>
          </w:p>
          <w:p w14:paraId="206C96C8" w14:textId="624A8693" w:rsidR="00FF5C2D" w:rsidRDefault="004770FB" w:rsidP="00E95B7B">
            <w:pPr>
              <w:pStyle w:val="ListBullet"/>
              <w:tabs>
                <w:tab w:val="clear" w:pos="360"/>
                <w:tab w:val="num" w:pos="731"/>
              </w:tabs>
              <w:spacing w:before="60" w:after="60"/>
              <w:ind w:left="714" w:hanging="357"/>
              <w:contextualSpacing w:val="0"/>
            </w:pPr>
            <w:r w:rsidRPr="00961B6D">
              <w:t>LD</w:t>
            </w:r>
            <w:r w:rsidRPr="00B9531B">
              <w:rPr>
                <w:vertAlign w:val="subscript"/>
              </w:rPr>
              <w:t>50</w:t>
            </w:r>
            <w:r w:rsidRPr="00961B6D">
              <w:t xml:space="preserve">: </w:t>
            </w:r>
            <w:r w:rsidR="0021522E" w:rsidRPr="00B52744">
              <w:t>&gt;</w:t>
            </w:r>
            <w:r w:rsidRPr="00961B6D">
              <w:t>20 g/kg (rabbits, dermal)</w:t>
            </w:r>
          </w:p>
          <w:p w14:paraId="0EF47F2E" w14:textId="302389BB" w:rsidR="00CE73B4" w:rsidRDefault="00FF5C2D" w:rsidP="00E95B7B">
            <w:pPr>
              <w:pStyle w:val="ListBullet"/>
              <w:tabs>
                <w:tab w:val="clear" w:pos="360"/>
                <w:tab w:val="num" w:pos="731"/>
              </w:tabs>
              <w:spacing w:before="60" w:after="60"/>
              <w:ind w:left="714" w:hanging="357"/>
              <w:contextualSpacing w:val="0"/>
            </w:pPr>
            <w:r>
              <w:t>Generalised tremors, salivation, hyperpnoea, cyclic running and coma at 400</w:t>
            </w:r>
            <w:r w:rsidR="00484257">
              <w:t>–</w:t>
            </w:r>
            <w:r>
              <w:t xml:space="preserve">900 mg/kg (rats, effects </w:t>
            </w:r>
            <w:r w:rsidR="0021522E" w:rsidRPr="00B52744">
              <w:t>≈10 m</w:t>
            </w:r>
            <w:r w:rsidR="00530D7D" w:rsidRPr="003D47E2">
              <w:t>in</w:t>
            </w:r>
            <w:r w:rsidR="0021522E" w:rsidRPr="003D47E2">
              <w:t xml:space="preserve"> after dosing, deaths within 18 h</w:t>
            </w:r>
            <w:r>
              <w:t>)</w:t>
            </w:r>
          </w:p>
          <w:p w14:paraId="2C3CF0DE" w14:textId="7E5B5584" w:rsidR="0021522E" w:rsidRDefault="0021522E" w:rsidP="00E95B7B">
            <w:pPr>
              <w:pStyle w:val="ListBullet"/>
              <w:tabs>
                <w:tab w:val="clear" w:pos="360"/>
                <w:tab w:val="num" w:pos="731"/>
              </w:tabs>
              <w:spacing w:before="60" w:after="60"/>
              <w:ind w:left="714" w:hanging="357"/>
              <w:contextualSpacing w:val="0"/>
            </w:pPr>
            <w:r w:rsidRPr="00961B6D">
              <w:t>LD</w:t>
            </w:r>
            <w:r w:rsidRPr="00B9531B">
              <w:rPr>
                <w:vertAlign w:val="subscript"/>
              </w:rPr>
              <w:t>50</w:t>
            </w:r>
            <w:r w:rsidRPr="00961B6D">
              <w:t>:</w:t>
            </w:r>
            <w:r>
              <w:t xml:space="preserve"> 550 mg/kg (rats, oral)</w:t>
            </w:r>
          </w:p>
          <w:p w14:paraId="7FB243AA" w14:textId="7E37EE6A" w:rsidR="00C33576" w:rsidRDefault="00C33576" w:rsidP="00E95B7B">
            <w:pPr>
              <w:pStyle w:val="ListBullet"/>
              <w:tabs>
                <w:tab w:val="clear" w:pos="360"/>
                <w:tab w:val="num" w:pos="731"/>
              </w:tabs>
              <w:spacing w:before="60" w:after="60"/>
              <w:ind w:left="714" w:hanging="357"/>
              <w:contextualSpacing w:val="0"/>
            </w:pPr>
            <w:r>
              <w:t>Gavage doses 500 mg/kg on gestational days 6</w:t>
            </w:r>
            <w:r w:rsidR="00484257">
              <w:t>–</w:t>
            </w:r>
            <w:r>
              <w:t>13 caused mortality in 18% of animals (mice)</w:t>
            </w:r>
          </w:p>
          <w:p w14:paraId="6BF5D3D1" w14:textId="22545669" w:rsidR="002C7CED" w:rsidRPr="00961B6D" w:rsidRDefault="002C7CED" w:rsidP="00E95B7B">
            <w:pPr>
              <w:pStyle w:val="ListBullet"/>
              <w:tabs>
                <w:tab w:val="clear" w:pos="360"/>
                <w:tab w:val="num" w:pos="731"/>
              </w:tabs>
              <w:spacing w:before="60" w:after="60"/>
              <w:ind w:left="714" w:hanging="357"/>
              <w:contextualSpacing w:val="0"/>
            </w:pPr>
            <w:r>
              <w:t>Inadequate data from long-term toxicity</w:t>
            </w:r>
            <w:r w:rsidR="00C5637F">
              <w:t xml:space="preserve"> and </w:t>
            </w:r>
            <w:r>
              <w:t>carcinogenicity stud</w:t>
            </w:r>
            <w:r w:rsidR="00C5637F">
              <w:t>ies</w:t>
            </w:r>
          </w:p>
          <w:p w14:paraId="21039CA5" w14:textId="77777777" w:rsidR="00B52744" w:rsidRDefault="005C6664" w:rsidP="00716328">
            <w:pPr>
              <w:pStyle w:val="ListBullet"/>
              <w:tabs>
                <w:tab w:val="clear" w:pos="360"/>
                <w:tab w:val="num" w:pos="731"/>
              </w:tabs>
              <w:spacing w:before="60" w:after="60"/>
              <w:ind w:left="714" w:hanging="357"/>
              <w:contextualSpacing w:val="0"/>
            </w:pPr>
            <w:r>
              <w:t>No evidence of mutagenicity or genotoxicity</w:t>
            </w:r>
            <w:r w:rsidR="000E336F">
              <w:t>.</w:t>
            </w:r>
          </w:p>
          <w:p w14:paraId="42045EE9" w14:textId="66DF566E" w:rsidR="00F22A86" w:rsidRPr="00DA352E" w:rsidRDefault="00F22A86" w:rsidP="00F22A86">
            <w:pPr>
              <w:pStyle w:val="ListBullet"/>
              <w:numPr>
                <w:ilvl w:val="0"/>
                <w:numId w:val="0"/>
              </w:numPr>
              <w:spacing w:before="60" w:after="60"/>
              <w:ind w:left="714"/>
              <w:contextualSpacing w:val="0"/>
            </w:pPr>
          </w:p>
        </w:tc>
      </w:tr>
    </w:tbl>
    <w:p w14:paraId="4385074C" w14:textId="77777777" w:rsidR="00A20751" w:rsidRPr="004C23F4" w:rsidRDefault="00A20751" w:rsidP="00484257">
      <w:pPr>
        <w:pStyle w:val="Heading3"/>
      </w:pPr>
      <w:bookmarkStart w:id="0" w:name="SecondSource"/>
      <w:r w:rsidRPr="004C23F4">
        <w:lastRenderedPageBreak/>
        <w:t xml:space="preserve">Secondary </w:t>
      </w:r>
      <w:r w:rsidR="0088798F">
        <w:t xml:space="preserve">source reports relied upon </w:t>
      </w:r>
    </w:p>
    <w:tbl>
      <w:tblPr>
        <w:tblStyle w:val="LightList"/>
        <w:tblW w:w="0" w:type="auto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ook w:val="0600" w:firstRow="0" w:lastRow="0" w:firstColumn="0" w:lastColumn="0" w:noHBand="1" w:noVBand="1"/>
        <w:tblCaption w:val="Table"/>
        <w:tblDescription w:val="Listing secondary sources with reports"/>
      </w:tblPr>
      <w:tblGrid>
        <w:gridCol w:w="1495"/>
        <w:gridCol w:w="423"/>
        <w:gridCol w:w="661"/>
        <w:gridCol w:w="6447"/>
      </w:tblGrid>
      <w:tr w:rsidR="002A27CD" w:rsidRPr="00263255" w14:paraId="0983EC20" w14:textId="77777777" w:rsidTr="00663662">
        <w:trPr>
          <w:cantSplit/>
          <w:trHeight w:val="393"/>
          <w:tblHeader/>
        </w:trPr>
        <w:tc>
          <w:tcPr>
            <w:tcW w:w="1495" w:type="dxa"/>
            <w:shd w:val="clear" w:color="auto" w:fill="BFBFBF" w:themeFill="background1" w:themeFillShade="BF"/>
            <w:vAlign w:val="center"/>
          </w:tcPr>
          <w:p w14:paraId="3A796020" w14:textId="77777777" w:rsidR="002A27CD" w:rsidRPr="00263255" w:rsidRDefault="002A27CD" w:rsidP="007403EA">
            <w:pPr>
              <w:pStyle w:val="Tableheader"/>
              <w:keepNext/>
            </w:pPr>
            <w:r w:rsidRPr="00263255">
              <w:t>Source</w:t>
            </w:r>
          </w:p>
        </w:tc>
        <w:tc>
          <w:tcPr>
            <w:tcW w:w="423" w:type="dxa"/>
            <w:shd w:val="clear" w:color="auto" w:fill="BFBFBF" w:themeFill="background1" w:themeFillShade="BF"/>
            <w:vAlign w:val="center"/>
          </w:tcPr>
          <w:p w14:paraId="5D699041" w14:textId="77777777" w:rsidR="002A27CD" w:rsidRPr="00263255" w:rsidRDefault="002A27CD" w:rsidP="007403EA">
            <w:pPr>
              <w:pStyle w:val="Tableheader"/>
              <w:keepNext/>
            </w:pPr>
          </w:p>
        </w:tc>
        <w:tc>
          <w:tcPr>
            <w:tcW w:w="661" w:type="dxa"/>
            <w:shd w:val="clear" w:color="auto" w:fill="BFBFBF" w:themeFill="background1" w:themeFillShade="BF"/>
            <w:vAlign w:val="center"/>
          </w:tcPr>
          <w:p w14:paraId="35CFE548" w14:textId="77777777" w:rsidR="002A27CD" w:rsidRPr="00263255" w:rsidRDefault="002A27CD" w:rsidP="007403EA">
            <w:pPr>
              <w:pStyle w:val="Tableheader"/>
              <w:keepNext/>
            </w:pPr>
            <w:r>
              <w:t>Year</w:t>
            </w:r>
          </w:p>
        </w:tc>
        <w:tc>
          <w:tcPr>
            <w:tcW w:w="6447" w:type="dxa"/>
            <w:shd w:val="clear" w:color="auto" w:fill="BFBFBF" w:themeFill="background1" w:themeFillShade="BF"/>
            <w:vAlign w:val="center"/>
          </w:tcPr>
          <w:p w14:paraId="039BC291" w14:textId="77777777" w:rsidR="002A27CD" w:rsidRPr="00263255" w:rsidRDefault="002A27CD" w:rsidP="007403EA">
            <w:pPr>
              <w:pStyle w:val="Tableheader"/>
              <w:keepNext/>
            </w:pPr>
            <w:r>
              <w:t>Additional information</w:t>
            </w:r>
          </w:p>
        </w:tc>
      </w:tr>
      <w:tr w:rsidR="002A27CD" w:rsidRPr="004C23F4" w14:paraId="602C7600" w14:textId="77777777" w:rsidTr="00663662">
        <w:trPr>
          <w:cantSplit/>
        </w:trPr>
        <w:tc>
          <w:tcPr>
            <w:tcW w:w="1495" w:type="dxa"/>
          </w:tcPr>
          <w:p w14:paraId="25064AFD" w14:textId="77777777" w:rsidR="002A27CD" w:rsidRPr="004C23F4" w:rsidRDefault="002A27CD" w:rsidP="00484257">
            <w:pPr>
              <w:pStyle w:val="Tablefont"/>
            </w:pPr>
            <w:r>
              <w:t>NICNAS</w:t>
            </w:r>
          </w:p>
        </w:tc>
        <w:tc>
          <w:tcPr>
            <w:tcW w:w="423" w:type="dxa"/>
          </w:tcPr>
          <w:p w14:paraId="7D778AB2" w14:textId="77777777" w:rsidR="002A27CD" w:rsidRPr="00CE617F" w:rsidRDefault="00303908">
            <w:pPr>
              <w:spacing w:before="40"/>
              <w:jc w:val="center"/>
              <w:rPr>
                <w:rStyle w:val="checkbox"/>
                <w:lang w:eastAsia="en-AU"/>
              </w:rPr>
            </w:pPr>
            <w:sdt>
              <w:sdtPr>
                <w:rPr>
                  <w:rStyle w:val="checkbox"/>
                </w:rPr>
                <w:id w:val="1234131032"/>
                <w:placeholder>
                  <w:docPart w:val="79A1E2A0F9B14AC98007A14843E8C1A1"/>
                </w:placeholder>
                <w:dropDownList>
                  <w:listItem w:displayText="" w:value=""/>
                  <w:listItem w:displayText="" w:value=""/>
                  <w:listItem w:displayText="" w:value=""/>
                </w:dropDownList>
              </w:sdtPr>
              <w:sdtEndPr>
                <w:rPr>
                  <w:rStyle w:val="checkbox"/>
                </w:rPr>
              </w:sdtEndPr>
              <w:sdtContent>
                <w:r w:rsidR="002A27CD">
                  <w:rPr>
                    <w:rStyle w:val="checkbox"/>
                  </w:rPr>
                  <w:t></w:t>
                </w:r>
              </w:sdtContent>
            </w:sdt>
          </w:p>
        </w:tc>
        <w:tc>
          <w:tcPr>
            <w:tcW w:w="661" w:type="dxa"/>
          </w:tcPr>
          <w:p w14:paraId="6E10D71B" w14:textId="77C6210A" w:rsidR="002A27CD" w:rsidRPr="004C23F4" w:rsidRDefault="002A27CD">
            <w:pPr>
              <w:pStyle w:val="Tablefont"/>
              <w:rPr>
                <w:rStyle w:val="checkbox"/>
                <w:rFonts w:ascii="Arial" w:hAnsi="Arial" w:cs="Arial"/>
                <w:lang w:eastAsia="en-US"/>
              </w:rPr>
            </w:pPr>
            <w:r>
              <w:rPr>
                <w:rStyle w:val="checkbox"/>
                <w:rFonts w:ascii="Arial" w:hAnsi="Arial" w:cs="Arial"/>
              </w:rPr>
              <w:t>20</w:t>
            </w:r>
            <w:r w:rsidR="001B0D01">
              <w:rPr>
                <w:rStyle w:val="checkbox"/>
                <w:rFonts w:ascii="Arial" w:hAnsi="Arial" w:cs="Arial"/>
              </w:rPr>
              <w:t>19</w:t>
            </w:r>
          </w:p>
        </w:tc>
        <w:tc>
          <w:tcPr>
            <w:tcW w:w="6447" w:type="dxa"/>
          </w:tcPr>
          <w:p w14:paraId="39A73F19" w14:textId="212CFD41" w:rsidR="002A27CD" w:rsidRPr="004C23F4" w:rsidRDefault="0037634F" w:rsidP="00E95B7B">
            <w:pPr>
              <w:pStyle w:val="ListBullet"/>
              <w:tabs>
                <w:tab w:val="clear" w:pos="360"/>
                <w:tab w:val="num" w:pos="731"/>
              </w:tabs>
              <w:spacing w:before="60" w:after="60"/>
              <w:ind w:left="714" w:hanging="357"/>
              <w:contextualSpacing w:val="0"/>
              <w:rPr>
                <w:rStyle w:val="checkbox"/>
                <w:rFonts w:ascii="Arial" w:hAnsi="Arial" w:cs="Arial"/>
                <w:lang w:eastAsia="en-AU"/>
              </w:rPr>
            </w:pPr>
            <w:r w:rsidRPr="00E95B7B">
              <w:t>No additional information</w:t>
            </w:r>
            <w:r w:rsidR="00335D4D">
              <w:t>.</w:t>
            </w:r>
          </w:p>
        </w:tc>
      </w:tr>
    </w:tbl>
    <w:bookmarkEnd w:id="0"/>
    <w:p w14:paraId="0425C75C" w14:textId="77777777" w:rsidR="007E2A4B" w:rsidRDefault="007E2A4B" w:rsidP="007E2A4B">
      <w:pPr>
        <w:pStyle w:val="Heading3"/>
      </w:pPr>
      <w:r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603"/>
        <w:gridCol w:w="2423"/>
      </w:tblGrid>
      <w:tr w:rsidR="002E0D61" w14:paraId="1BA2076D" w14:textId="77777777" w:rsidTr="0099519F">
        <w:trPr>
          <w:trHeight w:val="454"/>
          <w:tblHeader/>
        </w:trPr>
        <w:tc>
          <w:tcPr>
            <w:tcW w:w="6603" w:type="dxa"/>
            <w:vAlign w:val="center"/>
          </w:tcPr>
          <w:p w14:paraId="385DD90F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035CD69D" w14:textId="69E8CBAF" w:rsidR="002E0D61" w:rsidRDefault="002A27CD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72C8C682" w14:textId="77777777" w:rsidTr="0099519F">
        <w:trPr>
          <w:trHeight w:val="454"/>
        </w:trPr>
        <w:tc>
          <w:tcPr>
            <w:tcW w:w="6603" w:type="dxa"/>
            <w:vAlign w:val="center"/>
          </w:tcPr>
          <w:p w14:paraId="32039187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3" w:type="dxa"/>
                <w:vAlign w:val="center"/>
              </w:tcPr>
              <w:p w14:paraId="4DF2B2F9" w14:textId="4F52F2C8" w:rsidR="008A36CF" w:rsidRDefault="002A27CD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No</w:t>
                </w:r>
              </w:p>
            </w:tc>
          </w:sdtContent>
        </w:sdt>
      </w:tr>
      <w:tr w:rsidR="008A36CF" w14:paraId="25C4DB85" w14:textId="77777777" w:rsidTr="0099519F">
        <w:trPr>
          <w:trHeight w:val="454"/>
        </w:trPr>
        <w:sdt>
          <w:sdtPr>
            <w:rPr>
              <w:b/>
            </w:rPr>
            <w:id w:val="1830936485"/>
            <w:placeholder>
              <w:docPart w:val="CAD2D506A5824AB88D896BC2795BCEDE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6603" w:type="dxa"/>
                <w:vAlign w:val="center"/>
              </w:tcPr>
              <w:p w14:paraId="1B745114" w14:textId="2714508B" w:rsidR="008A36CF" w:rsidRPr="006901A2" w:rsidRDefault="002A27CD" w:rsidP="008A36CF">
                <w:pPr>
                  <w:pStyle w:val="Tablefont"/>
                  <w:keepNext/>
                  <w:keepLines/>
                  <w:spacing w:before="40" w:after="40"/>
                  <w:rPr>
                    <w:b/>
                  </w:rPr>
                </w:pPr>
                <w:r>
                  <w:rPr>
                    <w:b/>
                  </w:rPr>
                  <w:t>The chemical is not a non-threshold based genotoxic carcinogen.</w:t>
                </w:r>
              </w:p>
            </w:tc>
          </w:sdtContent>
        </w:sdt>
        <w:tc>
          <w:tcPr>
            <w:tcW w:w="2423" w:type="dxa"/>
            <w:vAlign w:val="center"/>
          </w:tcPr>
          <w:p w14:paraId="58573CD0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</w:p>
        </w:tc>
      </w:tr>
    </w:tbl>
    <w:bookmarkEnd w:id="1"/>
    <w:p w14:paraId="602A68B9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48CB70DE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56006E87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99D0B67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349102CA" w14:textId="77777777" w:rsidTr="00812887">
        <w:trPr>
          <w:cantSplit/>
        </w:trPr>
        <w:tc>
          <w:tcPr>
            <w:tcW w:w="3227" w:type="dxa"/>
          </w:tcPr>
          <w:p w14:paraId="3FB5D78E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3E1B336F" w14:textId="59572ECB" w:rsidR="00687890" w:rsidRPr="00DD2F9B" w:rsidRDefault="00A85F70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2A9B8A69" w14:textId="77777777" w:rsidTr="00812887">
        <w:trPr>
          <w:cantSplit/>
        </w:trPr>
        <w:tc>
          <w:tcPr>
            <w:tcW w:w="3227" w:type="dxa"/>
          </w:tcPr>
          <w:p w14:paraId="3A24D494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1FBF966" w14:textId="11A77665" w:rsidR="007925F0" w:rsidRPr="00DD2F9B" w:rsidRDefault="00FA387F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55F8B693" w14:textId="77777777" w:rsidTr="00812887">
        <w:trPr>
          <w:cantSplit/>
        </w:trPr>
        <w:tc>
          <w:tcPr>
            <w:tcW w:w="3227" w:type="dxa"/>
          </w:tcPr>
          <w:p w14:paraId="2C199525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6C7B6C5A" w14:textId="3BDB8D97" w:rsidR="00AF483F" w:rsidRPr="00DD2F9B" w:rsidRDefault="00A85F70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1BD0D1CF" w14:textId="77777777" w:rsidTr="00812887">
        <w:trPr>
          <w:cantSplit/>
        </w:trPr>
        <w:tc>
          <w:tcPr>
            <w:tcW w:w="3227" w:type="dxa"/>
          </w:tcPr>
          <w:p w14:paraId="4181053C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0DB2B4DA" w14:textId="7A43D869" w:rsidR="00687890" w:rsidRPr="00DD2F9B" w:rsidRDefault="00A85F70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1752B1EC" w14:textId="77777777" w:rsidTr="00812887">
        <w:trPr>
          <w:cantSplit/>
        </w:trPr>
        <w:tc>
          <w:tcPr>
            <w:tcW w:w="3227" w:type="dxa"/>
          </w:tcPr>
          <w:p w14:paraId="350DB809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6A59EFD5" w14:textId="452E5C54" w:rsidR="00E41A26" w:rsidRPr="00DD2F9B" w:rsidRDefault="00A85F7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31D6A3E" w14:textId="77777777" w:rsidTr="00812887">
        <w:trPr>
          <w:cantSplit/>
        </w:trPr>
        <w:tc>
          <w:tcPr>
            <w:tcW w:w="3227" w:type="dxa"/>
          </w:tcPr>
          <w:p w14:paraId="5A8061A8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0A2F4958" w14:textId="11DFDA00" w:rsidR="002E0D61" w:rsidRPr="00DD2F9B" w:rsidRDefault="00A85F70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2C76DAB2" w14:textId="77777777" w:rsidTr="00812887">
        <w:trPr>
          <w:cantSplit/>
        </w:trPr>
        <w:tc>
          <w:tcPr>
            <w:tcW w:w="3227" w:type="dxa"/>
          </w:tcPr>
          <w:p w14:paraId="2A81ABFC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4BAFA5C2" w14:textId="75EEC886" w:rsidR="002E0D61" w:rsidRPr="00DD2F9B" w:rsidRDefault="00A85F7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3BADF16" w14:textId="77777777" w:rsidTr="00812887">
        <w:trPr>
          <w:cantSplit/>
        </w:trPr>
        <w:tc>
          <w:tcPr>
            <w:tcW w:w="3227" w:type="dxa"/>
          </w:tcPr>
          <w:p w14:paraId="66B0A29F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15BA44D" w14:textId="0775B127" w:rsidR="002E0D61" w:rsidRPr="00DD2F9B" w:rsidRDefault="00A85F7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4A7F2FC0" w14:textId="77777777" w:rsidTr="00812887">
        <w:trPr>
          <w:cantSplit/>
        </w:trPr>
        <w:tc>
          <w:tcPr>
            <w:tcW w:w="3227" w:type="dxa"/>
          </w:tcPr>
          <w:p w14:paraId="430D22E9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6A012F44" w14:textId="1020A1F3" w:rsidR="002E0D61" w:rsidRPr="00DD2F9B" w:rsidRDefault="00A85F70" w:rsidP="00DD2F9B">
            <w:pPr>
              <w:pStyle w:val="Tablefont"/>
            </w:pPr>
            <w:r>
              <w:t>—</w:t>
            </w:r>
          </w:p>
        </w:tc>
      </w:tr>
      <w:tr w:rsidR="00386093" w:rsidRPr="004C23F4" w14:paraId="18BE8897" w14:textId="77777777" w:rsidTr="00812887">
        <w:trPr>
          <w:cantSplit/>
        </w:trPr>
        <w:tc>
          <w:tcPr>
            <w:tcW w:w="3227" w:type="dxa"/>
          </w:tcPr>
          <w:p w14:paraId="0C57AFBF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1AFDE172" w14:textId="6FFF492B" w:rsidR="00386093" w:rsidRPr="00DD2F9B" w:rsidRDefault="00A85F70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2C27405B" w14:textId="77777777" w:rsidTr="00812887">
        <w:trPr>
          <w:cantSplit/>
        </w:trPr>
        <w:tc>
          <w:tcPr>
            <w:tcW w:w="3227" w:type="dxa"/>
          </w:tcPr>
          <w:p w14:paraId="608AC8D8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4747E4F4" w14:textId="39DD31BD" w:rsidR="00386093" w:rsidRPr="00DD2F9B" w:rsidRDefault="00A85F70" w:rsidP="00D87570">
            <w:pPr>
              <w:pStyle w:val="Tablefont"/>
              <w:keepNext/>
            </w:pPr>
            <w:r>
              <w:t>—</w:t>
            </w:r>
          </w:p>
        </w:tc>
      </w:tr>
    </w:tbl>
    <w:bookmarkEnd w:id="2"/>
    <w:p w14:paraId="78DCA31F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436AC1B7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11C9615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71966138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63F83644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30B67D78" w14:textId="1DED1F31" w:rsidR="00932DCE" w:rsidRPr="004C23F4" w:rsidRDefault="0099519F" w:rsidP="00F9496B">
            <w:pPr>
              <w:pStyle w:val="Tablefont"/>
            </w:pPr>
            <w:r w:rsidRPr="0099519F">
              <w:t>Insufficient data to assign a skin notation</w:t>
            </w:r>
          </w:p>
        </w:tc>
      </w:tr>
    </w:tbl>
    <w:bookmarkEnd w:id="3"/>
    <w:p w14:paraId="4446A818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3A023D19" w14:textId="77777777" w:rsidTr="00610F2E">
        <w:trPr>
          <w:trHeight w:val="454"/>
          <w:tblHeader/>
        </w:trPr>
        <w:tc>
          <w:tcPr>
            <w:tcW w:w="4361" w:type="dxa"/>
            <w:vAlign w:val="center"/>
          </w:tcPr>
          <w:p w14:paraId="65AB6EF1" w14:textId="77777777" w:rsidR="00EB3D1B" w:rsidRDefault="00EB3D1B" w:rsidP="00D87570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F426C563814E402488AC06CC39354A11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  <w:vAlign w:val="center"/>
              </w:tcPr>
              <w:p w14:paraId="7CCC05AA" w14:textId="182B0EE4" w:rsidR="00EB3D1B" w:rsidRDefault="002A27CD" w:rsidP="00EB3D1B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2EEC91E" w14:textId="77777777" w:rsidR="00687890" w:rsidRPr="004C23F4" w:rsidRDefault="00B479A9" w:rsidP="00484257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5"/>
        <w:gridCol w:w="5031"/>
      </w:tblGrid>
      <w:tr w:rsidR="001B79E5" w:rsidRPr="004C23F4" w14:paraId="0E798FAE" w14:textId="77777777" w:rsidTr="004933B6">
        <w:trPr>
          <w:tblHeader/>
        </w:trPr>
        <w:tc>
          <w:tcPr>
            <w:tcW w:w="4077" w:type="dxa"/>
            <w:vAlign w:val="center"/>
          </w:tcPr>
          <w:p w14:paraId="1DA63FFE" w14:textId="77777777" w:rsidR="001B79E5" w:rsidRDefault="001B79E5" w:rsidP="00DD0432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0DF1C0AE" w14:textId="7FC07E9E" w:rsidR="001B79E5" w:rsidRDefault="00D54A42" w:rsidP="00DD0432">
                <w:pPr>
                  <w:pStyle w:val="Tablefont"/>
                </w:pPr>
                <w:r w:rsidRPr="00D54A42">
                  <w:t>197.02</w:t>
                </w:r>
              </w:p>
            </w:tc>
          </w:sdtContent>
        </w:sdt>
      </w:tr>
      <w:tr w:rsidR="00A31D99" w:rsidRPr="004C23F4" w14:paraId="5E9BF55E" w14:textId="77777777" w:rsidTr="00DD0432">
        <w:tc>
          <w:tcPr>
            <w:tcW w:w="4077" w:type="dxa"/>
            <w:vAlign w:val="center"/>
          </w:tcPr>
          <w:p w14:paraId="6889D017" w14:textId="77777777" w:rsidR="00A31D99" w:rsidRPr="00263255" w:rsidRDefault="00A31D99" w:rsidP="00DD0432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0A00DFF2" w14:textId="77777777" w:rsidR="00A31D99" w:rsidRDefault="00A0643F" w:rsidP="00DD0432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  <w:showingPlcHdr/>
              </w:sdtPr>
              <w:sdtEndPr/>
              <w:sdtContent>
                <w:r w:rsidR="00A174CC">
                  <w:rPr>
                    <w:rStyle w:val="PlaceholderText"/>
                  </w:rPr>
                  <w:t>Number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A174CC" w:rsidRPr="00A174CC">
                  <w:rPr>
                    <w:color w:val="808080"/>
                  </w:rPr>
                  <w:t>Number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3E4A41F8" w14:textId="77777777" w:rsidTr="00DD0432">
        <w:tc>
          <w:tcPr>
            <w:tcW w:w="4077" w:type="dxa"/>
            <w:vAlign w:val="center"/>
          </w:tcPr>
          <w:p w14:paraId="202108AB" w14:textId="77777777" w:rsidR="00687890" w:rsidRPr="00263255" w:rsidRDefault="00687890" w:rsidP="00DD0432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E5642B7" w14:textId="77777777" w:rsidR="00687890" w:rsidRPr="004C23F4" w:rsidRDefault="00E46BCB" w:rsidP="00DD0432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40571AA" w14:textId="77777777" w:rsidTr="00DD0432">
        <w:tc>
          <w:tcPr>
            <w:tcW w:w="4077" w:type="dxa"/>
            <w:vAlign w:val="center"/>
          </w:tcPr>
          <w:p w14:paraId="41D1989E" w14:textId="77777777" w:rsidR="00687890" w:rsidRPr="00263255" w:rsidRDefault="00687890" w:rsidP="00DD0432">
            <w:pPr>
              <w:pStyle w:val="Tablefont"/>
            </w:pPr>
            <w:r w:rsidRPr="00263255">
              <w:lastRenderedPageBreak/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0D8B0DA" w14:textId="77777777" w:rsidR="00687890" w:rsidRPr="004C23F4" w:rsidRDefault="00A20751" w:rsidP="00DD0432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6BB873A6" w14:textId="77777777" w:rsidTr="00DD0432">
        <w:tc>
          <w:tcPr>
            <w:tcW w:w="4077" w:type="dxa"/>
            <w:vAlign w:val="center"/>
          </w:tcPr>
          <w:p w14:paraId="4FE651C3" w14:textId="77777777" w:rsidR="00687890" w:rsidRPr="00263255" w:rsidRDefault="00687890" w:rsidP="00DD0432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51DB78DC" w14:textId="77777777" w:rsidR="00687890" w:rsidRPr="004C23F4" w:rsidRDefault="00687890" w:rsidP="00DD0432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E06F40" w:rsidRPr="004C23F4" w14:paraId="067FBEEB" w14:textId="77777777" w:rsidTr="00DD0432">
        <w:tc>
          <w:tcPr>
            <w:tcW w:w="4077" w:type="dxa"/>
            <w:vAlign w:val="center"/>
          </w:tcPr>
          <w:p w14:paraId="1E399E71" w14:textId="77777777" w:rsidR="00E06F40" w:rsidRPr="00263255" w:rsidRDefault="00E06F40" w:rsidP="00DD0432">
            <w:pPr>
              <w:pStyle w:val="Tablefont"/>
            </w:pPr>
            <w:r w:rsidRPr="00263255"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238027B3" w14:textId="77777777" w:rsidR="00E06F40" w:rsidRPr="00A006A0" w:rsidRDefault="00303908" w:rsidP="00DD0432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6DCBFC62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A15B710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59E3296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61078F6A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2FA95518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2E1CCDAF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220B8991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0E325642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3C23E1F7" w14:textId="6BC37183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43E6A9D9" w14:textId="0AA1BB76" w:rsidR="00D54A42" w:rsidRDefault="00D54A42" w:rsidP="00084859">
      <w:r w:rsidRPr="002022B6">
        <w:t>Health Council of the Netherlands</w:t>
      </w:r>
      <w:r>
        <w:t xml:space="preserve"> (HCOTN) (2002) </w:t>
      </w:r>
      <w:r w:rsidRPr="00D54A42">
        <w:t>1,3-Dichloro-5,5-dimethyl hydantoin</w:t>
      </w:r>
      <w:r w:rsidRPr="005F7416">
        <w:t xml:space="preserve">. Health-based calculated occupational cancer risk values. The Hague: Health Council of the Netherlands; publication no. </w:t>
      </w:r>
      <w:r w:rsidRPr="00D54A42">
        <w:t>2000/15OSH/046</w:t>
      </w:r>
      <w:r>
        <w:t>.</w:t>
      </w:r>
    </w:p>
    <w:p w14:paraId="15BCE88F" w14:textId="3DA81518" w:rsidR="0037634F" w:rsidRDefault="0037634F" w:rsidP="0037634F">
      <w:r w:rsidRPr="00DB0A36">
        <w:t>National Industrial Chemicals Notification and Assessment Scheme (NICNAS) (</w:t>
      </w:r>
      <w:r w:rsidR="00FA387F">
        <w:t>ND</w:t>
      </w:r>
      <w:r w:rsidRPr="00DB0A36">
        <w:t xml:space="preserve">) </w:t>
      </w:r>
      <w:r>
        <w:t>2,4</w:t>
      </w:r>
      <w:r w:rsidR="00335D4D">
        <w:noBreakHyphen/>
      </w:r>
      <w:r>
        <w:t>Imidazolidinedione, 1,3-dichloro-5,5-dimethyl-</w:t>
      </w:r>
      <w:r w:rsidRPr="00DB0A36">
        <w:t>:</w:t>
      </w:r>
      <w:r>
        <w:t xml:space="preserve"> </w:t>
      </w:r>
      <w:r w:rsidR="001B0D01">
        <w:t>Chemical Inventory</w:t>
      </w:r>
      <w:r w:rsidRPr="00DB0A36">
        <w:t>.</w:t>
      </w:r>
    </w:p>
    <w:p w14:paraId="79A14A26" w14:textId="753528C4" w:rsidR="0037634F" w:rsidRPr="00351FE0" w:rsidRDefault="00D7729B" w:rsidP="00084859">
      <w:r>
        <w:t>US National Institute for Occupational Safety and Health (NIOSH) (1994) Immediately dangerous to life or health concentrations –.</w:t>
      </w:r>
      <w:r w:rsidRPr="00D54A42">
        <w:t>1,3-Dichloro-5,5-dimethyl hydantoin</w:t>
      </w:r>
      <w:r w:rsidR="00484257">
        <w:t>.</w:t>
      </w:r>
    </w:p>
    <w:sectPr w:rsidR="0037634F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DD5FC5" w14:textId="77777777" w:rsidR="0015645F" w:rsidRDefault="0015645F" w:rsidP="00F43AD5">
      <w:pPr>
        <w:spacing w:after="0" w:line="240" w:lineRule="auto"/>
      </w:pPr>
      <w:r>
        <w:separator/>
      </w:r>
    </w:p>
  </w:endnote>
  <w:endnote w:type="continuationSeparator" w:id="0">
    <w:p w14:paraId="3951BA84" w14:textId="77777777" w:rsidR="0015645F" w:rsidRDefault="0015645F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FC643" w14:textId="77777777" w:rsidR="004933B6" w:rsidRDefault="004933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6520DC3E" w14:textId="5EFA57AC" w:rsidR="008A36CF" w:rsidRDefault="00211641" w:rsidP="0034744C">
        <w:pPr>
          <w:pStyle w:val="Footer"/>
          <w:rPr>
            <w:sz w:val="18"/>
            <w:szCs w:val="18"/>
          </w:rPr>
        </w:pPr>
        <w:r w:rsidRPr="00211641">
          <w:rPr>
            <w:b/>
            <w:sz w:val="18"/>
            <w:szCs w:val="18"/>
          </w:rPr>
          <w:t>1,3-Dichloro-5,5-dimethyl hydantoin</w:t>
        </w:r>
        <w:r w:rsidR="008A36CF">
          <w:rPr>
            <w:b/>
            <w:sz w:val="18"/>
            <w:szCs w:val="18"/>
          </w:rPr>
          <w:t xml:space="preserve"> (</w:t>
        </w:r>
        <w:r w:rsidRPr="00211641">
          <w:rPr>
            <w:b/>
            <w:sz w:val="18"/>
            <w:szCs w:val="18"/>
          </w:rPr>
          <w:t>118-52-5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38AE2CC3" w14:textId="4762DC5F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4933B6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3B535" w14:textId="77777777" w:rsidR="004933B6" w:rsidRDefault="004933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FEAC1" w14:textId="77777777" w:rsidR="0015645F" w:rsidRDefault="0015645F" w:rsidP="00F43AD5">
      <w:pPr>
        <w:spacing w:after="0" w:line="240" w:lineRule="auto"/>
      </w:pPr>
      <w:r>
        <w:separator/>
      </w:r>
    </w:p>
  </w:footnote>
  <w:footnote w:type="continuationSeparator" w:id="0">
    <w:p w14:paraId="008230FF" w14:textId="77777777" w:rsidR="0015645F" w:rsidRDefault="0015645F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F9F95" w14:textId="0DA7C744" w:rsidR="004933B6" w:rsidRDefault="004933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14011" w14:textId="789421D7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B8B40" w14:textId="22D983F3" w:rsidR="004933B6" w:rsidRDefault="004933B6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05DF0" w14:textId="555EED74" w:rsidR="004933B6" w:rsidRDefault="004933B6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8DCB1" w14:textId="35C85368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43F19" w14:textId="65E32067" w:rsidR="004933B6" w:rsidRDefault="004933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2A46414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09760870">
    <w:abstractNumId w:val="0"/>
  </w:num>
  <w:num w:numId="2" w16cid:durableId="42754103">
    <w:abstractNumId w:val="0"/>
  </w:num>
  <w:num w:numId="3" w16cid:durableId="1846239481">
    <w:abstractNumId w:val="0"/>
  </w:num>
  <w:num w:numId="4" w16cid:durableId="1341080998">
    <w:abstractNumId w:val="0"/>
  </w:num>
  <w:num w:numId="5" w16cid:durableId="912083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defaultTabStop w:val="720"/>
  <w:characterSpacingControl w:val="doNotCompress"/>
  <w:hdrShapeDefaults>
    <o:shapedefaults v:ext="edit" spidmax="81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32B88"/>
    <w:rsid w:val="00046DF5"/>
    <w:rsid w:val="000474CE"/>
    <w:rsid w:val="00052060"/>
    <w:rsid w:val="0005574A"/>
    <w:rsid w:val="00055FE1"/>
    <w:rsid w:val="00056EC2"/>
    <w:rsid w:val="00060B48"/>
    <w:rsid w:val="00067F32"/>
    <w:rsid w:val="00071807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336F"/>
    <w:rsid w:val="000E5A54"/>
    <w:rsid w:val="000E63D3"/>
    <w:rsid w:val="000E67CF"/>
    <w:rsid w:val="000E6D69"/>
    <w:rsid w:val="0010461E"/>
    <w:rsid w:val="00106FAA"/>
    <w:rsid w:val="00113443"/>
    <w:rsid w:val="001269A7"/>
    <w:rsid w:val="00131092"/>
    <w:rsid w:val="00140E6A"/>
    <w:rsid w:val="00146545"/>
    <w:rsid w:val="00146828"/>
    <w:rsid w:val="00146B75"/>
    <w:rsid w:val="0015266D"/>
    <w:rsid w:val="0015288A"/>
    <w:rsid w:val="0015645F"/>
    <w:rsid w:val="001605BC"/>
    <w:rsid w:val="00160F47"/>
    <w:rsid w:val="00177CA1"/>
    <w:rsid w:val="00183823"/>
    <w:rsid w:val="00183942"/>
    <w:rsid w:val="001A009E"/>
    <w:rsid w:val="001A1287"/>
    <w:rsid w:val="001A3859"/>
    <w:rsid w:val="001A3C9D"/>
    <w:rsid w:val="001A43F8"/>
    <w:rsid w:val="001B0D01"/>
    <w:rsid w:val="001B79E5"/>
    <w:rsid w:val="001C0564"/>
    <w:rsid w:val="001D56F0"/>
    <w:rsid w:val="001D663B"/>
    <w:rsid w:val="001D743C"/>
    <w:rsid w:val="001D7B41"/>
    <w:rsid w:val="001E46DA"/>
    <w:rsid w:val="001E7D80"/>
    <w:rsid w:val="001F4B6C"/>
    <w:rsid w:val="001F52A6"/>
    <w:rsid w:val="001F62CB"/>
    <w:rsid w:val="001F6ED0"/>
    <w:rsid w:val="001F72E6"/>
    <w:rsid w:val="001F73C5"/>
    <w:rsid w:val="002046A6"/>
    <w:rsid w:val="00204956"/>
    <w:rsid w:val="00211641"/>
    <w:rsid w:val="00213640"/>
    <w:rsid w:val="0021522E"/>
    <w:rsid w:val="002159E1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64AB7"/>
    <w:rsid w:val="00276494"/>
    <w:rsid w:val="00277B0C"/>
    <w:rsid w:val="002A27CD"/>
    <w:rsid w:val="002B1A2C"/>
    <w:rsid w:val="002C34F2"/>
    <w:rsid w:val="002C58FF"/>
    <w:rsid w:val="002C7AFE"/>
    <w:rsid w:val="002C7CED"/>
    <w:rsid w:val="002D05D2"/>
    <w:rsid w:val="002D114D"/>
    <w:rsid w:val="002D2A64"/>
    <w:rsid w:val="002E0D61"/>
    <w:rsid w:val="002E0DD4"/>
    <w:rsid w:val="002E4C7B"/>
    <w:rsid w:val="002E61AE"/>
    <w:rsid w:val="00303908"/>
    <w:rsid w:val="0030740C"/>
    <w:rsid w:val="00315833"/>
    <w:rsid w:val="003215EE"/>
    <w:rsid w:val="003224BF"/>
    <w:rsid w:val="003241A8"/>
    <w:rsid w:val="003253F0"/>
    <w:rsid w:val="003337DA"/>
    <w:rsid w:val="00334EFB"/>
    <w:rsid w:val="00335CDE"/>
    <w:rsid w:val="00335D4D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71E9E"/>
    <w:rsid w:val="00374EDA"/>
    <w:rsid w:val="0037634F"/>
    <w:rsid w:val="00386093"/>
    <w:rsid w:val="003904A4"/>
    <w:rsid w:val="00391841"/>
    <w:rsid w:val="00391B6D"/>
    <w:rsid w:val="00394922"/>
    <w:rsid w:val="003A0E32"/>
    <w:rsid w:val="003A2B94"/>
    <w:rsid w:val="003A46CA"/>
    <w:rsid w:val="003B387D"/>
    <w:rsid w:val="003C0D58"/>
    <w:rsid w:val="003C161E"/>
    <w:rsid w:val="003D47E2"/>
    <w:rsid w:val="003D4FA3"/>
    <w:rsid w:val="003E0807"/>
    <w:rsid w:val="003E51FB"/>
    <w:rsid w:val="003E6B39"/>
    <w:rsid w:val="003E7820"/>
    <w:rsid w:val="003F07E1"/>
    <w:rsid w:val="004030BC"/>
    <w:rsid w:val="00403F7D"/>
    <w:rsid w:val="00406785"/>
    <w:rsid w:val="004079B4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66D2F"/>
    <w:rsid w:val="00472A11"/>
    <w:rsid w:val="00472AAD"/>
    <w:rsid w:val="00474E33"/>
    <w:rsid w:val="00476803"/>
    <w:rsid w:val="004770FB"/>
    <w:rsid w:val="00484257"/>
    <w:rsid w:val="00485BFD"/>
    <w:rsid w:val="004867A2"/>
    <w:rsid w:val="004873F2"/>
    <w:rsid w:val="00490D4C"/>
    <w:rsid w:val="004933B6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272E2"/>
    <w:rsid w:val="00530D7D"/>
    <w:rsid w:val="0053108F"/>
    <w:rsid w:val="00532B56"/>
    <w:rsid w:val="00534B10"/>
    <w:rsid w:val="005408F7"/>
    <w:rsid w:val="005446A2"/>
    <w:rsid w:val="00544D2F"/>
    <w:rsid w:val="00551BD8"/>
    <w:rsid w:val="00567FFE"/>
    <w:rsid w:val="00581055"/>
    <w:rsid w:val="005822A0"/>
    <w:rsid w:val="00586A78"/>
    <w:rsid w:val="00591E38"/>
    <w:rsid w:val="0059585D"/>
    <w:rsid w:val="005A19C5"/>
    <w:rsid w:val="005A3034"/>
    <w:rsid w:val="005A462D"/>
    <w:rsid w:val="005B253B"/>
    <w:rsid w:val="005B771D"/>
    <w:rsid w:val="005C5D16"/>
    <w:rsid w:val="005C6664"/>
    <w:rsid w:val="005D3193"/>
    <w:rsid w:val="005D4A6E"/>
    <w:rsid w:val="005D7EB5"/>
    <w:rsid w:val="005E6979"/>
    <w:rsid w:val="005E75CB"/>
    <w:rsid w:val="005F4616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32ED"/>
    <w:rsid w:val="006549F2"/>
    <w:rsid w:val="006567B7"/>
    <w:rsid w:val="00657BFB"/>
    <w:rsid w:val="0066333C"/>
    <w:rsid w:val="006639B4"/>
    <w:rsid w:val="006650FE"/>
    <w:rsid w:val="0067305D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D79EA"/>
    <w:rsid w:val="006E5D05"/>
    <w:rsid w:val="00701053"/>
    <w:rsid w:val="00701507"/>
    <w:rsid w:val="00714021"/>
    <w:rsid w:val="00716328"/>
    <w:rsid w:val="00716A0F"/>
    <w:rsid w:val="00717D45"/>
    <w:rsid w:val="007208F7"/>
    <w:rsid w:val="007218AF"/>
    <w:rsid w:val="007365D1"/>
    <w:rsid w:val="007403EA"/>
    <w:rsid w:val="00740E0E"/>
    <w:rsid w:val="00750212"/>
    <w:rsid w:val="00752899"/>
    <w:rsid w:val="00754779"/>
    <w:rsid w:val="0075716D"/>
    <w:rsid w:val="00764DFF"/>
    <w:rsid w:val="00765F14"/>
    <w:rsid w:val="00770E31"/>
    <w:rsid w:val="007770F1"/>
    <w:rsid w:val="00782D21"/>
    <w:rsid w:val="00783FB1"/>
    <w:rsid w:val="00785CDD"/>
    <w:rsid w:val="00791847"/>
    <w:rsid w:val="007925F0"/>
    <w:rsid w:val="007939B3"/>
    <w:rsid w:val="0079509C"/>
    <w:rsid w:val="00796708"/>
    <w:rsid w:val="007B1B42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60A2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900951"/>
    <w:rsid w:val="009118A6"/>
    <w:rsid w:val="00916909"/>
    <w:rsid w:val="00916EC0"/>
    <w:rsid w:val="00920467"/>
    <w:rsid w:val="00921DE7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1D1A"/>
    <w:rsid w:val="0095260E"/>
    <w:rsid w:val="009578DD"/>
    <w:rsid w:val="00961124"/>
    <w:rsid w:val="00961B6D"/>
    <w:rsid w:val="009621B6"/>
    <w:rsid w:val="00972A47"/>
    <w:rsid w:val="00974F2D"/>
    <w:rsid w:val="00977524"/>
    <w:rsid w:val="00977E88"/>
    <w:rsid w:val="00984920"/>
    <w:rsid w:val="009853B6"/>
    <w:rsid w:val="0099303A"/>
    <w:rsid w:val="0099519F"/>
    <w:rsid w:val="009971C2"/>
    <w:rsid w:val="009973E4"/>
    <w:rsid w:val="009A1254"/>
    <w:rsid w:val="009B2FF2"/>
    <w:rsid w:val="009B380C"/>
    <w:rsid w:val="009B4843"/>
    <w:rsid w:val="009B6543"/>
    <w:rsid w:val="009C199D"/>
    <w:rsid w:val="009C278F"/>
    <w:rsid w:val="009C2B94"/>
    <w:rsid w:val="009C5874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6D91"/>
    <w:rsid w:val="00A174CC"/>
    <w:rsid w:val="00A2073D"/>
    <w:rsid w:val="00A20751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5F70"/>
    <w:rsid w:val="00A8672F"/>
    <w:rsid w:val="00A93057"/>
    <w:rsid w:val="00A968B0"/>
    <w:rsid w:val="00AA0769"/>
    <w:rsid w:val="00AB2672"/>
    <w:rsid w:val="00AB2817"/>
    <w:rsid w:val="00AB43C4"/>
    <w:rsid w:val="00AC32E7"/>
    <w:rsid w:val="00AC3A9F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336BF"/>
    <w:rsid w:val="00B40C60"/>
    <w:rsid w:val="00B479A9"/>
    <w:rsid w:val="00B52744"/>
    <w:rsid w:val="00B52EDF"/>
    <w:rsid w:val="00B564A1"/>
    <w:rsid w:val="00B71188"/>
    <w:rsid w:val="00B76A41"/>
    <w:rsid w:val="00B87D4C"/>
    <w:rsid w:val="00B93646"/>
    <w:rsid w:val="00B9531B"/>
    <w:rsid w:val="00BA0B38"/>
    <w:rsid w:val="00BA1DBB"/>
    <w:rsid w:val="00BA2F55"/>
    <w:rsid w:val="00BA4510"/>
    <w:rsid w:val="00BA529A"/>
    <w:rsid w:val="00BB612A"/>
    <w:rsid w:val="00BD2595"/>
    <w:rsid w:val="00BD499F"/>
    <w:rsid w:val="00BD56DE"/>
    <w:rsid w:val="00BF2406"/>
    <w:rsid w:val="00C05937"/>
    <w:rsid w:val="00C06E43"/>
    <w:rsid w:val="00C16315"/>
    <w:rsid w:val="00C3091E"/>
    <w:rsid w:val="00C32C20"/>
    <w:rsid w:val="00C33576"/>
    <w:rsid w:val="00C369D3"/>
    <w:rsid w:val="00C40FF1"/>
    <w:rsid w:val="00C419E2"/>
    <w:rsid w:val="00C5020E"/>
    <w:rsid w:val="00C5637F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018E"/>
    <w:rsid w:val="00C850A0"/>
    <w:rsid w:val="00C85A86"/>
    <w:rsid w:val="00C978F0"/>
    <w:rsid w:val="00CA58FE"/>
    <w:rsid w:val="00CB1CB1"/>
    <w:rsid w:val="00CB6BC1"/>
    <w:rsid w:val="00CB6CB8"/>
    <w:rsid w:val="00CC1A68"/>
    <w:rsid w:val="00CC2123"/>
    <w:rsid w:val="00CD2BFD"/>
    <w:rsid w:val="00CE10C7"/>
    <w:rsid w:val="00CE5AD6"/>
    <w:rsid w:val="00CE617F"/>
    <w:rsid w:val="00CE73B4"/>
    <w:rsid w:val="00CE78EF"/>
    <w:rsid w:val="00CF02F0"/>
    <w:rsid w:val="00D048F7"/>
    <w:rsid w:val="00D0517E"/>
    <w:rsid w:val="00D140FC"/>
    <w:rsid w:val="00D21D8C"/>
    <w:rsid w:val="00D31357"/>
    <w:rsid w:val="00D33220"/>
    <w:rsid w:val="00D334D1"/>
    <w:rsid w:val="00D44C89"/>
    <w:rsid w:val="00D46E55"/>
    <w:rsid w:val="00D516CD"/>
    <w:rsid w:val="00D54A42"/>
    <w:rsid w:val="00D668E6"/>
    <w:rsid w:val="00D70670"/>
    <w:rsid w:val="00D74D80"/>
    <w:rsid w:val="00D76624"/>
    <w:rsid w:val="00D7729B"/>
    <w:rsid w:val="00D87570"/>
    <w:rsid w:val="00D91CB9"/>
    <w:rsid w:val="00D97989"/>
    <w:rsid w:val="00D97D8D"/>
    <w:rsid w:val="00DA352E"/>
    <w:rsid w:val="00DB37D6"/>
    <w:rsid w:val="00DB5435"/>
    <w:rsid w:val="00DC7694"/>
    <w:rsid w:val="00DD0432"/>
    <w:rsid w:val="00DD139D"/>
    <w:rsid w:val="00DD1BF6"/>
    <w:rsid w:val="00DD2F9B"/>
    <w:rsid w:val="00DE2513"/>
    <w:rsid w:val="00DE26E8"/>
    <w:rsid w:val="00DE2959"/>
    <w:rsid w:val="00DF6F36"/>
    <w:rsid w:val="00E0084C"/>
    <w:rsid w:val="00E013F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51CAF"/>
    <w:rsid w:val="00E60F04"/>
    <w:rsid w:val="00E62AAC"/>
    <w:rsid w:val="00E67C2F"/>
    <w:rsid w:val="00E67EF5"/>
    <w:rsid w:val="00E804EA"/>
    <w:rsid w:val="00E80A71"/>
    <w:rsid w:val="00E82337"/>
    <w:rsid w:val="00E92499"/>
    <w:rsid w:val="00E949AF"/>
    <w:rsid w:val="00E95B7B"/>
    <w:rsid w:val="00E96077"/>
    <w:rsid w:val="00EA0A06"/>
    <w:rsid w:val="00EA6243"/>
    <w:rsid w:val="00EA74AB"/>
    <w:rsid w:val="00EB3D1B"/>
    <w:rsid w:val="00ED1D89"/>
    <w:rsid w:val="00ED66BC"/>
    <w:rsid w:val="00EF233A"/>
    <w:rsid w:val="00EF303E"/>
    <w:rsid w:val="00EF3A40"/>
    <w:rsid w:val="00EF5885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2A86"/>
    <w:rsid w:val="00F236DF"/>
    <w:rsid w:val="00F43AD5"/>
    <w:rsid w:val="00F4402E"/>
    <w:rsid w:val="00F55EB2"/>
    <w:rsid w:val="00F56DD0"/>
    <w:rsid w:val="00F6491C"/>
    <w:rsid w:val="00F67BBB"/>
    <w:rsid w:val="00F86142"/>
    <w:rsid w:val="00F87D92"/>
    <w:rsid w:val="00F90AA7"/>
    <w:rsid w:val="00F92498"/>
    <w:rsid w:val="00F9496B"/>
    <w:rsid w:val="00F970C9"/>
    <w:rsid w:val="00FA06A8"/>
    <w:rsid w:val="00FA387F"/>
    <w:rsid w:val="00FA3DF5"/>
    <w:rsid w:val="00FA741F"/>
    <w:rsid w:val="00FB4E07"/>
    <w:rsid w:val="00FB755A"/>
    <w:rsid w:val="00FC60A2"/>
    <w:rsid w:val="00FD1871"/>
    <w:rsid w:val="00FD3110"/>
    <w:rsid w:val="00FF5C2D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9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567FFE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152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522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522E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52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522E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395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CAD2D506A5824AB88D896BC2795BC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99D28C-1B09-4DD0-B83A-09A1AFF622AA}"/>
      </w:docPartPr>
      <w:docPartBody>
        <w:p w:rsidR="00D21A9F" w:rsidRDefault="00D21A9F">
          <w:pPr>
            <w:pStyle w:val="CAD2D506A5824AB88D896BC2795BCEDE"/>
          </w:pPr>
          <w:r w:rsidRPr="001D56F0">
            <w:rPr>
              <w:rStyle w:val="PlaceholderText"/>
            </w:rPr>
            <w:t>Choose an item.</w:t>
          </w:r>
        </w:p>
      </w:docPartBody>
    </w:docPart>
    <w:docPart>
      <w:docPartPr>
        <w:name w:val="F426C563814E402488AC06CC39354A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A6214-28BA-4138-BF55-E76AD08567C8}"/>
      </w:docPartPr>
      <w:docPartBody>
        <w:p w:rsidR="00D21A9F" w:rsidRDefault="00D21A9F">
          <w:pPr>
            <w:pStyle w:val="F426C563814E402488AC06CC39354A11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79A1E2A0F9B14AC98007A14843E8C1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A0D1EF-3E2E-4ED0-9EF4-51E51D499FD0}"/>
      </w:docPartPr>
      <w:docPartBody>
        <w:p w:rsidR="00BD0130" w:rsidRDefault="00BD0130">
          <w:pPr>
            <w:pStyle w:val="79A1E2A0F9B14AC98007A14843E8C1A1"/>
          </w:pPr>
          <w:r w:rsidRPr="00724F1C">
            <w:rPr>
              <w:rStyle w:val="PlaceholderText"/>
            </w:rPr>
            <w:t>Choose an item.</w:t>
          </w:r>
        </w:p>
      </w:docPartBody>
    </w:docPart>
    <w:docPart>
      <w:docPartPr>
        <w:name w:val="9E9AB9ABB6FE4627B855B4730D9E71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680685-44E8-4F83-B872-59882DA2DFC4}"/>
      </w:docPartPr>
      <w:docPartBody>
        <w:p w:rsidR="00934ADD" w:rsidRDefault="00A30799" w:rsidP="00A30799">
          <w:pPr>
            <w:pStyle w:val="9E9AB9ABB6FE4627B855B4730D9E7129"/>
          </w:pPr>
          <w:r>
            <w:rPr>
              <w:rStyle w:val="PlaceholderText"/>
            </w:rPr>
            <w:t>Has this value changed?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6D6D1C"/>
    <w:rsid w:val="00934ADD"/>
    <w:rsid w:val="00972A47"/>
    <w:rsid w:val="00A30799"/>
    <w:rsid w:val="00BB47F6"/>
    <w:rsid w:val="00BD0130"/>
    <w:rsid w:val="00D21A9F"/>
    <w:rsid w:val="00D73E68"/>
    <w:rsid w:val="00DD6F9D"/>
    <w:rsid w:val="00F41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30799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CAD2D506A5824AB88D896BC2795BCEDE">
    <w:name w:val="CAD2D506A5824AB88D896BC2795BCEDE"/>
  </w:style>
  <w:style w:type="paragraph" w:customStyle="1" w:styleId="F426C563814E402488AC06CC39354A11">
    <w:name w:val="F426C563814E402488AC06CC39354A11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79A1E2A0F9B14AC98007A14843E8C1A1">
    <w:name w:val="79A1E2A0F9B14AC98007A14843E8C1A1"/>
  </w:style>
  <w:style w:type="paragraph" w:customStyle="1" w:styleId="9E9AB9ABB6FE4627B855B4730D9E7129">
    <w:name w:val="9E9AB9ABB6FE4627B855B4730D9E7129"/>
    <w:rsid w:val="00A307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48839D-B086-4C01-B4A9-C125A57BCDB3}">
  <ds:schemaRefs>
    <ds:schemaRef ds:uri="http://purl.org/dc/terms/"/>
    <ds:schemaRef ds:uri="http://schemas.openxmlformats.org/package/2006/metadata/core-properties"/>
    <ds:schemaRef ds:uri="http://purl.org/dc/dcmitype/"/>
    <ds:schemaRef ds:uri="bf54d604-3e62-4e70-ba33-9e9084b96a66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30D754E-D8D1-4CDE-A89B-5E6EFE0EBCA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6942373-EB73-416C-8380-D24973468573}"/>
</file>

<file path=customXml/itemProps4.xml><?xml version="1.0" encoding="utf-8"?>
<ds:datastoreItem xmlns:ds="http://schemas.openxmlformats.org/officeDocument/2006/customXml" ds:itemID="{184AACEB-3857-4999-9247-693F68070F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781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2019-10-08T00:51:00Z</dcterms:created>
  <dcterms:modified xsi:type="dcterms:W3CDTF">2025-12-22T03:39:00Z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2025-12-22T03:39:05Z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5a6418b1-4c1b-4e98-8707-8df99d24fe6d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