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19B8D70" w14:textId="77777777" w:rsidR="00BD499F" w:rsidRPr="004C23F4" w:rsidRDefault="00280904" w:rsidP="00B40C60">
          <w:pPr>
            <w:pStyle w:val="Heading1"/>
            <w:jc w:val="center"/>
            <w:rPr>
              <w:rFonts w:ascii="Arial" w:hAnsi="Arial" w:cs="Arial"/>
            </w:rPr>
          </w:pPr>
          <w:r w:rsidRPr="00280904">
            <w:t>DDT (Dichlorodiphenyl</w:t>
          </w:r>
          <w:r>
            <w:t>-</w:t>
          </w:r>
          <w:r w:rsidRPr="00280904">
            <w:t>trichloroethane</w:t>
          </w:r>
          <w:r>
            <w:t>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54"/>
        <w:gridCol w:w="5072"/>
      </w:tblGrid>
      <w:tr w:rsidR="00F43AD5" w:rsidRPr="004C23F4" w14:paraId="72F8D990" w14:textId="77777777" w:rsidTr="007A194A">
        <w:trPr>
          <w:cantSplit/>
          <w:tblHeader/>
        </w:trPr>
        <w:tc>
          <w:tcPr>
            <w:tcW w:w="3954" w:type="dxa"/>
          </w:tcPr>
          <w:p w14:paraId="378DCEB7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72" w:type="dxa"/>
          </w:tcPr>
          <w:p w14:paraId="564011D4" w14:textId="77777777" w:rsidR="00F43AD5" w:rsidRPr="00717D45" w:rsidRDefault="00E42EC7" w:rsidP="00B76A41">
            <w:pPr>
              <w:pStyle w:val="Tablefont"/>
            </w:pPr>
            <w:r w:rsidRPr="00E42EC7">
              <w:t>50-29-3</w:t>
            </w:r>
          </w:p>
        </w:tc>
      </w:tr>
      <w:tr w:rsidR="00F43AD5" w:rsidRPr="004C23F4" w14:paraId="339837E9" w14:textId="77777777" w:rsidTr="007A194A">
        <w:trPr>
          <w:cantSplit/>
        </w:trPr>
        <w:tc>
          <w:tcPr>
            <w:tcW w:w="3954" w:type="dxa"/>
          </w:tcPr>
          <w:p w14:paraId="4FBF6A90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72" w:type="dxa"/>
          </w:tcPr>
          <w:p w14:paraId="195D83DB" w14:textId="034DD563" w:rsidR="00F43AD5" w:rsidRPr="00717D45" w:rsidRDefault="00C15ADD" w:rsidP="001B51EC">
            <w:pPr>
              <w:pStyle w:val="Tablefont"/>
            </w:pPr>
            <w:r w:rsidRPr="00C15ADD">
              <w:t>Dichlorodiphenyltrichloroethane</w:t>
            </w:r>
            <w:r>
              <w:t>,</w:t>
            </w:r>
            <w:r w:rsidRPr="00C15ADD">
              <w:t xml:space="preserve"> </w:t>
            </w:r>
            <w:proofErr w:type="spellStart"/>
            <w:r w:rsidRPr="00C15ADD">
              <w:t>Agritan</w:t>
            </w:r>
            <w:proofErr w:type="spellEnd"/>
            <w:r>
              <w:t>,</w:t>
            </w:r>
            <w:r w:rsidRPr="00C15ADD">
              <w:t xml:space="preserve"> </w:t>
            </w:r>
            <w:r w:rsidR="001B51EC">
              <w:br/>
            </w:r>
            <w:r w:rsidRPr="00C15ADD">
              <w:t>2,2-bis(p-Chlorophenyl)-1,1,1-trichloro-ethane</w:t>
            </w:r>
            <w:r>
              <w:t>,</w:t>
            </w:r>
            <w:r w:rsidR="001A76CA">
              <w:t xml:space="preserve"> </w:t>
            </w:r>
            <w:proofErr w:type="spellStart"/>
            <w:r w:rsidR="001A76CA">
              <w:t>c</w:t>
            </w:r>
            <w:r w:rsidRPr="00C15ADD">
              <w:t>hlorophenothane</w:t>
            </w:r>
            <w:proofErr w:type="spellEnd"/>
            <w:r>
              <w:t xml:space="preserve">, Chlorine </w:t>
            </w:r>
            <w:proofErr w:type="spellStart"/>
            <w:r>
              <w:t>phenothane</w:t>
            </w:r>
            <w:proofErr w:type="spellEnd"/>
            <w:r>
              <w:t xml:space="preserve">; ENT 1506, </w:t>
            </w:r>
            <w:proofErr w:type="spellStart"/>
            <w:r w:rsidRPr="00C15ADD">
              <w:t>Gesarol</w:t>
            </w:r>
            <w:proofErr w:type="spellEnd"/>
            <w:r>
              <w:t>,</w:t>
            </w:r>
            <w:r w:rsidRPr="00C15ADD">
              <w:t xml:space="preserve"> </w:t>
            </w:r>
            <w:proofErr w:type="spellStart"/>
            <w:r w:rsidRPr="00C15ADD">
              <w:t>Neocid</w:t>
            </w:r>
            <w:proofErr w:type="spellEnd"/>
          </w:p>
        </w:tc>
      </w:tr>
      <w:tr w:rsidR="00F43AD5" w:rsidRPr="004C23F4" w14:paraId="005C5B49" w14:textId="77777777" w:rsidTr="007A194A">
        <w:trPr>
          <w:cantSplit/>
        </w:trPr>
        <w:tc>
          <w:tcPr>
            <w:tcW w:w="3954" w:type="dxa"/>
          </w:tcPr>
          <w:p w14:paraId="71A5A6D4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72" w:type="dxa"/>
          </w:tcPr>
          <w:p w14:paraId="7AFE1443" w14:textId="77777777" w:rsidR="00F43AD5" w:rsidRPr="00717D45" w:rsidRDefault="00C15ADD" w:rsidP="00B76A41">
            <w:pPr>
              <w:pStyle w:val="Tablefont"/>
            </w:pPr>
            <w:r w:rsidRPr="00C15ADD">
              <w:t>C</w:t>
            </w:r>
            <w:r w:rsidRPr="00C15ADD">
              <w:rPr>
                <w:vertAlign w:val="subscript"/>
              </w:rPr>
              <w:t>14</w:t>
            </w:r>
            <w:r w:rsidRPr="00C15ADD">
              <w:t>H</w:t>
            </w:r>
            <w:r w:rsidRPr="00C15ADD">
              <w:rPr>
                <w:vertAlign w:val="subscript"/>
              </w:rPr>
              <w:t>9</w:t>
            </w:r>
            <w:r w:rsidRPr="00C15ADD">
              <w:t>Cl</w:t>
            </w:r>
            <w:r w:rsidRPr="00C15ADD">
              <w:rPr>
                <w:vertAlign w:val="subscript"/>
              </w:rPr>
              <w:t>5</w:t>
            </w:r>
          </w:p>
        </w:tc>
      </w:tr>
    </w:tbl>
    <w:p w14:paraId="1A6D9748" w14:textId="7476B836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E33F31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25E9FBD" w14:textId="77777777" w:rsidTr="00C15ADD">
        <w:trPr>
          <w:cantSplit/>
          <w:tblHeader/>
        </w:trPr>
        <w:tc>
          <w:tcPr>
            <w:tcW w:w="4010" w:type="dxa"/>
            <w:vAlign w:val="center"/>
          </w:tcPr>
          <w:p w14:paraId="79517028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448A7EA" w14:textId="530A2CF2" w:rsidR="002C7AFE" w:rsidRPr="006B6CFC" w:rsidRDefault="00E33F3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</w:t>
            </w:r>
            <w:r w:rsidR="00A85220">
              <w:rPr>
                <w:b/>
              </w:rPr>
              <w:t xml:space="preserve"> </w:t>
            </w:r>
            <w:r w:rsidR="006B6CFC">
              <w:rPr>
                <w:b/>
              </w:rPr>
              <w:t>mg/m</w:t>
            </w:r>
            <w:r w:rsidR="006B6CFC" w:rsidRPr="006B6CFC">
              <w:rPr>
                <w:b/>
                <w:vertAlign w:val="superscript"/>
              </w:rPr>
              <w:t>3</w:t>
            </w:r>
            <w:r w:rsidR="006B6CFC">
              <w:rPr>
                <w:b/>
              </w:rPr>
              <w:t xml:space="preserve"> </w:t>
            </w:r>
          </w:p>
        </w:tc>
      </w:tr>
      <w:tr w:rsidR="00C15ADD" w:rsidRPr="004C23F4" w14:paraId="184C0BAE" w14:textId="77777777" w:rsidTr="00C15ADD">
        <w:trPr>
          <w:cantSplit/>
        </w:trPr>
        <w:tc>
          <w:tcPr>
            <w:tcW w:w="4010" w:type="dxa"/>
            <w:vAlign w:val="center"/>
          </w:tcPr>
          <w:p w14:paraId="7322E66E" w14:textId="77777777" w:rsidR="00C15ADD" w:rsidRPr="002C58FF" w:rsidRDefault="00C15ADD" w:rsidP="00C15ADD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1CEF02D3" w14:textId="77777777" w:rsidR="00C15ADD" w:rsidRPr="00767E24" w:rsidRDefault="00C15ADD" w:rsidP="00767E24">
            <w:pPr>
              <w:pStyle w:val="Tablefont"/>
              <w:rPr>
                <w:b/>
              </w:rPr>
            </w:pPr>
            <w:r w:rsidRPr="00C20350">
              <w:rPr>
                <w:b/>
              </w:rPr>
              <w:t>—</w:t>
            </w:r>
          </w:p>
        </w:tc>
      </w:tr>
      <w:tr w:rsidR="00C15ADD" w:rsidRPr="004C23F4" w14:paraId="308C5F08" w14:textId="77777777" w:rsidTr="00C15ADD">
        <w:trPr>
          <w:cantSplit/>
        </w:trPr>
        <w:tc>
          <w:tcPr>
            <w:tcW w:w="4010" w:type="dxa"/>
            <w:vAlign w:val="center"/>
          </w:tcPr>
          <w:p w14:paraId="3868E070" w14:textId="77777777" w:rsidR="00C15ADD" w:rsidRPr="002C58FF" w:rsidRDefault="00C15ADD" w:rsidP="00C15ADD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2A76F471" w14:textId="79CDBF8F" w:rsidR="00C15ADD" w:rsidRPr="00767E24" w:rsidRDefault="00F40E1D" w:rsidP="00767E24">
            <w:pPr>
              <w:pStyle w:val="Tablefont"/>
              <w:rPr>
                <w:b/>
              </w:rPr>
            </w:pPr>
            <w:r w:rsidRPr="00C20350">
              <w:rPr>
                <w:b/>
              </w:rPr>
              <w:t>—</w:t>
            </w:r>
          </w:p>
        </w:tc>
      </w:tr>
      <w:tr w:rsidR="00C15ADD" w:rsidRPr="004C23F4" w14:paraId="0BC3868C" w14:textId="77777777" w:rsidTr="00C15ADD">
        <w:trPr>
          <w:cantSplit/>
        </w:trPr>
        <w:tc>
          <w:tcPr>
            <w:tcW w:w="4010" w:type="dxa"/>
          </w:tcPr>
          <w:p w14:paraId="1426706E" w14:textId="77777777" w:rsidR="00C15ADD" w:rsidRPr="002C58FF" w:rsidRDefault="00C15ADD" w:rsidP="00C15ADD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21B3DA1E" w14:textId="55A328E7" w:rsidR="00C15ADD" w:rsidRPr="00767E24" w:rsidRDefault="005C0AC5" w:rsidP="00767E24">
            <w:pPr>
              <w:pStyle w:val="Tablefont"/>
              <w:rPr>
                <w:b/>
              </w:rPr>
            </w:pPr>
            <w:proofErr w:type="spellStart"/>
            <w:r>
              <w:rPr>
                <w:b/>
              </w:rPr>
              <w:t>Carc</w:t>
            </w:r>
            <w:proofErr w:type="spellEnd"/>
            <w:r>
              <w:rPr>
                <w:b/>
              </w:rPr>
              <w:t xml:space="preserve"> 2</w:t>
            </w:r>
            <w:r w:rsidR="00681302">
              <w:rPr>
                <w:b/>
              </w:rPr>
              <w:t>.</w:t>
            </w:r>
          </w:p>
        </w:tc>
      </w:tr>
      <w:tr w:rsidR="00C15ADD" w:rsidRPr="004C23F4" w14:paraId="52780DF0" w14:textId="77777777" w:rsidTr="00C15ADD">
        <w:trPr>
          <w:cantSplit/>
        </w:trPr>
        <w:tc>
          <w:tcPr>
            <w:tcW w:w="4010" w:type="dxa"/>
            <w:vAlign w:val="center"/>
          </w:tcPr>
          <w:p w14:paraId="670D4D92" w14:textId="77777777" w:rsidR="00C15ADD" w:rsidRPr="002C58FF" w:rsidRDefault="00C15ADD" w:rsidP="00C15ADD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0465DA65" w14:textId="1B1A5B8E" w:rsidR="00C15ADD" w:rsidRPr="00767E24" w:rsidRDefault="00E112A1" w:rsidP="00767E24">
            <w:pPr>
              <w:pStyle w:val="Tablefont"/>
              <w:rPr>
                <w:b/>
              </w:rPr>
            </w:pPr>
            <w:r>
              <w:rPr>
                <w:b/>
              </w:rPr>
              <w:t>500 mg/m</w:t>
            </w:r>
            <w:r w:rsidRPr="009836DC">
              <w:rPr>
                <w:b/>
                <w:vertAlign w:val="superscript"/>
              </w:rPr>
              <w:t>3</w:t>
            </w:r>
          </w:p>
        </w:tc>
      </w:tr>
      <w:tr w:rsidR="00610B0B" w:rsidRPr="004C23F4" w14:paraId="764C1C0D" w14:textId="77777777" w:rsidTr="00177515">
        <w:trPr>
          <w:cantSplit/>
        </w:trPr>
        <w:tc>
          <w:tcPr>
            <w:tcW w:w="9026" w:type="dxa"/>
            <w:gridSpan w:val="2"/>
          </w:tcPr>
          <w:p w14:paraId="4E5D8F37" w14:textId="39D9188D" w:rsidR="00610B0B" w:rsidRPr="008D7294" w:rsidRDefault="00610B0B" w:rsidP="00767E24">
            <w:pPr>
              <w:pStyle w:val="Tablefont"/>
            </w:pPr>
            <w:r w:rsidRPr="00174E54">
              <w:rPr>
                <w:b/>
              </w:rPr>
              <w:t>Sampling and analysis:</w:t>
            </w:r>
            <w:r w:rsidRPr="00174E54">
              <w:rPr>
                <w:rStyle w:val="WESstatus"/>
                <w:b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004AFBC547704CB7B1DCD0962E0D5FBD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174E54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60DD0E37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B77389D" w14:textId="777E3E7D" w:rsidR="006639B4" w:rsidRPr="009836DC" w:rsidRDefault="00064D6D" w:rsidP="000C139A">
      <w:pPr>
        <w:rPr>
          <w:rFonts w:cs="Arial"/>
        </w:rPr>
      </w:pPr>
      <w:r w:rsidRPr="009836DC">
        <w:rPr>
          <w:rFonts w:cs="Arial"/>
        </w:rPr>
        <w:t xml:space="preserve">A </w:t>
      </w:r>
      <w:r w:rsidRPr="009836DC">
        <w:rPr>
          <w:rFonts w:eastAsia="Calibri" w:cs="Times New Roman"/>
        </w:rPr>
        <w:t xml:space="preserve">TWA of </w:t>
      </w:r>
      <w:r w:rsidR="00E33F31">
        <w:rPr>
          <w:rFonts w:cs="Arial"/>
        </w:rPr>
        <w:t>1</w:t>
      </w:r>
      <w:r w:rsidRPr="009836DC">
        <w:rPr>
          <w:rFonts w:cs="Arial"/>
        </w:rPr>
        <w:t xml:space="preserve"> mg/m</w:t>
      </w:r>
      <w:r w:rsidRPr="009836DC">
        <w:rPr>
          <w:rFonts w:cs="Arial"/>
          <w:vertAlign w:val="superscript"/>
        </w:rPr>
        <w:t>3</w:t>
      </w:r>
      <w:r w:rsidRPr="009836DC">
        <w:rPr>
          <w:rFonts w:cs="Arial"/>
        </w:rPr>
        <w:t xml:space="preserve"> is </w:t>
      </w:r>
      <w:r w:rsidR="001867E5">
        <w:rPr>
          <w:rFonts w:cs="Arial"/>
        </w:rPr>
        <w:t>recommended</w:t>
      </w:r>
      <w:r w:rsidRPr="009836DC">
        <w:rPr>
          <w:rFonts w:cs="Arial"/>
        </w:rPr>
        <w:t xml:space="preserve"> </w:t>
      </w:r>
      <w:r w:rsidRPr="009836DC">
        <w:rPr>
          <w:rFonts w:eastAsia="Calibri" w:cs="Times New Roman"/>
        </w:rPr>
        <w:t xml:space="preserve">to protect for </w:t>
      </w:r>
      <w:r w:rsidRPr="009836DC">
        <w:t xml:space="preserve">eye irritation, acute central nervous system </w:t>
      </w:r>
      <w:r w:rsidR="001B51EC">
        <w:t xml:space="preserve">(CNS) </w:t>
      </w:r>
      <w:r w:rsidRPr="009836DC">
        <w:t xml:space="preserve">effects and </w:t>
      </w:r>
      <w:r w:rsidR="00A85220">
        <w:rPr>
          <w:rFonts w:cs="Arial"/>
        </w:rPr>
        <w:t>adverse liver effects</w:t>
      </w:r>
      <w:r w:rsidR="005A4BBF">
        <w:rPr>
          <w:rFonts w:cs="Arial"/>
        </w:rPr>
        <w:t xml:space="preserve"> in exposed workers</w:t>
      </w:r>
      <w:r w:rsidRPr="009836DC">
        <w:rPr>
          <w:rFonts w:eastAsia="Calibri" w:cs="Times New Roman"/>
        </w:rPr>
        <w:t xml:space="preserve">. </w:t>
      </w:r>
    </w:p>
    <w:p w14:paraId="47C39056" w14:textId="77777777" w:rsidR="00C7155E" w:rsidRPr="009836DC" w:rsidRDefault="00F10C97" w:rsidP="003365A5">
      <w:pPr>
        <w:pStyle w:val="Heading2"/>
        <w:rPr>
          <w:color w:val="auto"/>
        </w:rPr>
      </w:pPr>
      <w:r w:rsidRPr="009836DC">
        <w:rPr>
          <w:color w:val="auto"/>
        </w:rPr>
        <w:t>Discussion and conclusions</w:t>
      </w:r>
    </w:p>
    <w:p w14:paraId="65AE9905" w14:textId="11CD1F3C" w:rsidR="001B51EC" w:rsidRDefault="00DD63DD" w:rsidP="006639B4">
      <w:pPr>
        <w:rPr>
          <w:rFonts w:cs="Arial"/>
        </w:rPr>
      </w:pPr>
      <w:proofErr w:type="spellStart"/>
      <w:r>
        <w:rPr>
          <w:rFonts w:cs="Arial"/>
        </w:rPr>
        <w:t>Dichlorodiphenyl</w:t>
      </w:r>
      <w:proofErr w:type="spellEnd"/>
      <w:r>
        <w:rPr>
          <w:rFonts w:cs="Arial"/>
        </w:rPr>
        <w:t>-trichloroethane (</w:t>
      </w:r>
      <w:r w:rsidR="00064D6D" w:rsidRPr="009836DC">
        <w:rPr>
          <w:rFonts w:cs="Arial"/>
        </w:rPr>
        <w:t>DDT</w:t>
      </w:r>
      <w:r>
        <w:rPr>
          <w:rFonts w:cs="Arial"/>
        </w:rPr>
        <w:t>)</w:t>
      </w:r>
      <w:r w:rsidR="00064D6D" w:rsidRPr="009836DC">
        <w:rPr>
          <w:rFonts w:cs="Arial"/>
        </w:rPr>
        <w:t xml:space="preserve"> is a</w:t>
      </w:r>
      <w:r w:rsidR="007A6C27">
        <w:rPr>
          <w:rFonts w:cs="Arial"/>
        </w:rPr>
        <w:t>n</w:t>
      </w:r>
      <w:r w:rsidR="00064D6D" w:rsidRPr="009836DC">
        <w:rPr>
          <w:rFonts w:cs="Arial"/>
        </w:rPr>
        <w:t xml:space="preserve"> organochloride pesticide previous</w:t>
      </w:r>
      <w:r w:rsidR="003B6A10">
        <w:rPr>
          <w:rFonts w:cs="Arial"/>
        </w:rPr>
        <w:t>ly</w:t>
      </w:r>
      <w:r w:rsidR="00064D6D" w:rsidRPr="009836DC">
        <w:rPr>
          <w:rFonts w:cs="Arial"/>
        </w:rPr>
        <w:t xml:space="preserve"> used in the agricultural industries and for </w:t>
      </w:r>
      <w:r w:rsidR="002B14AE">
        <w:rPr>
          <w:rFonts w:cs="Arial"/>
        </w:rPr>
        <w:t>mosquito</w:t>
      </w:r>
      <w:r w:rsidR="00064D6D" w:rsidRPr="009836DC">
        <w:rPr>
          <w:rFonts w:cs="Arial"/>
        </w:rPr>
        <w:t xml:space="preserve"> control</w:t>
      </w:r>
      <w:r w:rsidR="001B51EC">
        <w:rPr>
          <w:rFonts w:cs="Arial"/>
        </w:rPr>
        <w:t>.</w:t>
      </w:r>
      <w:r w:rsidR="00064D6D" w:rsidRPr="009836DC">
        <w:rPr>
          <w:rFonts w:cs="Arial"/>
        </w:rPr>
        <w:t xml:space="preserve"> </w:t>
      </w:r>
      <w:r w:rsidR="007A194A">
        <w:rPr>
          <w:rFonts w:cs="Arial"/>
        </w:rPr>
        <w:t>Its u</w:t>
      </w:r>
      <w:r w:rsidR="00064D6D" w:rsidRPr="009836DC">
        <w:rPr>
          <w:rFonts w:cs="Arial"/>
        </w:rPr>
        <w:t>se is heavily restricted across the world, with a ban on use in Australia.</w:t>
      </w:r>
      <w:r w:rsidR="007A6C27">
        <w:rPr>
          <w:rFonts w:cs="Arial"/>
        </w:rPr>
        <w:t xml:space="preserve"> </w:t>
      </w:r>
    </w:p>
    <w:p w14:paraId="1A809690" w14:textId="021AEF99" w:rsidR="00E51689" w:rsidRDefault="007A6C27" w:rsidP="006639B4">
      <w:pPr>
        <w:rPr>
          <w:rFonts w:cs="Arial"/>
        </w:rPr>
      </w:pPr>
      <w:r>
        <w:rPr>
          <w:rFonts w:cs="Arial"/>
        </w:rPr>
        <w:t xml:space="preserve">DDT </w:t>
      </w:r>
      <w:r>
        <w:t>can accumulate in the body</w:t>
      </w:r>
      <w:r w:rsidR="00E51689">
        <w:t xml:space="preserve">, </w:t>
      </w:r>
      <w:r>
        <w:t>has the potential for eye irritation and acute CNS effects</w:t>
      </w:r>
      <w:r w:rsidR="007D3760">
        <w:t xml:space="preserve"> and</w:t>
      </w:r>
      <w:r>
        <w:t xml:space="preserve"> tumours</w:t>
      </w:r>
      <w:r w:rsidR="007D3760">
        <w:t xml:space="preserve"> have been reported in mice (ACGIH, 2018)</w:t>
      </w:r>
      <w:r w:rsidR="001B51EC">
        <w:t xml:space="preserve">. </w:t>
      </w:r>
      <w:r w:rsidR="000117FD">
        <w:rPr>
          <w:rFonts w:cs="Arial"/>
        </w:rPr>
        <w:t>Human males were reported to endure a dose of 35 mg per day without ill effects. At this dose</w:t>
      </w:r>
      <w:r w:rsidR="00A44351">
        <w:rPr>
          <w:rFonts w:cs="Arial"/>
        </w:rPr>
        <w:t>,</w:t>
      </w:r>
      <w:r w:rsidR="000117FD">
        <w:rPr>
          <w:rFonts w:cs="Arial"/>
        </w:rPr>
        <w:t xml:space="preserve"> an average of 281 ppm is </w:t>
      </w:r>
      <w:r w:rsidR="00A44351">
        <w:rPr>
          <w:rFonts w:cs="Arial"/>
        </w:rPr>
        <w:t xml:space="preserve">reported to be </w:t>
      </w:r>
      <w:r w:rsidR="000117FD">
        <w:rPr>
          <w:rFonts w:cs="Arial"/>
        </w:rPr>
        <w:t xml:space="preserve">stored in fat with one example reaching </w:t>
      </w:r>
      <w:r w:rsidR="00A44351">
        <w:rPr>
          <w:rFonts w:cs="Arial"/>
        </w:rPr>
        <w:t>648</w:t>
      </w:r>
      <w:r w:rsidR="000117FD">
        <w:rPr>
          <w:rFonts w:cs="Arial"/>
        </w:rPr>
        <w:t xml:space="preserve"> ppm without ill effects (ACGIH, 2018).</w:t>
      </w:r>
      <w:r w:rsidR="00A44351">
        <w:rPr>
          <w:rFonts w:cs="Arial"/>
        </w:rPr>
        <w:t xml:space="preserve"> </w:t>
      </w:r>
      <w:r w:rsidR="00E51689" w:rsidRPr="009836DC">
        <w:rPr>
          <w:rFonts w:cs="Arial"/>
        </w:rPr>
        <w:t>Liver</w:t>
      </w:r>
      <w:r w:rsidR="00861C63" w:rsidRPr="009836DC">
        <w:rPr>
          <w:rFonts w:cs="Arial"/>
        </w:rPr>
        <w:t xml:space="preserve"> tissue damage </w:t>
      </w:r>
      <w:r w:rsidR="001B51EC">
        <w:rPr>
          <w:rFonts w:cs="Arial"/>
        </w:rPr>
        <w:t>and</w:t>
      </w:r>
      <w:r w:rsidR="00861C63" w:rsidRPr="009836DC">
        <w:rPr>
          <w:rFonts w:cs="Arial"/>
        </w:rPr>
        <w:t xml:space="preserve"> </w:t>
      </w:r>
      <w:r w:rsidR="001B51EC">
        <w:rPr>
          <w:rFonts w:cs="Arial"/>
        </w:rPr>
        <w:t xml:space="preserve">liver cancers </w:t>
      </w:r>
      <w:r w:rsidR="00B57450" w:rsidRPr="009836DC">
        <w:rPr>
          <w:rFonts w:cs="Arial"/>
        </w:rPr>
        <w:t xml:space="preserve">with a significant increase in </w:t>
      </w:r>
      <w:r w:rsidR="00A5600C" w:rsidRPr="009836DC">
        <w:rPr>
          <w:rFonts w:cs="Arial"/>
        </w:rPr>
        <w:t>malignan</w:t>
      </w:r>
      <w:r w:rsidR="00A5600C">
        <w:rPr>
          <w:rFonts w:cs="Arial"/>
        </w:rPr>
        <w:t>cy</w:t>
      </w:r>
      <w:r w:rsidR="00A5600C" w:rsidRPr="009836DC">
        <w:rPr>
          <w:rFonts w:cs="Arial"/>
        </w:rPr>
        <w:t xml:space="preserve"> </w:t>
      </w:r>
      <w:r w:rsidR="00A5600C">
        <w:rPr>
          <w:rFonts w:cs="Arial"/>
        </w:rPr>
        <w:t xml:space="preserve">are </w:t>
      </w:r>
      <w:r w:rsidR="00B57450" w:rsidRPr="009836DC">
        <w:rPr>
          <w:rFonts w:cs="Arial"/>
        </w:rPr>
        <w:t xml:space="preserve">reported in </w:t>
      </w:r>
      <w:bookmarkStart w:id="0" w:name="_Hlk18395198"/>
      <w:r w:rsidR="00610B0B">
        <w:rPr>
          <w:rFonts w:cs="Arial"/>
        </w:rPr>
        <w:t xml:space="preserve">mice </w:t>
      </w:r>
      <w:r w:rsidR="001B51EC">
        <w:rPr>
          <w:rFonts w:cs="Arial"/>
        </w:rPr>
        <w:t>at</w:t>
      </w:r>
      <w:r w:rsidR="00610B0B">
        <w:rPr>
          <w:rFonts w:cs="Arial"/>
        </w:rPr>
        <w:t xml:space="preserve"> up to 250</w:t>
      </w:r>
      <w:r w:rsidR="001B51EC">
        <w:rPr>
          <w:rFonts w:cs="Arial"/>
        </w:rPr>
        <w:t> </w:t>
      </w:r>
      <w:r w:rsidR="00610B0B">
        <w:rPr>
          <w:rFonts w:cs="Arial"/>
        </w:rPr>
        <w:t>ppm of DDT</w:t>
      </w:r>
      <w:r w:rsidR="00EF2F02">
        <w:rPr>
          <w:rFonts w:cs="Arial"/>
        </w:rPr>
        <w:t xml:space="preserve">. </w:t>
      </w:r>
      <w:r w:rsidR="00A85220">
        <w:rPr>
          <w:rFonts w:cs="Arial"/>
        </w:rPr>
        <w:t>A NO</w:t>
      </w:r>
      <w:r w:rsidR="00CD0550">
        <w:rPr>
          <w:rFonts w:cs="Arial"/>
        </w:rPr>
        <w:t>A</w:t>
      </w:r>
      <w:r w:rsidR="00A85220">
        <w:rPr>
          <w:rFonts w:cs="Arial"/>
        </w:rPr>
        <w:t xml:space="preserve">EL of </w:t>
      </w:r>
      <w:r w:rsidR="005764EE">
        <w:rPr>
          <w:rFonts w:cs="Arial"/>
        </w:rPr>
        <w:t>1 ppm</w:t>
      </w:r>
      <w:r w:rsidR="00D670B2">
        <w:rPr>
          <w:rFonts w:cs="Arial"/>
        </w:rPr>
        <w:t xml:space="preserve"> (</w:t>
      </w:r>
      <w:r w:rsidR="00A85220">
        <w:rPr>
          <w:rFonts w:cs="Arial"/>
        </w:rPr>
        <w:t>0.05 mg/kg</w:t>
      </w:r>
      <w:r w:rsidR="005764EE">
        <w:rPr>
          <w:rFonts w:cs="Arial"/>
        </w:rPr>
        <w:t>/day</w:t>
      </w:r>
      <w:r w:rsidR="00D670B2">
        <w:rPr>
          <w:rFonts w:cs="Arial"/>
        </w:rPr>
        <w:t xml:space="preserve">) </w:t>
      </w:r>
      <w:r w:rsidR="00A44351">
        <w:rPr>
          <w:rFonts w:cs="Arial"/>
        </w:rPr>
        <w:t xml:space="preserve">is reported in rats in a </w:t>
      </w:r>
      <w:proofErr w:type="gramStart"/>
      <w:r w:rsidR="007A194A">
        <w:rPr>
          <w:rFonts w:cs="Arial"/>
        </w:rPr>
        <w:t xml:space="preserve">27 </w:t>
      </w:r>
      <w:r w:rsidR="00A85220">
        <w:rPr>
          <w:rFonts w:cs="Arial"/>
        </w:rPr>
        <w:t>week</w:t>
      </w:r>
      <w:proofErr w:type="gramEnd"/>
      <w:r w:rsidR="00A85220">
        <w:rPr>
          <w:rFonts w:cs="Arial"/>
        </w:rPr>
        <w:t xml:space="preserve"> feeding study. The LOAEL was identified at a dose of </w:t>
      </w:r>
      <w:r w:rsidR="00D670B2">
        <w:rPr>
          <w:rFonts w:cs="Arial"/>
        </w:rPr>
        <w:t>5 ppm</w:t>
      </w:r>
      <w:r w:rsidR="00A85220">
        <w:rPr>
          <w:rFonts w:cs="Arial"/>
        </w:rPr>
        <w:t xml:space="preserve"> for liver effects (US EPA, 2002)</w:t>
      </w:r>
      <w:r w:rsidR="00264B2D">
        <w:rPr>
          <w:rFonts w:cs="Arial"/>
        </w:rPr>
        <w:t>.</w:t>
      </w:r>
    </w:p>
    <w:p w14:paraId="34852103" w14:textId="29D15712" w:rsidR="006639B4" w:rsidRPr="009836DC" w:rsidRDefault="00E33F31" w:rsidP="006639B4">
      <w:pPr>
        <w:rPr>
          <w:rFonts w:cs="Arial"/>
        </w:rPr>
      </w:pPr>
      <w:r>
        <w:t>The current TWA</w:t>
      </w:r>
      <w:r w:rsidR="000F423C">
        <w:t xml:space="preserve"> of </w:t>
      </w:r>
      <w:r w:rsidR="000F423C">
        <w:rPr>
          <w:rFonts w:cs="Arial"/>
        </w:rPr>
        <w:t>1</w:t>
      </w:r>
      <w:r w:rsidR="000F423C" w:rsidRPr="009836DC">
        <w:rPr>
          <w:rFonts w:cs="Arial"/>
        </w:rPr>
        <w:t xml:space="preserve"> mg/m</w:t>
      </w:r>
      <w:r w:rsidR="000F423C" w:rsidRPr="009836DC">
        <w:rPr>
          <w:rFonts w:cs="Arial"/>
          <w:vertAlign w:val="superscript"/>
        </w:rPr>
        <w:t>3</w:t>
      </w:r>
      <w:r>
        <w:t xml:space="preserve"> is recommended to be retained on weight of evidence</w:t>
      </w:r>
      <w:r w:rsidR="00A35390">
        <w:t>.</w:t>
      </w:r>
      <w:r w:rsidR="00A44351">
        <w:t xml:space="preserve"> </w:t>
      </w:r>
      <w:r w:rsidR="00A35390">
        <w:t xml:space="preserve">This </w:t>
      </w:r>
      <w:r w:rsidR="00A44351">
        <w:t>TWA is expected to be protective of irritation of the eyes and systemic effects on the CNS and liver.</w:t>
      </w:r>
    </w:p>
    <w:bookmarkEnd w:id="0"/>
    <w:p w14:paraId="72504DE6" w14:textId="77777777" w:rsidR="004529F0" w:rsidRPr="009836DC" w:rsidRDefault="004529F0" w:rsidP="004529F0">
      <w:pPr>
        <w:pStyle w:val="Heading2"/>
        <w:rPr>
          <w:color w:val="auto"/>
        </w:rPr>
      </w:pPr>
      <w:r w:rsidRPr="009836DC">
        <w:rPr>
          <w:color w:val="auto"/>
        </w:rPr>
        <w:t>Recommendation for notations</w:t>
      </w:r>
    </w:p>
    <w:p w14:paraId="0DC95A48" w14:textId="00C9784C" w:rsidR="00C15ADD" w:rsidRPr="003D3F2A" w:rsidRDefault="00064D6D" w:rsidP="00C15ADD">
      <w:pPr>
        <w:rPr>
          <w:rFonts w:cs="Arial"/>
        </w:rPr>
      </w:pPr>
      <w:r w:rsidRPr="009836DC">
        <w:rPr>
          <w:rFonts w:cs="Arial"/>
        </w:rPr>
        <w:t>C</w:t>
      </w:r>
      <w:r w:rsidR="00C15ADD" w:rsidRPr="009836DC">
        <w:rPr>
          <w:rFonts w:cs="Arial"/>
        </w:rPr>
        <w:t xml:space="preserve">lassified as a </w:t>
      </w:r>
      <w:r w:rsidR="005A4BBF">
        <w:rPr>
          <w:rFonts w:cs="Arial"/>
        </w:rPr>
        <w:t>category 2</w:t>
      </w:r>
      <w:r w:rsidRPr="009836DC">
        <w:rPr>
          <w:rFonts w:cs="Arial"/>
        </w:rPr>
        <w:t xml:space="preserve"> </w:t>
      </w:r>
      <w:r w:rsidR="00C15ADD" w:rsidRPr="009836DC">
        <w:rPr>
          <w:rFonts w:cs="Arial"/>
        </w:rPr>
        <w:t xml:space="preserve">carcinogen according to the Globally Harmonized </w:t>
      </w:r>
      <w:r w:rsidR="00C15ADD" w:rsidRPr="003D3F2A">
        <w:rPr>
          <w:rFonts w:cs="Arial"/>
        </w:rPr>
        <w:t>System of Classification and Labelling o</w:t>
      </w:r>
      <w:r w:rsidR="001867E5">
        <w:rPr>
          <w:rFonts w:cs="Arial"/>
        </w:rPr>
        <w:t>f</w:t>
      </w:r>
      <w:r w:rsidR="00241B55">
        <w:rPr>
          <w:rFonts w:cs="Arial"/>
        </w:rPr>
        <w:t xml:space="preserve"> Chemicals (GHS).</w:t>
      </w:r>
    </w:p>
    <w:p w14:paraId="00993B06" w14:textId="7D8484E2" w:rsidR="00C15ADD" w:rsidRPr="003D3F2A" w:rsidRDefault="00C15ADD" w:rsidP="00C15ADD">
      <w:pPr>
        <w:rPr>
          <w:rFonts w:cs="Arial"/>
        </w:rPr>
      </w:pPr>
      <w:r w:rsidRPr="003D3F2A">
        <w:rPr>
          <w:rFonts w:cs="Arial"/>
        </w:rPr>
        <w:t xml:space="preserve">Not classified as a skin </w:t>
      </w:r>
      <w:r w:rsidR="00FE0B45" w:rsidRPr="003D3F2A">
        <w:rPr>
          <w:rFonts w:cs="Arial"/>
        </w:rPr>
        <w:t xml:space="preserve">sensitiser </w:t>
      </w:r>
      <w:r w:rsidRPr="003D3F2A">
        <w:rPr>
          <w:rFonts w:cs="Arial"/>
        </w:rPr>
        <w:t>or respiratory sensitiser according to the GHS.</w:t>
      </w:r>
    </w:p>
    <w:p w14:paraId="13F26C74" w14:textId="7466CDBE" w:rsidR="0025734A" w:rsidRPr="004C23F4" w:rsidRDefault="001867E5">
      <w:pPr>
        <w:rPr>
          <w:rFonts w:cs="Arial"/>
        </w:rPr>
      </w:pPr>
      <w:r>
        <w:rPr>
          <w:rFonts w:cs="Arial"/>
        </w:rPr>
        <w:t>There are i</w:t>
      </w:r>
      <w:r w:rsidR="00C15ADD" w:rsidRPr="00F018F0">
        <w:rPr>
          <w:rFonts w:cs="Arial"/>
        </w:rPr>
        <w:t xml:space="preserve">nsufficient </w:t>
      </w:r>
      <w:r w:rsidR="00681302">
        <w:rPr>
          <w:rFonts w:cs="Arial"/>
        </w:rPr>
        <w:t>data</w:t>
      </w:r>
      <w:r w:rsidR="00681302" w:rsidRPr="00F018F0">
        <w:rPr>
          <w:rFonts w:cs="Arial"/>
        </w:rPr>
        <w:t xml:space="preserve"> </w:t>
      </w:r>
      <w:r w:rsidR="00C15ADD" w:rsidRPr="00F018F0">
        <w:rPr>
          <w:rFonts w:cs="Arial"/>
        </w:rPr>
        <w:t>to recommend a skin notation.</w:t>
      </w:r>
    </w:p>
    <w:p w14:paraId="56376416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6077C32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8343E05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1171818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73BED9A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F6BD26F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E0420D1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CC1FDC">
                  <w:t>1</w:t>
                </w:r>
                <w:r w:rsidR="00F2059C">
                  <w:t>995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F2059C">
                  <w:t>TWA: 1 mg/m</w:t>
                </w:r>
                <w:r w:rsidR="00F2059C" w:rsidRPr="00F2059C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089E0E0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674C45D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EBC658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28D387A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28504C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28504C">
                  <w:t>TLV-TWA: 1 mg/m</w:t>
                </w:r>
                <w:r w:rsidR="0028504C" w:rsidRPr="0028504C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69F3FC3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45853DC" w14:textId="2DD72BC6" w:rsidR="00C978F0" w:rsidRDefault="0073149E" w:rsidP="003365A5">
            <w:pPr>
              <w:pStyle w:val="Tabletextprimarysource"/>
            </w:pPr>
            <w:r>
              <w:t>TLV-TWA recommended to protect against accumulation in the body</w:t>
            </w:r>
            <w:r w:rsidR="00C1150B">
              <w:t>,</w:t>
            </w:r>
            <w:r>
              <w:t xml:space="preserve"> potential for eye irritation, possible acute </w:t>
            </w:r>
            <w:r w:rsidR="00144577">
              <w:t>CNS</w:t>
            </w:r>
            <w:r>
              <w:t xml:space="preserve"> effects and possible liver tumours reported in animal studies.</w:t>
            </w:r>
          </w:p>
          <w:p w14:paraId="71BF8137" w14:textId="72571C76" w:rsidR="00EC0B0C" w:rsidRDefault="00EC0B0C" w:rsidP="003365A5">
            <w:pPr>
              <w:pStyle w:val="Tabletextprimarysource"/>
            </w:pPr>
            <w:r>
              <w:t>Summary of human data:</w:t>
            </w:r>
          </w:p>
          <w:p w14:paraId="4105B91F" w14:textId="787713BD" w:rsidR="00551CDC" w:rsidRDefault="00EC0B0C" w:rsidP="009836DC">
            <w:pPr>
              <w:pStyle w:val="Tabletextprimarysource"/>
            </w:pPr>
            <w:r>
              <w:t>Human data</w:t>
            </w:r>
          </w:p>
          <w:p w14:paraId="48534215" w14:textId="46F08325" w:rsidR="001B51EC" w:rsidRDefault="0094067F" w:rsidP="00241B55">
            <w:pPr>
              <w:pStyle w:val="Tabletextprimarysource"/>
              <w:numPr>
                <w:ilvl w:val="1"/>
                <w:numId w:val="3"/>
              </w:numPr>
              <w:ind w:left="714" w:hanging="357"/>
            </w:pPr>
            <w:r>
              <w:t>Eye irritation fo</w:t>
            </w:r>
            <w:r w:rsidR="007C7FEA">
              <w:t xml:space="preserve">llowing </w:t>
            </w:r>
            <w:r w:rsidR="00A44351">
              <w:t>inhalation at</w:t>
            </w:r>
            <w:r>
              <w:t xml:space="preserve"> </w:t>
            </w:r>
            <w:r w:rsidR="007C7FEA">
              <w:t>423 mg/m</w:t>
            </w:r>
            <w:r w:rsidR="007C7FEA" w:rsidRPr="0094067F">
              <w:rPr>
                <w:vertAlign w:val="superscript"/>
              </w:rPr>
              <w:t>3</w:t>
            </w:r>
            <w:r w:rsidR="007C7FEA">
              <w:t xml:space="preserve"> </w:t>
            </w:r>
            <w:r>
              <w:t>1 h</w:t>
            </w:r>
            <w:r w:rsidR="00144E78">
              <w:t>/d</w:t>
            </w:r>
            <w:r w:rsidR="007C7FEA">
              <w:t>,</w:t>
            </w:r>
            <w:r w:rsidR="00144E78">
              <w:t xml:space="preserve"> for 6 d</w:t>
            </w:r>
            <w:r w:rsidR="00E77721">
              <w:t xml:space="preserve">. </w:t>
            </w:r>
          </w:p>
          <w:p w14:paraId="27524C44" w14:textId="0B0828F0" w:rsidR="00EC0B0C" w:rsidRDefault="00EF2F02" w:rsidP="00241B55">
            <w:pPr>
              <w:pStyle w:val="Tabletextprimarysource"/>
              <w:numPr>
                <w:ilvl w:val="1"/>
                <w:numId w:val="3"/>
              </w:numPr>
              <w:ind w:left="714" w:hanging="357"/>
            </w:pPr>
            <w:r>
              <w:t>Males receiving a dose</w:t>
            </w:r>
            <w:r w:rsidR="00B0431F">
              <w:t xml:space="preserve"> </w:t>
            </w:r>
            <w:r>
              <w:t>of</w:t>
            </w:r>
            <w:r w:rsidR="009836DC">
              <w:t xml:space="preserve"> 35 mg</w:t>
            </w:r>
            <w:r w:rsidR="00E77721">
              <w:t xml:space="preserve">/d </w:t>
            </w:r>
            <w:r>
              <w:t>displayed</w:t>
            </w:r>
            <w:r w:rsidR="00E77721">
              <w:t xml:space="preserve"> no illness</w:t>
            </w:r>
            <w:r w:rsidR="00E33F31">
              <w:t xml:space="preserve"> (no duration provided)</w:t>
            </w:r>
            <w:r>
              <w:t xml:space="preserve">; an average of 281 ppm stored in fat at this dose; </w:t>
            </w:r>
            <w:r>
              <w:rPr>
                <w:rFonts w:cs="Arial"/>
              </w:rPr>
              <w:t>one report of</w:t>
            </w:r>
            <w:r w:rsidR="009836DC">
              <w:rPr>
                <w:rFonts w:cs="Arial"/>
              </w:rPr>
              <w:t xml:space="preserve"> </w:t>
            </w:r>
            <w:r w:rsidR="00E77721">
              <w:t>648 ppm stored in fa</w:t>
            </w:r>
            <w:r>
              <w:t>t</w:t>
            </w:r>
          </w:p>
          <w:p w14:paraId="2AAF27A3" w14:textId="768C24FB" w:rsidR="00E77721" w:rsidRDefault="00E77721" w:rsidP="00241B55">
            <w:pPr>
              <w:pStyle w:val="Tabletextprimarysource"/>
              <w:numPr>
                <w:ilvl w:val="1"/>
                <w:numId w:val="3"/>
              </w:numPr>
              <w:ind w:left="714" w:hanging="357"/>
            </w:pPr>
            <w:r>
              <w:t xml:space="preserve">Acute toxic effects including excessive perspiration, nausea, vomiting, convulsions, headache, tremors and cyanosis reported for 11 members of a family who ingested </w:t>
            </w:r>
            <w:r w:rsidR="00610B0B">
              <w:t>~</w:t>
            </w:r>
            <w:r w:rsidR="00184D16">
              <w:t>16.3</w:t>
            </w:r>
            <w:r w:rsidR="00A5600C">
              <w:noBreakHyphen/>
            </w:r>
            <w:r w:rsidR="00184D16">
              <w:t xml:space="preserve">120.5 mg/kg in </w:t>
            </w:r>
            <w:r>
              <w:t xml:space="preserve">contaminated </w:t>
            </w:r>
            <w:r w:rsidR="005A4BBF">
              <w:t>food</w:t>
            </w:r>
            <w:r w:rsidR="00184D16">
              <w:t xml:space="preserve">; symptoms </w:t>
            </w:r>
            <w:r>
              <w:t xml:space="preserve">resolved </w:t>
            </w:r>
            <w:r w:rsidR="00184D16">
              <w:t xml:space="preserve">after </w:t>
            </w:r>
            <w:r>
              <w:t xml:space="preserve">2 </w:t>
            </w:r>
            <w:proofErr w:type="spellStart"/>
            <w:r>
              <w:t>wk</w:t>
            </w:r>
            <w:proofErr w:type="spellEnd"/>
            <w:r>
              <w:t xml:space="preserve"> </w:t>
            </w:r>
          </w:p>
          <w:p w14:paraId="6A6F810C" w14:textId="77777777" w:rsidR="00961C98" w:rsidRDefault="00144577" w:rsidP="00241B55">
            <w:pPr>
              <w:pStyle w:val="Tabletextprimarysource"/>
              <w:numPr>
                <w:ilvl w:val="1"/>
                <w:numId w:val="3"/>
              </w:numPr>
              <w:ind w:left="714" w:hanging="357"/>
            </w:pPr>
            <w:r>
              <w:t>CNS</w:t>
            </w:r>
            <w:r w:rsidR="00551CDC">
              <w:t xml:space="preserve"> induced </w:t>
            </w:r>
            <w:r w:rsidR="009836DC">
              <w:t xml:space="preserve">convulsions reported </w:t>
            </w:r>
            <w:r w:rsidR="009836DC">
              <w:rPr>
                <w:rFonts w:cs="Arial"/>
              </w:rPr>
              <w:t>≥</w:t>
            </w:r>
            <w:r w:rsidR="009836DC">
              <w:t>10 mg/</w:t>
            </w:r>
            <w:r w:rsidR="00551CDC">
              <w:t>kg</w:t>
            </w:r>
          </w:p>
          <w:p w14:paraId="14D0B89D" w14:textId="307C658D" w:rsidR="00D9597C" w:rsidRDefault="00961C98" w:rsidP="00241B55">
            <w:pPr>
              <w:pStyle w:val="Tabletextprimarysource"/>
              <w:numPr>
                <w:ilvl w:val="1"/>
                <w:numId w:val="3"/>
              </w:numPr>
              <w:ind w:left="714" w:hanging="357"/>
            </w:pPr>
            <w:r>
              <w:t>Males re</w:t>
            </w:r>
            <w:r w:rsidR="00610B0B">
              <w:t>ported to tolerate 35 mg/d</w:t>
            </w:r>
            <w:r>
              <w:t xml:space="preserve"> without any ill effect detectable by themselves or by careful examination</w:t>
            </w:r>
          </w:p>
          <w:p w14:paraId="1E0EFAF5" w14:textId="0D4BB7B8" w:rsidR="001867E5" w:rsidRDefault="00D9597C" w:rsidP="009836DC">
            <w:pPr>
              <w:pStyle w:val="Tabletextprimarysource"/>
              <w:numPr>
                <w:ilvl w:val="1"/>
                <w:numId w:val="3"/>
              </w:numPr>
              <w:ind w:left="714" w:hanging="357"/>
            </w:pPr>
            <w:r>
              <w:t>No ill effects reported in workers</w:t>
            </w:r>
            <w:r w:rsidR="00184D16">
              <w:t xml:space="preserve"> exposed to </w:t>
            </w:r>
            <w:r w:rsidR="00184D16">
              <w:rPr>
                <w:rFonts w:cs="Arial"/>
              </w:rPr>
              <w:t>≤</w:t>
            </w:r>
            <w:r w:rsidR="00184D16">
              <w:t xml:space="preserve">18 mg/d for 11-19 </w:t>
            </w:r>
            <w:proofErr w:type="gramStart"/>
            <w:r w:rsidR="00184D16">
              <w:t>yr</w:t>
            </w:r>
            <w:r w:rsidR="00E33F31">
              <w:t>;</w:t>
            </w:r>
            <w:proofErr w:type="gramEnd"/>
            <w:r w:rsidR="00E33F31">
              <w:t xml:space="preserve"> no further </w:t>
            </w:r>
            <w:r w:rsidR="007125D2">
              <w:t>information available</w:t>
            </w:r>
            <w:r w:rsidR="00610B0B">
              <w:t>.</w:t>
            </w:r>
          </w:p>
          <w:p w14:paraId="39D0730D" w14:textId="4F417AC0" w:rsidR="002F0FAC" w:rsidRDefault="002F0FAC" w:rsidP="009836DC">
            <w:pPr>
              <w:pStyle w:val="Tabletextprimarysource"/>
            </w:pPr>
            <w:r>
              <w:t>Animal data</w:t>
            </w:r>
          </w:p>
          <w:p w14:paraId="7C26A7BF" w14:textId="64D8A9F2" w:rsidR="002F0FAC" w:rsidRDefault="002F0FAC" w:rsidP="00241B5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2F0FAC">
              <w:rPr>
                <w:vertAlign w:val="subscript"/>
              </w:rPr>
              <w:t>50</w:t>
            </w:r>
            <w:r w:rsidR="00144577">
              <w:t>:</w:t>
            </w:r>
            <w:r>
              <w:t xml:space="preserve"> 250 mg/kg </w:t>
            </w:r>
            <w:r w:rsidR="00162C7F">
              <w:t>(</w:t>
            </w:r>
            <w:r>
              <w:t>rats</w:t>
            </w:r>
            <w:r w:rsidR="00691FE0">
              <w:t>, oral</w:t>
            </w:r>
            <w:r w:rsidR="00162C7F">
              <w:t>)</w:t>
            </w:r>
          </w:p>
          <w:p w14:paraId="0473F3E2" w14:textId="5CC5B7EF" w:rsidR="00144577" w:rsidRDefault="00144577" w:rsidP="00241B5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2F0FAC">
              <w:rPr>
                <w:vertAlign w:val="subscript"/>
              </w:rPr>
              <w:t>50</w:t>
            </w:r>
            <w:r w:rsidR="005A4BBF">
              <w:rPr>
                <w:vertAlign w:val="subscript"/>
              </w:rPr>
              <w:t>:</w:t>
            </w:r>
            <w:r>
              <w:t xml:space="preserve"> 2500 mg/kg (rats, dermal)</w:t>
            </w:r>
          </w:p>
          <w:p w14:paraId="0054E735" w14:textId="42DC0EE4" w:rsidR="002F0FAC" w:rsidRDefault="002F0FAC" w:rsidP="00241B5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Liver tissue damage reported in male (but not female) rats for dietary level of 5 pp</w:t>
            </w:r>
            <w:r w:rsidR="00162C7F">
              <w:t xml:space="preserve">m </w:t>
            </w:r>
            <w:r w:rsidR="001867E5">
              <w:br/>
            </w:r>
            <w:r w:rsidR="00162C7F">
              <w:t>(</w:t>
            </w:r>
            <w:r w:rsidR="001B1E21">
              <w:rPr>
                <w:rFonts w:cs="Arial"/>
              </w:rPr>
              <w:t>≡</w:t>
            </w:r>
            <w:r w:rsidR="00610B0B">
              <w:t>17.5 mg</w:t>
            </w:r>
            <w:r w:rsidR="00162C7F">
              <w:t>/d</w:t>
            </w:r>
            <w:r>
              <w:t>) although females may be more susceptible to toxic effects due to storage in fatty tissues</w:t>
            </w:r>
          </w:p>
          <w:p w14:paraId="7C43DA75" w14:textId="77777777" w:rsidR="00A44351" w:rsidRDefault="008925A5" w:rsidP="00241B55">
            <w:pPr>
              <w:pStyle w:val="ListBullet"/>
              <w:spacing w:before="60" w:after="60"/>
              <w:ind w:left="714" w:hanging="357"/>
              <w:contextualSpacing w:val="0"/>
            </w:pPr>
            <w:bookmarkStart w:id="1" w:name="_Hlk18394870"/>
            <w:r>
              <w:t>Hepatocarcinogenesis</w:t>
            </w:r>
            <w:r w:rsidR="002F0FAC">
              <w:t xml:space="preserve"> </w:t>
            </w:r>
            <w:r>
              <w:t xml:space="preserve">with a significant increase in malignant liver tumours </w:t>
            </w:r>
            <w:r w:rsidR="002F0FAC">
              <w:t xml:space="preserve">reported in male mice fed </w:t>
            </w:r>
            <w:bookmarkEnd w:id="1"/>
            <w:r w:rsidR="002F0FAC">
              <w:t xml:space="preserve">up </w:t>
            </w:r>
            <w:proofErr w:type="gramStart"/>
            <w:r w:rsidR="002F0FAC">
              <w:t>to</w:t>
            </w:r>
            <w:proofErr w:type="gramEnd"/>
            <w:r w:rsidR="002F0FAC">
              <w:t xml:space="preserve"> 250 ppm</w:t>
            </w:r>
            <w:r>
              <w:t xml:space="preserve">. </w:t>
            </w:r>
          </w:p>
          <w:p w14:paraId="031C6D10" w14:textId="27DD9FB0" w:rsidR="002F0FAC" w:rsidRDefault="008925A5" w:rsidP="00241B5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Topical applicat</w:t>
            </w:r>
            <w:r w:rsidR="00162C7F">
              <w:t xml:space="preserve">ion </w:t>
            </w:r>
            <w:r w:rsidR="00144577">
              <w:t>&lt;</w:t>
            </w:r>
            <w:r w:rsidR="00162C7F">
              <w:t xml:space="preserve">8 mg/kg for 80 </w:t>
            </w:r>
            <w:proofErr w:type="spellStart"/>
            <w:r w:rsidR="00162C7F">
              <w:t>wk</w:t>
            </w:r>
            <w:proofErr w:type="spellEnd"/>
            <w:r>
              <w:t xml:space="preserve"> failed to produce any tumours.</w:t>
            </w:r>
          </w:p>
          <w:p w14:paraId="38141738" w14:textId="77777777" w:rsidR="007A194A" w:rsidRDefault="007A194A" w:rsidP="00610B0B">
            <w:pPr>
              <w:pStyle w:val="Tabletextprimarysource"/>
            </w:pPr>
          </w:p>
          <w:p w14:paraId="73D1D3A3" w14:textId="78783EF4" w:rsidR="00DD63DD" w:rsidRDefault="00184D16" w:rsidP="00610B0B">
            <w:pPr>
              <w:pStyle w:val="Tabletextprimarysource"/>
            </w:pPr>
            <w:r>
              <w:t>L</w:t>
            </w:r>
            <w:r w:rsidR="007D3760">
              <w:t>ow exposure value</w:t>
            </w:r>
            <w:r>
              <w:t xml:space="preserve"> recommended due to possible accumulation; TLV-TWA supported by analogy to lindane</w:t>
            </w:r>
            <w:r w:rsidR="00610B0B">
              <w:t>.</w:t>
            </w:r>
          </w:p>
          <w:p w14:paraId="0129DE50" w14:textId="499172B9" w:rsidR="00DD63DD" w:rsidRDefault="00DD63DD" w:rsidP="00241B55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Data was insufficient to recommend a skin or SEN notation or STEL.</w:t>
            </w:r>
          </w:p>
          <w:p w14:paraId="4C90CC21" w14:textId="1D39897E" w:rsidR="00551CDC" w:rsidRPr="0073149E" w:rsidRDefault="00551CDC" w:rsidP="00551CDC">
            <w:pPr>
              <w:pStyle w:val="Tabletextprimarysource"/>
              <w:ind w:left="1440"/>
            </w:pPr>
          </w:p>
        </w:tc>
      </w:tr>
      <w:tr w:rsidR="00C978F0" w:rsidRPr="00DA352E" w14:paraId="5E79989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01F5E83" w14:textId="47074BF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5E2AEF">
                  <w:t>1969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167AFF">
                  <w:t>MAK: 1 mg/m</w:t>
                </w:r>
                <w:r w:rsidR="00167AFF" w:rsidRPr="00167AFF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121FB32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9DF99E4" w14:textId="371E27C4" w:rsidR="00C978F0" w:rsidRPr="00DA352E" w:rsidRDefault="00FD4E17" w:rsidP="00A44351">
            <w:pPr>
              <w:pStyle w:val="Tabletextprimarysource"/>
            </w:pPr>
            <w:r>
              <w:t xml:space="preserve">No </w:t>
            </w:r>
            <w:r w:rsidR="00A44351">
              <w:t>additional</w:t>
            </w:r>
            <w:r>
              <w:t xml:space="preserve"> information.</w:t>
            </w:r>
          </w:p>
        </w:tc>
      </w:tr>
      <w:tr w:rsidR="00C978F0" w:rsidRPr="00DA352E" w14:paraId="5833F5D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285AE5" w14:textId="22CE563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5C146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5C146C">
                  <w:t>NA</w:t>
                </w:r>
                <w:proofErr w:type="spellEnd"/>
              </w:sdtContent>
            </w:sdt>
          </w:p>
        </w:tc>
      </w:tr>
      <w:tr w:rsidR="00C978F0" w:rsidRPr="00DA352E" w14:paraId="06BEE9F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C6AC2C5" w14:textId="168BA082" w:rsidR="00C978F0" w:rsidRPr="00DA352E" w:rsidRDefault="005C146C" w:rsidP="003365A5">
            <w:pPr>
              <w:pStyle w:val="Tabletextprimarysource"/>
            </w:pPr>
            <w:r>
              <w:t>No report</w:t>
            </w:r>
            <w:r w:rsidR="009836DC">
              <w:t>.</w:t>
            </w:r>
          </w:p>
        </w:tc>
      </w:tr>
      <w:tr w:rsidR="00DA352E" w:rsidRPr="00DA352E" w14:paraId="7790715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227FDF" w14:textId="6E3AD882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9E20B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9E20BA">
                  <w:t>NA</w:t>
                </w:r>
                <w:proofErr w:type="spellEnd"/>
              </w:sdtContent>
            </w:sdt>
          </w:p>
        </w:tc>
      </w:tr>
      <w:tr w:rsidR="00DA352E" w:rsidRPr="00DA352E" w14:paraId="4576913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B59F771" w14:textId="17B4D618" w:rsidR="00DA352E" w:rsidRPr="00DA352E" w:rsidRDefault="009E20BA" w:rsidP="003365A5">
            <w:pPr>
              <w:pStyle w:val="Tabletextprimarysource"/>
            </w:pPr>
            <w:r>
              <w:t>No report</w:t>
            </w:r>
            <w:r w:rsidR="009836DC">
              <w:t>.</w:t>
            </w:r>
          </w:p>
        </w:tc>
      </w:tr>
      <w:tr w:rsidR="00DA352E" w:rsidRPr="00DA352E" w14:paraId="6755EF4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0AE3C8D" w14:textId="0BB06504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E112A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E112A1">
                  <w:t>NA</w:t>
                </w:r>
                <w:proofErr w:type="spellEnd"/>
              </w:sdtContent>
            </w:sdt>
          </w:p>
        </w:tc>
      </w:tr>
      <w:tr w:rsidR="00DA352E" w:rsidRPr="00DA352E" w14:paraId="72C8C7B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6CA1D09" w14:textId="07DC0F80" w:rsidR="00DA352E" w:rsidRPr="00DA352E" w:rsidRDefault="00E112A1" w:rsidP="003365A5">
            <w:pPr>
              <w:pStyle w:val="Tabletextprimarysource"/>
            </w:pPr>
            <w:r>
              <w:t>No report</w:t>
            </w:r>
            <w:r w:rsidR="009836DC">
              <w:t>.</w:t>
            </w:r>
          </w:p>
        </w:tc>
      </w:tr>
    </w:tbl>
    <w:p w14:paraId="1BA2DBCD" w14:textId="77777777" w:rsidR="00A20751" w:rsidRPr="004C23F4" w:rsidRDefault="00A20751" w:rsidP="003365A5">
      <w:pPr>
        <w:pStyle w:val="Heading3"/>
      </w:pPr>
      <w:bookmarkStart w:id="2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79"/>
        <w:gridCol w:w="422"/>
        <w:gridCol w:w="717"/>
        <w:gridCol w:w="6408"/>
      </w:tblGrid>
      <w:tr w:rsidR="004966BF" w:rsidRPr="00263255" w14:paraId="1101564B" w14:textId="77777777" w:rsidTr="009836DC">
        <w:trPr>
          <w:cantSplit/>
          <w:trHeight w:val="393"/>
          <w:tblHeader/>
        </w:trPr>
        <w:tc>
          <w:tcPr>
            <w:tcW w:w="1479" w:type="dxa"/>
            <w:shd w:val="clear" w:color="auto" w:fill="BFBFBF" w:themeFill="background1" w:themeFillShade="BF"/>
            <w:vAlign w:val="center"/>
          </w:tcPr>
          <w:p w14:paraId="51D707FC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415A3772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717" w:type="dxa"/>
            <w:shd w:val="clear" w:color="auto" w:fill="BFBFBF" w:themeFill="background1" w:themeFillShade="BF"/>
            <w:vAlign w:val="center"/>
          </w:tcPr>
          <w:p w14:paraId="3D0DF5A5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08" w:type="dxa"/>
            <w:shd w:val="clear" w:color="auto" w:fill="BFBFBF" w:themeFill="background1" w:themeFillShade="BF"/>
            <w:vAlign w:val="center"/>
          </w:tcPr>
          <w:p w14:paraId="5B957DA0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3ACC6CAB" w14:textId="77777777" w:rsidTr="00144577">
        <w:trPr>
          <w:cantSplit/>
        </w:trPr>
        <w:tc>
          <w:tcPr>
            <w:tcW w:w="1479" w:type="dxa"/>
          </w:tcPr>
          <w:p w14:paraId="7DD48FD2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2" w:type="dxa"/>
          </w:tcPr>
          <w:p w14:paraId="5E9E6A97" w14:textId="15FA46F2" w:rsidR="004966BF" w:rsidRPr="00CE617F" w:rsidRDefault="00E120FF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E026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717" w:type="dxa"/>
          </w:tcPr>
          <w:p w14:paraId="7E6C1412" w14:textId="53E3CE52" w:rsidR="004966BF" w:rsidRPr="004C23F4" w:rsidRDefault="005A4BB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2002</w:t>
            </w:r>
          </w:p>
        </w:tc>
        <w:tc>
          <w:tcPr>
            <w:tcW w:w="6408" w:type="dxa"/>
          </w:tcPr>
          <w:p w14:paraId="6A6EE9AF" w14:textId="021C9E29" w:rsidR="00681302" w:rsidRDefault="00681302" w:rsidP="00241B55">
            <w:pPr>
              <w:pStyle w:val="Tablefont"/>
              <w:spacing w:before="60" w:after="6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Summary of additional data:</w:t>
            </w:r>
          </w:p>
          <w:p w14:paraId="172AAC46" w14:textId="4D52540A" w:rsidR="00A96A05" w:rsidRDefault="00A96A05" w:rsidP="00241B55">
            <w:pPr>
              <w:pStyle w:val="Tablefont"/>
              <w:spacing w:before="60" w:after="6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Human data</w:t>
            </w:r>
            <w:r w:rsidR="001867E5">
              <w:rPr>
                <w:rStyle w:val="checkbox"/>
                <w:rFonts w:ascii="Arial" w:hAnsi="Arial" w:cs="Arial"/>
              </w:rPr>
              <w:t>:</w:t>
            </w:r>
          </w:p>
          <w:p w14:paraId="2691817C" w14:textId="4C5529DC" w:rsidR="00691FE0" w:rsidRPr="00241B55" w:rsidRDefault="00622849" w:rsidP="00241B55">
            <w:pPr>
              <w:pStyle w:val="ListBullet"/>
              <w:spacing w:before="60" w:after="60"/>
              <w:ind w:left="714" w:hanging="357"/>
              <w:contextualSpacing w:val="0"/>
            </w:pPr>
            <w:r w:rsidRPr="00241B55">
              <w:t xml:space="preserve">Classified as probable human carcinogen </w:t>
            </w:r>
            <w:r w:rsidR="00691FE0" w:rsidRPr="00241B55">
              <w:t xml:space="preserve">based on reported </w:t>
            </w:r>
            <w:r w:rsidRPr="00241B55">
              <w:t>liver tumours in mice and rats</w:t>
            </w:r>
          </w:p>
          <w:p w14:paraId="74933B4E" w14:textId="2415C58C" w:rsidR="00691FE0" w:rsidRPr="00241B55" w:rsidRDefault="00691FE0" w:rsidP="00241B55">
            <w:pPr>
              <w:pStyle w:val="ListBullet"/>
              <w:spacing w:before="60" w:after="60"/>
              <w:ind w:left="714" w:hanging="357"/>
              <w:contextualSpacing w:val="0"/>
            </w:pPr>
            <w:r w:rsidRPr="00241B55">
              <w:t xml:space="preserve">Oral Slope Factor: </w:t>
            </w:r>
            <w:r w:rsidR="005C0AC5" w:rsidRPr="00241B55">
              <w:t xml:space="preserve"> 3.4E-01</w:t>
            </w:r>
            <w:r w:rsidR="00DD63DD" w:rsidRPr="00241B55">
              <w:t xml:space="preserve"> </w:t>
            </w:r>
            <w:r w:rsidR="005C0AC5" w:rsidRPr="00241B55">
              <w:t>mg/kg/d</w:t>
            </w:r>
          </w:p>
          <w:p w14:paraId="25893BDE" w14:textId="6D1D5CBA" w:rsidR="00691FE0" w:rsidRPr="00241B55" w:rsidRDefault="00691FE0" w:rsidP="00241B55">
            <w:pPr>
              <w:pStyle w:val="ListBullet"/>
              <w:spacing w:before="60" w:after="60"/>
              <w:ind w:left="714" w:hanging="357"/>
              <w:contextualSpacing w:val="0"/>
            </w:pPr>
            <w:r w:rsidRPr="00241B55">
              <w:t>IUR: 9.7E-05 µg/m</w:t>
            </w:r>
            <w:r w:rsidRPr="00681302">
              <w:rPr>
                <w:rStyle w:val="checkbox"/>
                <w:rFonts w:ascii="Arial" w:hAnsi="Arial" w:cs="Arial"/>
                <w:vertAlign w:val="superscript"/>
              </w:rPr>
              <w:t>3</w:t>
            </w:r>
          </w:p>
          <w:p w14:paraId="4C308033" w14:textId="374EF8DD" w:rsidR="00C731C4" w:rsidRPr="00241B55" w:rsidRDefault="007A194A" w:rsidP="00241B55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Oral </w:t>
            </w:r>
            <w:proofErr w:type="spellStart"/>
            <w:r w:rsidR="005C0AC5" w:rsidRPr="00241B55">
              <w:t>RfD</w:t>
            </w:r>
            <w:proofErr w:type="spellEnd"/>
            <w:r w:rsidR="00691FE0" w:rsidRPr="00241B55">
              <w:t xml:space="preserve">: </w:t>
            </w:r>
            <w:r w:rsidR="005C0AC5" w:rsidRPr="00241B55">
              <w:t>5E-04 mg/kg/d</w:t>
            </w:r>
            <w:r w:rsidR="00691FE0" w:rsidRPr="00241B55">
              <w:t xml:space="preserve"> based on protection against </w:t>
            </w:r>
            <w:r w:rsidR="00F87095" w:rsidRPr="00241B55">
              <w:t xml:space="preserve">liver lesions </w:t>
            </w:r>
            <w:r w:rsidR="009B0D9D" w:rsidRPr="00241B55">
              <w:t xml:space="preserve">and derived from </w:t>
            </w:r>
            <w:r w:rsidR="00C731C4" w:rsidRPr="00241B55">
              <w:t>NOEL</w:t>
            </w:r>
            <w:r w:rsidR="009B0D9D" w:rsidRPr="00241B55">
              <w:t xml:space="preserve"> of</w:t>
            </w:r>
            <w:r w:rsidR="005C0AC5" w:rsidRPr="00241B55">
              <w:t xml:space="preserve"> 1</w:t>
            </w:r>
            <w:r w:rsidR="00B0431F">
              <w:t> </w:t>
            </w:r>
            <w:r w:rsidR="005C0AC5" w:rsidRPr="00241B55">
              <w:t xml:space="preserve">ppm diet (0.05 mg/kg/d) and LOAEL </w:t>
            </w:r>
            <w:r w:rsidR="00C731C4" w:rsidRPr="00241B55">
              <w:t xml:space="preserve">5 ppm </w:t>
            </w:r>
            <w:r w:rsidR="00283983" w:rsidRPr="00241B55">
              <w:t>(</w:t>
            </w:r>
            <w:r w:rsidR="00F87095" w:rsidRPr="00241B55">
              <w:t xml:space="preserve">rats, </w:t>
            </w:r>
            <w:r w:rsidR="00C731C4" w:rsidRPr="00241B55">
              <w:t>2</w:t>
            </w:r>
            <w:r w:rsidR="005C0AC5" w:rsidRPr="00241B55">
              <w:t>7</w:t>
            </w:r>
            <w:r w:rsidR="00B0431F">
              <w:t> </w:t>
            </w:r>
            <w:proofErr w:type="spellStart"/>
            <w:r w:rsidR="005C0AC5" w:rsidRPr="00241B55">
              <w:t>wk</w:t>
            </w:r>
            <w:proofErr w:type="spellEnd"/>
            <w:r w:rsidR="00F87095" w:rsidRPr="00241B55">
              <w:t>)</w:t>
            </w:r>
          </w:p>
          <w:p w14:paraId="695B69C7" w14:textId="5776E415" w:rsidR="00C731C4" w:rsidRPr="00241B55" w:rsidRDefault="00144577" w:rsidP="00241B55">
            <w:pPr>
              <w:pStyle w:val="ListBullet"/>
              <w:spacing w:before="60" w:after="60"/>
              <w:ind w:left="714" w:hanging="357"/>
              <w:contextualSpacing w:val="0"/>
            </w:pPr>
            <w:r w:rsidRPr="00241B55">
              <w:t>P</w:t>
            </w:r>
            <w:r w:rsidR="00C731C4" w:rsidRPr="00241B55">
              <w:t xml:space="preserve">ositive and negative responses reported for genotoxicity </w:t>
            </w:r>
          </w:p>
          <w:p w14:paraId="134AE1FD" w14:textId="3DFADA05" w:rsidR="00A96A05" w:rsidRPr="005A4BBF" w:rsidRDefault="00622849" w:rsidP="00241B55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241B55">
              <w:t xml:space="preserve">Insufficient human data </w:t>
            </w:r>
            <w:r w:rsidR="00A96A05" w:rsidRPr="00241B55">
              <w:t xml:space="preserve">on exposed workers </w:t>
            </w:r>
            <w:r w:rsidRPr="00241B55">
              <w:t>to</w:t>
            </w:r>
            <w:r w:rsidR="00A96A05" w:rsidRPr="00241B55">
              <w:t xml:space="preserve"> assess carcinogenicity.</w:t>
            </w:r>
          </w:p>
        </w:tc>
      </w:tr>
    </w:tbl>
    <w:bookmarkEnd w:id="2"/>
    <w:p w14:paraId="5FABF8B1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8"/>
        <w:gridCol w:w="2418"/>
      </w:tblGrid>
      <w:tr w:rsidR="002E0D61" w14:paraId="38FDE034" w14:textId="77777777" w:rsidTr="009836DC">
        <w:trPr>
          <w:trHeight w:val="454"/>
          <w:tblHeader/>
        </w:trPr>
        <w:tc>
          <w:tcPr>
            <w:tcW w:w="6608" w:type="dxa"/>
            <w:vAlign w:val="center"/>
          </w:tcPr>
          <w:p w14:paraId="6370760A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3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8" w:type="dxa"/>
                <w:vAlign w:val="center"/>
              </w:tcPr>
              <w:p w14:paraId="6C6D525E" w14:textId="014E637E" w:rsidR="002E0D61" w:rsidRDefault="0074066A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1BE5D3B6" w14:textId="77777777" w:rsidTr="009836DC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8" w:type="dxa"/>
                <w:vAlign w:val="center"/>
              </w:tcPr>
              <w:p w14:paraId="6B274FA3" w14:textId="51038DF8" w:rsidR="008A36CF" w:rsidRPr="006901A2" w:rsidRDefault="00144577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18" w:type="dxa"/>
            <w:vAlign w:val="center"/>
          </w:tcPr>
          <w:p w14:paraId="5E2711E1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3"/>
    <w:p w14:paraId="0434FD47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D784479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FE52E35" w14:textId="77777777" w:rsidR="00687890" w:rsidRPr="004C23F4" w:rsidRDefault="00687890" w:rsidP="00263255">
            <w:pPr>
              <w:pStyle w:val="Tableheader"/>
            </w:pPr>
            <w:bookmarkStart w:id="4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62AA7E9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EB874A3" w14:textId="77777777" w:rsidTr="00812887">
        <w:trPr>
          <w:cantSplit/>
        </w:trPr>
        <w:tc>
          <w:tcPr>
            <w:tcW w:w="3227" w:type="dxa"/>
          </w:tcPr>
          <w:p w14:paraId="09E7C3F5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B5533FF" w14:textId="77777777" w:rsidR="00687890" w:rsidRPr="00DD2F9B" w:rsidRDefault="0028504C" w:rsidP="00DD2F9B">
            <w:pPr>
              <w:pStyle w:val="Tablefont"/>
            </w:pPr>
            <w:r w:rsidRPr="009836DC">
              <w:t>NA</w:t>
            </w:r>
          </w:p>
        </w:tc>
      </w:tr>
      <w:tr w:rsidR="007925F0" w:rsidRPr="004C23F4" w14:paraId="0A0FD2B3" w14:textId="77777777" w:rsidTr="00812887">
        <w:trPr>
          <w:cantSplit/>
        </w:trPr>
        <w:tc>
          <w:tcPr>
            <w:tcW w:w="3227" w:type="dxa"/>
          </w:tcPr>
          <w:p w14:paraId="755F512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4B83681" w14:textId="429CC62E" w:rsidR="007925F0" w:rsidRPr="00DD2F9B" w:rsidRDefault="00167AFF" w:rsidP="00DD2F9B">
            <w:pPr>
              <w:pStyle w:val="Tablefont"/>
            </w:pPr>
            <w:r w:rsidRPr="00167AFF">
              <w:t>Carcinogenicity – category 2</w:t>
            </w:r>
          </w:p>
        </w:tc>
      </w:tr>
      <w:tr w:rsidR="00AF483F" w:rsidRPr="004C23F4" w14:paraId="109DEB57" w14:textId="77777777" w:rsidTr="00812887">
        <w:trPr>
          <w:cantSplit/>
        </w:trPr>
        <w:tc>
          <w:tcPr>
            <w:tcW w:w="3227" w:type="dxa"/>
          </w:tcPr>
          <w:p w14:paraId="1C12DCB8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1AAA4175" w14:textId="50FDE2B4" w:rsidR="00AF483F" w:rsidRPr="00DD2F9B" w:rsidRDefault="00E112A1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3DB0522E" w14:textId="77777777" w:rsidTr="00812887">
        <w:trPr>
          <w:cantSplit/>
        </w:trPr>
        <w:tc>
          <w:tcPr>
            <w:tcW w:w="3227" w:type="dxa"/>
          </w:tcPr>
          <w:p w14:paraId="155A272C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E9D9029" w14:textId="180A0B24" w:rsidR="00687890" w:rsidRPr="00DD2F9B" w:rsidRDefault="00E112A1" w:rsidP="00DD2F9B">
            <w:pPr>
              <w:pStyle w:val="Tablefont"/>
            </w:pPr>
            <w:r>
              <w:t>Carcinogenicity – category 2</w:t>
            </w:r>
          </w:p>
        </w:tc>
      </w:tr>
      <w:tr w:rsidR="00E41A26" w:rsidRPr="004C23F4" w14:paraId="14CC0E9A" w14:textId="77777777" w:rsidTr="00812887">
        <w:trPr>
          <w:cantSplit/>
        </w:trPr>
        <w:tc>
          <w:tcPr>
            <w:tcW w:w="3227" w:type="dxa"/>
          </w:tcPr>
          <w:p w14:paraId="304D8E05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A4E3175" w14:textId="131CB923" w:rsidR="00E41A26" w:rsidRPr="00DD2F9B" w:rsidRDefault="00E112A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769FFB6" w14:textId="77777777" w:rsidTr="00812887">
        <w:trPr>
          <w:cantSplit/>
        </w:trPr>
        <w:tc>
          <w:tcPr>
            <w:tcW w:w="3227" w:type="dxa"/>
          </w:tcPr>
          <w:p w14:paraId="7358ED27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358EEEC0" w14:textId="724FFE20" w:rsidR="002E0D61" w:rsidRPr="00DD2F9B" w:rsidRDefault="00E112A1" w:rsidP="00E112A1">
            <w:r>
              <w:t>Carcinogenicity – A3</w:t>
            </w:r>
          </w:p>
        </w:tc>
      </w:tr>
      <w:tr w:rsidR="002E0D61" w:rsidRPr="004C23F4" w14:paraId="38872458" w14:textId="77777777" w:rsidTr="00812887">
        <w:trPr>
          <w:cantSplit/>
        </w:trPr>
        <w:tc>
          <w:tcPr>
            <w:tcW w:w="3227" w:type="dxa"/>
          </w:tcPr>
          <w:p w14:paraId="4883B94A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0068335D" w14:textId="09F9AB0E" w:rsidR="002E0D61" w:rsidRPr="00DD2F9B" w:rsidRDefault="005C146C" w:rsidP="00DD2F9B">
            <w:pPr>
              <w:pStyle w:val="Tablefont"/>
            </w:pPr>
            <w:r>
              <w:t>H</w:t>
            </w:r>
            <w:r w:rsidR="00E112A1">
              <w:t xml:space="preserve"> (skin)</w:t>
            </w:r>
          </w:p>
        </w:tc>
      </w:tr>
      <w:tr w:rsidR="002E0D61" w:rsidRPr="004C23F4" w14:paraId="00A98E10" w14:textId="77777777" w:rsidTr="00812887">
        <w:trPr>
          <w:cantSplit/>
        </w:trPr>
        <w:tc>
          <w:tcPr>
            <w:tcW w:w="3227" w:type="dxa"/>
          </w:tcPr>
          <w:p w14:paraId="338A083B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16A9381" w14:textId="79299C2C" w:rsidR="002E0D61" w:rsidRPr="00DD2F9B" w:rsidRDefault="00E112A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965DEEE" w14:textId="77777777" w:rsidTr="00812887">
        <w:trPr>
          <w:cantSplit/>
        </w:trPr>
        <w:tc>
          <w:tcPr>
            <w:tcW w:w="3227" w:type="dxa"/>
          </w:tcPr>
          <w:p w14:paraId="03BBB942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53BECA5B" w14:textId="627AF808" w:rsidR="002E0D61" w:rsidRPr="00DD2F9B" w:rsidRDefault="00E112A1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6C7AA46" w14:textId="77777777" w:rsidTr="00812887">
        <w:trPr>
          <w:cantSplit/>
        </w:trPr>
        <w:tc>
          <w:tcPr>
            <w:tcW w:w="3227" w:type="dxa"/>
          </w:tcPr>
          <w:p w14:paraId="34263132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383A11BF" w14:textId="53E9362F" w:rsidR="00386093" w:rsidRPr="00DD2F9B" w:rsidRDefault="00E112A1" w:rsidP="00E112A1">
            <w:r>
              <w:t>Carcinogenicity – Group 2A</w:t>
            </w:r>
          </w:p>
        </w:tc>
      </w:tr>
      <w:tr w:rsidR="00386093" w:rsidRPr="004C23F4" w14:paraId="7DD7B5AE" w14:textId="77777777" w:rsidTr="00812887">
        <w:trPr>
          <w:cantSplit/>
        </w:trPr>
        <w:tc>
          <w:tcPr>
            <w:tcW w:w="3227" w:type="dxa"/>
          </w:tcPr>
          <w:p w14:paraId="54DC09C2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86F3883" w14:textId="27297CC0" w:rsidR="00386093" w:rsidRPr="00DD2F9B" w:rsidRDefault="00767E24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4"/>
    <w:p w14:paraId="5761C7F9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D418DB9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F3199E7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6E6CC1F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5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7948E809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3CEA0830" w14:textId="3BDBBB43" w:rsidR="00932DCE" w:rsidRPr="004C23F4" w:rsidRDefault="00144577" w:rsidP="00F9496B">
            <w:pPr>
              <w:pStyle w:val="Tablefont"/>
            </w:pPr>
            <w:r w:rsidRPr="00F018F0">
              <w:rPr>
                <w:rFonts w:cs="Arial"/>
              </w:rPr>
              <w:t>Insufficient evidence to recommend a skin notation</w:t>
            </w:r>
            <w:r>
              <w:rPr>
                <w:rFonts w:cs="Arial"/>
              </w:rPr>
              <w:t>.</w:t>
            </w:r>
          </w:p>
        </w:tc>
      </w:tr>
    </w:tbl>
    <w:bookmarkEnd w:id="5"/>
    <w:p w14:paraId="7CFA8FDC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50E92B2F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36DEF06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B7775A6" w14:textId="55ED3C11" w:rsidR="00EB3D1B" w:rsidRDefault="00E112A1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1C2A87AA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70D6494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6A33337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DF09022" w14:textId="1430335A" w:rsidR="001B79E5" w:rsidRDefault="00E112A1" w:rsidP="001B79E5">
                <w:pPr>
                  <w:pStyle w:val="Tablefont"/>
                </w:pPr>
                <w:r>
                  <w:t>354.50</w:t>
                </w:r>
              </w:p>
            </w:tc>
          </w:sdtContent>
        </w:sdt>
      </w:tr>
      <w:tr w:rsidR="00A31D99" w:rsidRPr="004C23F4" w14:paraId="01CA71B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7C7372F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09CFE08" w14:textId="57A707BD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257C81">
                  <w:t>14.5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257C81">
                  <w:t>0.069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9508C1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E7865A5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BE05CAE" w14:textId="43DCAC0F" w:rsidR="00687890" w:rsidRPr="004C23F4" w:rsidRDefault="001A76CA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72097AEF" w14:textId="77777777" w:rsidTr="00EA6243">
        <w:trPr>
          <w:cantSplit/>
        </w:trPr>
        <w:tc>
          <w:tcPr>
            <w:tcW w:w="4077" w:type="dxa"/>
            <w:vAlign w:val="center"/>
          </w:tcPr>
          <w:p w14:paraId="521AA153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2ABC09F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6FA73C6" w14:textId="77777777" w:rsidTr="00EA6243">
        <w:trPr>
          <w:cantSplit/>
        </w:trPr>
        <w:tc>
          <w:tcPr>
            <w:tcW w:w="4077" w:type="dxa"/>
            <w:vAlign w:val="center"/>
          </w:tcPr>
          <w:p w14:paraId="70BE2798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A01ED53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887C7FB" w14:textId="77777777" w:rsidTr="00EA6243">
        <w:trPr>
          <w:cantSplit/>
        </w:trPr>
        <w:tc>
          <w:tcPr>
            <w:tcW w:w="4077" w:type="dxa"/>
            <w:vAlign w:val="center"/>
          </w:tcPr>
          <w:p w14:paraId="11385EFB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AA073D0" w14:textId="77777777" w:rsidR="00E06F40" w:rsidRPr="00A006A0" w:rsidRDefault="00E120FF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4C0FC4B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4BBDFD04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3FAAD3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6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2D335A7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B0AE064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2A068E1" w14:textId="2A93E7B9" w:rsidR="007F1005" w:rsidRPr="004C23F4" w:rsidRDefault="00DF3893" w:rsidP="00EB3D1B">
                <w:pPr>
                  <w:pStyle w:val="Tablefont"/>
                  <w:keepLines/>
                </w:pPr>
                <w:r>
                  <w:t>1995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EE46530" w14:textId="3C29955B" w:rsidR="007F1005" w:rsidRPr="00C12CA8" w:rsidRDefault="00DF3893" w:rsidP="00EB3D1B">
            <w:pPr>
              <w:pStyle w:val="Tablefont"/>
              <w:keepLines/>
            </w:pPr>
            <w:r w:rsidRPr="00DF3893">
              <w:t>1 mg/m</w:t>
            </w:r>
            <w:r w:rsidRPr="00DF3893">
              <w:rPr>
                <w:vertAlign w:val="superscript"/>
              </w:rPr>
              <w:t>3</w:t>
            </w:r>
            <w:r w:rsidR="00C12CA8">
              <w:t xml:space="preserve"> (</w:t>
            </w:r>
            <w:r w:rsidR="00257C81">
              <w:t>0.069 ppm)</w:t>
            </w:r>
          </w:p>
        </w:tc>
      </w:tr>
    </w:tbl>
    <w:bookmarkEnd w:id="6"/>
    <w:p w14:paraId="7B4F4334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2AD20ACB" w14:textId="6CE8F82C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08596A3" w14:textId="553ED818" w:rsidR="00767E24" w:rsidRPr="001A76CA" w:rsidRDefault="00767E24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DD63DD">
        <w:t>2002)</w:t>
      </w:r>
      <w:r w:rsidRPr="001A76CA">
        <w:t xml:space="preserve"> </w:t>
      </w:r>
      <w:r w:rsidR="00103A69" w:rsidRPr="001A76CA">
        <w:t>DDT</w:t>
      </w:r>
      <w:r w:rsidRPr="001A76CA">
        <w:t xml:space="preserve"> – MAK value documentation.</w:t>
      </w:r>
    </w:p>
    <w:p w14:paraId="4D3912D3" w14:textId="22583D87" w:rsidR="00767E24" w:rsidRPr="001A76CA" w:rsidRDefault="00767E24" w:rsidP="00084859">
      <w:r w:rsidRPr="001A76CA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2E3D1DD0" w14:textId="74B49602" w:rsidR="00767E24" w:rsidRPr="001A76CA" w:rsidRDefault="00767E24" w:rsidP="00084859">
      <w:r w:rsidRPr="001A76CA">
        <w:t xml:space="preserve">International Agency for Research on Cancer (IARC) (2018) </w:t>
      </w:r>
      <w:r w:rsidR="00103A69" w:rsidRPr="001A76CA">
        <w:rPr>
          <w:rFonts w:cs="Arial"/>
          <w:lang w:val="en"/>
        </w:rPr>
        <w:t>DDT, Lindane, and 2,4-D</w:t>
      </w:r>
      <w:r w:rsidRPr="001A76CA">
        <w:t>. IARC Monographs on the evaluation of the carcinogenic risk to humans.</w:t>
      </w:r>
    </w:p>
    <w:p w14:paraId="3B58F414" w14:textId="4D62C1E9" w:rsidR="00C1150B" w:rsidRPr="0047783F" w:rsidRDefault="00C1150B" w:rsidP="00C1150B">
      <w:r w:rsidRPr="0047783F">
        <w:t xml:space="preserve">US Environmental Protection Agency (US EPA). (2002). Chemical Assessment Summary – </w:t>
      </w:r>
      <w:proofErr w:type="spellStart"/>
      <w:proofErr w:type="gramStart"/>
      <w:r w:rsidRPr="0047783F">
        <w:t>p,p</w:t>
      </w:r>
      <w:proofErr w:type="spellEnd"/>
      <w:proofErr w:type="gramEnd"/>
      <w:r w:rsidRPr="0047783F">
        <w:t>’-Dichlorodiphenyltrichloroethane (DDT); CASRN 50-29-3. Integrated Risk Information System (IRIS).</w:t>
      </w:r>
    </w:p>
    <w:p w14:paraId="05486B1F" w14:textId="6E3FEE1E" w:rsidR="00767E24" w:rsidRDefault="00767E24" w:rsidP="00767E24">
      <w:pPr>
        <w:rPr>
          <w:b/>
        </w:rPr>
      </w:pPr>
      <w:r w:rsidRPr="001A76CA">
        <w:t>US National Institute for Occupational Safety and Health (NIOSH) (</w:t>
      </w:r>
      <w:sdt>
        <w:sdtPr>
          <w:id w:val="-1194999823"/>
          <w:placeholder>
            <w:docPart w:val="B93E00B2D5AB43B78B8A7997FA3DAD14"/>
          </w:placeholder>
          <w:temporary/>
          <w:showingPlcHdr/>
        </w:sdtPr>
        <w:sdtEndPr/>
        <w:sdtContent>
          <w:r w:rsidRPr="001A76CA">
            <w:t>1994</w:t>
          </w:r>
        </w:sdtContent>
      </w:sdt>
      <w:r w:rsidRPr="001A76CA">
        <w:t xml:space="preserve">) Immediately </w:t>
      </w:r>
      <w:r>
        <w:t xml:space="preserve">dangerous to life or health concentrations – </w:t>
      </w:r>
      <w:r w:rsidR="00103A69">
        <w:t>DDT</w:t>
      </w:r>
      <w:r>
        <w:t>.</w:t>
      </w:r>
    </w:p>
    <w:p w14:paraId="67DB7623" w14:textId="77777777" w:rsidR="00767E24" w:rsidRPr="00351FE0" w:rsidRDefault="00767E24" w:rsidP="00084859"/>
    <w:sectPr w:rsidR="00767E24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11EA6B" w14:textId="77777777" w:rsidR="00A50553" w:rsidRDefault="00A50553" w:rsidP="00F43AD5">
      <w:pPr>
        <w:spacing w:after="0" w:line="240" w:lineRule="auto"/>
      </w:pPr>
      <w:r>
        <w:separator/>
      </w:r>
    </w:p>
  </w:endnote>
  <w:endnote w:type="continuationSeparator" w:id="0">
    <w:p w14:paraId="4A61C133" w14:textId="77777777" w:rsidR="00A50553" w:rsidRDefault="00A5055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4B9ED77" w14:textId="77777777" w:rsidR="00B57450" w:rsidRDefault="00B57450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DDT (</w:t>
        </w:r>
        <w:proofErr w:type="spellStart"/>
        <w:r w:rsidRPr="00280904">
          <w:rPr>
            <w:b/>
            <w:sz w:val="18"/>
            <w:szCs w:val="18"/>
          </w:rPr>
          <w:t>Dichlorodiphenyl</w:t>
        </w:r>
        <w:proofErr w:type="spellEnd"/>
        <w:r w:rsidRPr="00280904">
          <w:rPr>
            <w:b/>
            <w:sz w:val="18"/>
            <w:szCs w:val="18"/>
          </w:rPr>
          <w:t>-trichloroethane)</w:t>
        </w:r>
        <w:r>
          <w:rPr>
            <w:b/>
            <w:sz w:val="18"/>
            <w:szCs w:val="18"/>
          </w:rPr>
          <w:t xml:space="preserve"> (50-29-3)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2BD7BFC1" w14:textId="465A0722" w:rsidR="00B57450" w:rsidRPr="00F43AD5" w:rsidRDefault="00B57450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170377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84A4B" w14:textId="77777777" w:rsidR="00A50553" w:rsidRDefault="00A50553" w:rsidP="00F43AD5">
      <w:pPr>
        <w:spacing w:after="0" w:line="240" w:lineRule="auto"/>
      </w:pPr>
      <w:r>
        <w:separator/>
      </w:r>
    </w:p>
  </w:footnote>
  <w:footnote w:type="continuationSeparator" w:id="0">
    <w:p w14:paraId="7EB2E7AB" w14:textId="77777777" w:rsidR="00A50553" w:rsidRDefault="00A5055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C338F" w14:textId="2390CB22" w:rsidR="004B0304" w:rsidRDefault="004B0304" w:rsidP="004B0304">
    <w:pPr>
      <w:pStyle w:val="Header"/>
      <w:jc w:val="right"/>
    </w:pPr>
    <w:r>
      <w:rPr>
        <w:noProof/>
        <w:lang w:eastAsia="en-AU"/>
      </w:rPr>
      <w:drawing>
        <wp:inline distT="0" distB="0" distL="0" distR="0" wp14:anchorId="569D1BB1" wp14:editId="39BB74D0">
          <wp:extent cx="2952750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E82BB1" w14:textId="0949D70C" w:rsidR="00B57450" w:rsidRPr="004B0304" w:rsidRDefault="00B57450" w:rsidP="004B03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DD62B" w14:textId="53774E35" w:rsidR="004B0304" w:rsidRDefault="004B0304" w:rsidP="004B0304">
    <w:pPr>
      <w:pStyle w:val="Header"/>
      <w:jc w:val="right"/>
    </w:pPr>
    <w:r>
      <w:rPr>
        <w:noProof/>
        <w:lang w:eastAsia="en-AU"/>
      </w:rPr>
      <w:drawing>
        <wp:inline distT="0" distB="0" distL="0" distR="0" wp14:anchorId="34FBE285" wp14:editId="2D784CE6">
          <wp:extent cx="2952750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7DFEE4" w14:textId="77777777" w:rsidR="004B0304" w:rsidRDefault="004B0304" w:rsidP="004B0304">
    <w:pPr>
      <w:pStyle w:val="Header"/>
      <w:jc w:val="right"/>
    </w:pPr>
  </w:p>
  <w:p w14:paraId="5FDC0324" w14:textId="77777777" w:rsidR="00B57450" w:rsidRPr="004B0304" w:rsidRDefault="00B57450" w:rsidP="004B03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6B41C6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FF2564"/>
    <w:multiLevelType w:val="hybridMultilevel"/>
    <w:tmpl w:val="3F48203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17A1F5C"/>
    <w:multiLevelType w:val="hybridMultilevel"/>
    <w:tmpl w:val="8382BA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A6807"/>
    <w:multiLevelType w:val="hybridMultilevel"/>
    <w:tmpl w:val="3BCA19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953512"/>
    <w:multiLevelType w:val="hybridMultilevel"/>
    <w:tmpl w:val="729C47F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E4D4D9B"/>
    <w:multiLevelType w:val="hybridMultilevel"/>
    <w:tmpl w:val="E4CABE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B26109"/>
    <w:multiLevelType w:val="hybridMultilevel"/>
    <w:tmpl w:val="CFFC6C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9272996">
    <w:abstractNumId w:val="1"/>
  </w:num>
  <w:num w:numId="2" w16cid:durableId="1683432687">
    <w:abstractNumId w:val="6"/>
  </w:num>
  <w:num w:numId="3" w16cid:durableId="50930049">
    <w:abstractNumId w:val="4"/>
  </w:num>
  <w:num w:numId="4" w16cid:durableId="9111833">
    <w:abstractNumId w:val="0"/>
  </w:num>
  <w:num w:numId="5" w16cid:durableId="1520508971">
    <w:abstractNumId w:val="5"/>
  </w:num>
  <w:num w:numId="6" w16cid:durableId="20325445">
    <w:abstractNumId w:val="3"/>
  </w:num>
  <w:num w:numId="7" w16cid:durableId="1703703113">
    <w:abstractNumId w:val="2"/>
  </w:num>
  <w:num w:numId="8" w16cid:durableId="523636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17FD"/>
    <w:rsid w:val="00013A22"/>
    <w:rsid w:val="00014C3F"/>
    <w:rsid w:val="0001753D"/>
    <w:rsid w:val="00017C82"/>
    <w:rsid w:val="00032B88"/>
    <w:rsid w:val="00045999"/>
    <w:rsid w:val="00046DF5"/>
    <w:rsid w:val="00052060"/>
    <w:rsid w:val="0005574A"/>
    <w:rsid w:val="00055FE1"/>
    <w:rsid w:val="00056EC2"/>
    <w:rsid w:val="00060B48"/>
    <w:rsid w:val="00064D6D"/>
    <w:rsid w:val="00067F32"/>
    <w:rsid w:val="00071807"/>
    <w:rsid w:val="000803E1"/>
    <w:rsid w:val="00084513"/>
    <w:rsid w:val="00084859"/>
    <w:rsid w:val="00092D94"/>
    <w:rsid w:val="000A4DB5"/>
    <w:rsid w:val="000B0868"/>
    <w:rsid w:val="000B3E12"/>
    <w:rsid w:val="000B3E78"/>
    <w:rsid w:val="000B7B48"/>
    <w:rsid w:val="000C096D"/>
    <w:rsid w:val="000C139A"/>
    <w:rsid w:val="000C2053"/>
    <w:rsid w:val="000C248C"/>
    <w:rsid w:val="000C3E71"/>
    <w:rsid w:val="000D291C"/>
    <w:rsid w:val="000E5A54"/>
    <w:rsid w:val="000E63D3"/>
    <w:rsid w:val="000E67CF"/>
    <w:rsid w:val="000F423C"/>
    <w:rsid w:val="00103A69"/>
    <w:rsid w:val="0010461E"/>
    <w:rsid w:val="00106FAA"/>
    <w:rsid w:val="00113443"/>
    <w:rsid w:val="001269A7"/>
    <w:rsid w:val="00131092"/>
    <w:rsid w:val="001329A7"/>
    <w:rsid w:val="00140179"/>
    <w:rsid w:val="00140E6A"/>
    <w:rsid w:val="00144577"/>
    <w:rsid w:val="00144E78"/>
    <w:rsid w:val="00146545"/>
    <w:rsid w:val="00146B75"/>
    <w:rsid w:val="0015266D"/>
    <w:rsid w:val="0015288A"/>
    <w:rsid w:val="00160F47"/>
    <w:rsid w:val="00162C7F"/>
    <w:rsid w:val="00167AFF"/>
    <w:rsid w:val="00170377"/>
    <w:rsid w:val="00174E54"/>
    <w:rsid w:val="00177CA1"/>
    <w:rsid w:val="00183823"/>
    <w:rsid w:val="00183942"/>
    <w:rsid w:val="00184D16"/>
    <w:rsid w:val="001867E5"/>
    <w:rsid w:val="00194DAD"/>
    <w:rsid w:val="001A009E"/>
    <w:rsid w:val="001A1287"/>
    <w:rsid w:val="001A3859"/>
    <w:rsid w:val="001A3C9D"/>
    <w:rsid w:val="001A43F8"/>
    <w:rsid w:val="001A76CA"/>
    <w:rsid w:val="001B1E21"/>
    <w:rsid w:val="001B51EC"/>
    <w:rsid w:val="001B79E5"/>
    <w:rsid w:val="001D56F0"/>
    <w:rsid w:val="001D663B"/>
    <w:rsid w:val="001D7B41"/>
    <w:rsid w:val="001E46DA"/>
    <w:rsid w:val="001E7D80"/>
    <w:rsid w:val="001F15CE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6020"/>
    <w:rsid w:val="00236EBE"/>
    <w:rsid w:val="00241B55"/>
    <w:rsid w:val="00244AD1"/>
    <w:rsid w:val="002463BC"/>
    <w:rsid w:val="002465CE"/>
    <w:rsid w:val="0025734A"/>
    <w:rsid w:val="00257C81"/>
    <w:rsid w:val="00263255"/>
    <w:rsid w:val="00264B2D"/>
    <w:rsid w:val="00276494"/>
    <w:rsid w:val="00277B0C"/>
    <w:rsid w:val="00280904"/>
    <w:rsid w:val="00283983"/>
    <w:rsid w:val="0028504C"/>
    <w:rsid w:val="002B14AE"/>
    <w:rsid w:val="002B1A2C"/>
    <w:rsid w:val="002C34F2"/>
    <w:rsid w:val="002C58FF"/>
    <w:rsid w:val="002C7AFE"/>
    <w:rsid w:val="002D05D2"/>
    <w:rsid w:val="002E0D61"/>
    <w:rsid w:val="002E4C7B"/>
    <w:rsid w:val="002F068B"/>
    <w:rsid w:val="002F0FAC"/>
    <w:rsid w:val="0030740C"/>
    <w:rsid w:val="0030744F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B6A10"/>
    <w:rsid w:val="003C0D58"/>
    <w:rsid w:val="003D3F2A"/>
    <w:rsid w:val="003D4FA3"/>
    <w:rsid w:val="003E0807"/>
    <w:rsid w:val="003E51FB"/>
    <w:rsid w:val="003E6B39"/>
    <w:rsid w:val="003E7AC2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33C46"/>
    <w:rsid w:val="00433E6D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7783F"/>
    <w:rsid w:val="00485BFD"/>
    <w:rsid w:val="004867A2"/>
    <w:rsid w:val="004873F2"/>
    <w:rsid w:val="00490D4C"/>
    <w:rsid w:val="00491A16"/>
    <w:rsid w:val="00493A35"/>
    <w:rsid w:val="0049527A"/>
    <w:rsid w:val="004966BF"/>
    <w:rsid w:val="00497984"/>
    <w:rsid w:val="004A5088"/>
    <w:rsid w:val="004B0304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15C6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51CDC"/>
    <w:rsid w:val="005764EE"/>
    <w:rsid w:val="00581055"/>
    <w:rsid w:val="00591E38"/>
    <w:rsid w:val="005A19C5"/>
    <w:rsid w:val="005A3034"/>
    <w:rsid w:val="005A462D"/>
    <w:rsid w:val="005A4BBF"/>
    <w:rsid w:val="005B253B"/>
    <w:rsid w:val="005B771D"/>
    <w:rsid w:val="005C0AC5"/>
    <w:rsid w:val="005C146C"/>
    <w:rsid w:val="005C5D16"/>
    <w:rsid w:val="005D3193"/>
    <w:rsid w:val="005D4A6E"/>
    <w:rsid w:val="005E0265"/>
    <w:rsid w:val="005E2AEF"/>
    <w:rsid w:val="005E5B5B"/>
    <w:rsid w:val="005E6979"/>
    <w:rsid w:val="005E75CB"/>
    <w:rsid w:val="006013C1"/>
    <w:rsid w:val="0060669E"/>
    <w:rsid w:val="00610B0B"/>
    <w:rsid w:val="00610F2E"/>
    <w:rsid w:val="00611399"/>
    <w:rsid w:val="0062171B"/>
    <w:rsid w:val="00622849"/>
    <w:rsid w:val="00624C4E"/>
    <w:rsid w:val="00625200"/>
    <w:rsid w:val="006363A8"/>
    <w:rsid w:val="00636DB7"/>
    <w:rsid w:val="00650905"/>
    <w:rsid w:val="006532ED"/>
    <w:rsid w:val="00653B63"/>
    <w:rsid w:val="006549F2"/>
    <w:rsid w:val="006567B7"/>
    <w:rsid w:val="00657BFB"/>
    <w:rsid w:val="0066333C"/>
    <w:rsid w:val="006639B4"/>
    <w:rsid w:val="006650FE"/>
    <w:rsid w:val="00671B0B"/>
    <w:rsid w:val="0067305D"/>
    <w:rsid w:val="00677D9B"/>
    <w:rsid w:val="00681302"/>
    <w:rsid w:val="006867F3"/>
    <w:rsid w:val="00687890"/>
    <w:rsid w:val="006901A2"/>
    <w:rsid w:val="00690368"/>
    <w:rsid w:val="0069079C"/>
    <w:rsid w:val="00690B53"/>
    <w:rsid w:val="00691FE0"/>
    <w:rsid w:val="00695B72"/>
    <w:rsid w:val="006B160A"/>
    <w:rsid w:val="006B4E6C"/>
    <w:rsid w:val="006B50B6"/>
    <w:rsid w:val="006B6CFC"/>
    <w:rsid w:val="006D79EA"/>
    <w:rsid w:val="006E5D05"/>
    <w:rsid w:val="00701053"/>
    <w:rsid w:val="00701507"/>
    <w:rsid w:val="00707B44"/>
    <w:rsid w:val="007125D2"/>
    <w:rsid w:val="00714021"/>
    <w:rsid w:val="00716A0F"/>
    <w:rsid w:val="00717AB6"/>
    <w:rsid w:val="00717D45"/>
    <w:rsid w:val="007208F7"/>
    <w:rsid w:val="007218AF"/>
    <w:rsid w:val="0073149E"/>
    <w:rsid w:val="007365D1"/>
    <w:rsid w:val="0074066A"/>
    <w:rsid w:val="00740E0E"/>
    <w:rsid w:val="00750212"/>
    <w:rsid w:val="00754779"/>
    <w:rsid w:val="0075716D"/>
    <w:rsid w:val="00765F14"/>
    <w:rsid w:val="00767E24"/>
    <w:rsid w:val="00770E31"/>
    <w:rsid w:val="007770F1"/>
    <w:rsid w:val="00783F6D"/>
    <w:rsid w:val="00783FB1"/>
    <w:rsid w:val="00785CDD"/>
    <w:rsid w:val="00791847"/>
    <w:rsid w:val="007925F0"/>
    <w:rsid w:val="007939B3"/>
    <w:rsid w:val="0079509C"/>
    <w:rsid w:val="00796708"/>
    <w:rsid w:val="007A194A"/>
    <w:rsid w:val="007A6C27"/>
    <w:rsid w:val="007B1B42"/>
    <w:rsid w:val="007C30EB"/>
    <w:rsid w:val="007C7FEA"/>
    <w:rsid w:val="007D3760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12E39"/>
    <w:rsid w:val="00826F21"/>
    <w:rsid w:val="0083347A"/>
    <w:rsid w:val="00834CC8"/>
    <w:rsid w:val="00835E00"/>
    <w:rsid w:val="00837113"/>
    <w:rsid w:val="008414E4"/>
    <w:rsid w:val="00843E21"/>
    <w:rsid w:val="0084508E"/>
    <w:rsid w:val="00851149"/>
    <w:rsid w:val="00857A8A"/>
    <w:rsid w:val="00861C63"/>
    <w:rsid w:val="008630EE"/>
    <w:rsid w:val="00864D13"/>
    <w:rsid w:val="00871CD5"/>
    <w:rsid w:val="008745A2"/>
    <w:rsid w:val="008768A8"/>
    <w:rsid w:val="0088565C"/>
    <w:rsid w:val="0088798F"/>
    <w:rsid w:val="00887E4B"/>
    <w:rsid w:val="008915C8"/>
    <w:rsid w:val="008925A5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D7294"/>
    <w:rsid w:val="008E7B64"/>
    <w:rsid w:val="008F5DCD"/>
    <w:rsid w:val="00900951"/>
    <w:rsid w:val="009118A6"/>
    <w:rsid w:val="00916909"/>
    <w:rsid w:val="00916DAA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067F"/>
    <w:rsid w:val="00946044"/>
    <w:rsid w:val="0094660B"/>
    <w:rsid w:val="00946A33"/>
    <w:rsid w:val="0095260E"/>
    <w:rsid w:val="00954DAE"/>
    <w:rsid w:val="009578DD"/>
    <w:rsid w:val="00961124"/>
    <w:rsid w:val="00961C98"/>
    <w:rsid w:val="009621B6"/>
    <w:rsid w:val="00974F2D"/>
    <w:rsid w:val="00977524"/>
    <w:rsid w:val="00977E88"/>
    <w:rsid w:val="009836DC"/>
    <w:rsid w:val="00984920"/>
    <w:rsid w:val="0099303A"/>
    <w:rsid w:val="009971C2"/>
    <w:rsid w:val="009A0F1F"/>
    <w:rsid w:val="009A1254"/>
    <w:rsid w:val="009B0D9D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0BA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3CA3"/>
    <w:rsid w:val="00A24EF4"/>
    <w:rsid w:val="00A27E2D"/>
    <w:rsid w:val="00A31D99"/>
    <w:rsid w:val="00A35390"/>
    <w:rsid w:val="00A357BA"/>
    <w:rsid w:val="00A35ADC"/>
    <w:rsid w:val="00A402A3"/>
    <w:rsid w:val="00A44351"/>
    <w:rsid w:val="00A50553"/>
    <w:rsid w:val="00A53681"/>
    <w:rsid w:val="00A5600C"/>
    <w:rsid w:val="00A633D4"/>
    <w:rsid w:val="00A6461A"/>
    <w:rsid w:val="00A84504"/>
    <w:rsid w:val="00A85220"/>
    <w:rsid w:val="00A8672F"/>
    <w:rsid w:val="00A93057"/>
    <w:rsid w:val="00A968B0"/>
    <w:rsid w:val="00A96A05"/>
    <w:rsid w:val="00AB2672"/>
    <w:rsid w:val="00AB2817"/>
    <w:rsid w:val="00AB43C4"/>
    <w:rsid w:val="00AC32E7"/>
    <w:rsid w:val="00AC3A9F"/>
    <w:rsid w:val="00AC6D2F"/>
    <w:rsid w:val="00AD2A04"/>
    <w:rsid w:val="00AE2745"/>
    <w:rsid w:val="00AE2F64"/>
    <w:rsid w:val="00AF42CB"/>
    <w:rsid w:val="00AF483F"/>
    <w:rsid w:val="00AF5E07"/>
    <w:rsid w:val="00AF5F06"/>
    <w:rsid w:val="00B00A25"/>
    <w:rsid w:val="00B0431F"/>
    <w:rsid w:val="00B1422A"/>
    <w:rsid w:val="00B1765C"/>
    <w:rsid w:val="00B213C4"/>
    <w:rsid w:val="00B40C60"/>
    <w:rsid w:val="00B479A9"/>
    <w:rsid w:val="00B52EDF"/>
    <w:rsid w:val="00B57450"/>
    <w:rsid w:val="00B71188"/>
    <w:rsid w:val="00B76A41"/>
    <w:rsid w:val="00B87D4C"/>
    <w:rsid w:val="00B93646"/>
    <w:rsid w:val="00BA0B38"/>
    <w:rsid w:val="00BA1DBB"/>
    <w:rsid w:val="00BA4510"/>
    <w:rsid w:val="00BA529A"/>
    <w:rsid w:val="00BB5CC1"/>
    <w:rsid w:val="00BB612A"/>
    <w:rsid w:val="00BD499F"/>
    <w:rsid w:val="00BD56DE"/>
    <w:rsid w:val="00BF2406"/>
    <w:rsid w:val="00C06E43"/>
    <w:rsid w:val="00C1150B"/>
    <w:rsid w:val="00C12CA8"/>
    <w:rsid w:val="00C15ADD"/>
    <w:rsid w:val="00C16315"/>
    <w:rsid w:val="00C26AC9"/>
    <w:rsid w:val="00C3091E"/>
    <w:rsid w:val="00C40FF1"/>
    <w:rsid w:val="00C419E2"/>
    <w:rsid w:val="00C42211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31C4"/>
    <w:rsid w:val="00C74833"/>
    <w:rsid w:val="00C850A0"/>
    <w:rsid w:val="00C85A86"/>
    <w:rsid w:val="00C92DD9"/>
    <w:rsid w:val="00C978F0"/>
    <w:rsid w:val="00CA58FE"/>
    <w:rsid w:val="00CB1CB1"/>
    <w:rsid w:val="00CB6BC1"/>
    <w:rsid w:val="00CB6CB8"/>
    <w:rsid w:val="00CC1A68"/>
    <w:rsid w:val="00CC1FDC"/>
    <w:rsid w:val="00CC2123"/>
    <w:rsid w:val="00CD0550"/>
    <w:rsid w:val="00CD2BFD"/>
    <w:rsid w:val="00CE5AD6"/>
    <w:rsid w:val="00CE5CC2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33F58"/>
    <w:rsid w:val="00D3761C"/>
    <w:rsid w:val="00D44C89"/>
    <w:rsid w:val="00D516CD"/>
    <w:rsid w:val="00D668E6"/>
    <w:rsid w:val="00D670B2"/>
    <w:rsid w:val="00D70670"/>
    <w:rsid w:val="00D74D80"/>
    <w:rsid w:val="00D76624"/>
    <w:rsid w:val="00D87570"/>
    <w:rsid w:val="00D91CB9"/>
    <w:rsid w:val="00D9597C"/>
    <w:rsid w:val="00D97989"/>
    <w:rsid w:val="00D97D8D"/>
    <w:rsid w:val="00DA352E"/>
    <w:rsid w:val="00DC7694"/>
    <w:rsid w:val="00DD1BF6"/>
    <w:rsid w:val="00DD2F9B"/>
    <w:rsid w:val="00DD63DD"/>
    <w:rsid w:val="00DE2513"/>
    <w:rsid w:val="00DE26E8"/>
    <w:rsid w:val="00DF3893"/>
    <w:rsid w:val="00DF6F36"/>
    <w:rsid w:val="00E0084C"/>
    <w:rsid w:val="00E025AB"/>
    <w:rsid w:val="00E02B23"/>
    <w:rsid w:val="00E06F40"/>
    <w:rsid w:val="00E07CE8"/>
    <w:rsid w:val="00E112A1"/>
    <w:rsid w:val="00E120FF"/>
    <w:rsid w:val="00E26A07"/>
    <w:rsid w:val="00E32595"/>
    <w:rsid w:val="00E33ED3"/>
    <w:rsid w:val="00E33F31"/>
    <w:rsid w:val="00E37CFD"/>
    <w:rsid w:val="00E41A26"/>
    <w:rsid w:val="00E42EC7"/>
    <w:rsid w:val="00E46BCB"/>
    <w:rsid w:val="00E51689"/>
    <w:rsid w:val="00E51CAF"/>
    <w:rsid w:val="00E54233"/>
    <w:rsid w:val="00E60F04"/>
    <w:rsid w:val="00E62AAC"/>
    <w:rsid w:val="00E67C2F"/>
    <w:rsid w:val="00E67EF5"/>
    <w:rsid w:val="00E77721"/>
    <w:rsid w:val="00E804EA"/>
    <w:rsid w:val="00E80A71"/>
    <w:rsid w:val="00E82337"/>
    <w:rsid w:val="00E92499"/>
    <w:rsid w:val="00E949AF"/>
    <w:rsid w:val="00E96077"/>
    <w:rsid w:val="00E97DB8"/>
    <w:rsid w:val="00EA0A06"/>
    <w:rsid w:val="00EA6243"/>
    <w:rsid w:val="00EA74AB"/>
    <w:rsid w:val="00EB3D1B"/>
    <w:rsid w:val="00EC0B0C"/>
    <w:rsid w:val="00ED1D89"/>
    <w:rsid w:val="00ED66BC"/>
    <w:rsid w:val="00EF233A"/>
    <w:rsid w:val="00EF2F02"/>
    <w:rsid w:val="00EF303E"/>
    <w:rsid w:val="00EF3A40"/>
    <w:rsid w:val="00EF7F78"/>
    <w:rsid w:val="00F018F0"/>
    <w:rsid w:val="00F01B08"/>
    <w:rsid w:val="00F01C4D"/>
    <w:rsid w:val="00F053FA"/>
    <w:rsid w:val="00F10C97"/>
    <w:rsid w:val="00F11C71"/>
    <w:rsid w:val="00F13819"/>
    <w:rsid w:val="00F16019"/>
    <w:rsid w:val="00F2059C"/>
    <w:rsid w:val="00F20E68"/>
    <w:rsid w:val="00F22093"/>
    <w:rsid w:val="00F236DF"/>
    <w:rsid w:val="00F40E1D"/>
    <w:rsid w:val="00F43AD5"/>
    <w:rsid w:val="00F4402E"/>
    <w:rsid w:val="00F56DD0"/>
    <w:rsid w:val="00F60A3A"/>
    <w:rsid w:val="00F6491C"/>
    <w:rsid w:val="00F67BBB"/>
    <w:rsid w:val="00F87095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D4E17"/>
    <w:rsid w:val="00FE0B45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3D8924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285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504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504C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5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504C"/>
    <w:rPr>
      <w:b/>
      <w:bCs/>
      <w:szCs w:val="20"/>
    </w:rPr>
  </w:style>
  <w:style w:type="paragraph" w:styleId="NormalWeb">
    <w:name w:val="Normal (Web)"/>
    <w:basedOn w:val="Normal"/>
    <w:uiPriority w:val="99"/>
    <w:semiHidden/>
    <w:unhideWhenUsed/>
    <w:rsid w:val="0028504C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LightShading-Accent2">
    <w:name w:val="Light Shading Accent 2"/>
    <w:aliases w:val="SWA Table Style"/>
    <w:basedOn w:val="TableNormal"/>
    <w:uiPriority w:val="60"/>
    <w:rsid w:val="00767E24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064D6D"/>
    <w:pPr>
      <w:numPr>
        <w:numId w:val="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9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03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85443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02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416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4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B93E00B2D5AB43B78B8A7997FA3DAD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FB675B-7DEA-46AF-9B51-E66856CBADF4}"/>
      </w:docPartPr>
      <w:docPartBody>
        <w:p w:rsidR="00702F43" w:rsidRDefault="000E2E1B" w:rsidP="000E2E1B">
          <w:pPr>
            <w:pStyle w:val="B93E00B2D5AB43B78B8A7997FA3DAD14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004AFBC547704CB7B1DCD0962E0D5F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1DF6E9-B61C-45D2-924A-CD63C244A7AC}"/>
      </w:docPartPr>
      <w:docPartBody>
        <w:p w:rsidR="00E40C3B" w:rsidRDefault="008A2AAD" w:rsidP="008A2AAD">
          <w:pPr>
            <w:pStyle w:val="004AFBC547704CB7B1DCD0962E0D5FBD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07ACF"/>
    <w:rsid w:val="000E2E1B"/>
    <w:rsid w:val="001E0D0E"/>
    <w:rsid w:val="00702F43"/>
    <w:rsid w:val="007258E0"/>
    <w:rsid w:val="007C03E5"/>
    <w:rsid w:val="008635D2"/>
    <w:rsid w:val="008A2AAD"/>
    <w:rsid w:val="00A34EE4"/>
    <w:rsid w:val="00D21A9F"/>
    <w:rsid w:val="00D33F58"/>
    <w:rsid w:val="00E40C3B"/>
    <w:rsid w:val="00F1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A2AAD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B93E00B2D5AB43B78B8A7997FA3DAD14">
    <w:name w:val="B93E00B2D5AB43B78B8A7997FA3DAD14"/>
    <w:rsid w:val="000E2E1B"/>
    <w:rPr>
      <w:lang w:val="en-US" w:eastAsia="en-US"/>
    </w:rPr>
  </w:style>
  <w:style w:type="paragraph" w:customStyle="1" w:styleId="004AFBC547704CB7B1DCD0962E0D5FBD">
    <w:name w:val="004AFBC547704CB7B1DCD0962E0D5FBD"/>
    <w:rsid w:val="008A2AA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203CB40-9EED-44CD-BE7D-AF133DD2D3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58CAA9-0C2C-4C09-98B7-78B8B19D2B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89EC35-3B49-4F69-8B42-F128121DC0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FBFB77-B8BE-499B-8F91-82ADA1C45626}">
  <ds:schemaRefs>
    <ds:schemaRef ds:uri="a0509f21-ed56-4150-9955-96be669e5f2d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1c567317-0c4d-4a62-8516-c22afd1b5354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1028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2019-10-16T04:24:00Z</dcterms:created>
  <dcterms:modified xsi:type="dcterms:W3CDTF">2026-01-09T01:06:00Z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2025-12-22T05:12:29Z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d3e92a85-f6f1-4413-8924-035351a54c4b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