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BDFB4D9" w14:textId="2C708B93" w:rsidR="00BD499F" w:rsidRPr="004C23F4" w:rsidRDefault="009041B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Cyclopentane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4E86CF45" w14:textId="77777777" w:rsidTr="007F7F61">
        <w:trPr>
          <w:cantSplit/>
          <w:tblHeader/>
        </w:trPr>
        <w:tc>
          <w:tcPr>
            <w:tcW w:w="3981" w:type="dxa"/>
          </w:tcPr>
          <w:p w14:paraId="3029CCB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5" w:type="dxa"/>
          </w:tcPr>
          <w:p w14:paraId="4E9F40D3" w14:textId="178B20CB" w:rsidR="00F43AD5" w:rsidRPr="00717D45" w:rsidRDefault="009041B3" w:rsidP="00B76A41">
            <w:pPr>
              <w:pStyle w:val="Tablefont"/>
            </w:pPr>
            <w:r w:rsidRPr="009041B3">
              <w:t>287-92-3</w:t>
            </w:r>
          </w:p>
        </w:tc>
      </w:tr>
      <w:tr w:rsidR="00F43AD5" w:rsidRPr="004C23F4" w14:paraId="016A83B5" w14:textId="77777777" w:rsidTr="007F7F61">
        <w:trPr>
          <w:cantSplit/>
        </w:trPr>
        <w:tc>
          <w:tcPr>
            <w:tcW w:w="3981" w:type="dxa"/>
          </w:tcPr>
          <w:p w14:paraId="24CA642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5" w:type="dxa"/>
          </w:tcPr>
          <w:p w14:paraId="03702C92" w14:textId="4629BE8B" w:rsidR="00F43AD5" w:rsidRPr="00717D45" w:rsidRDefault="00A54ABA" w:rsidP="00B76A41">
            <w:pPr>
              <w:pStyle w:val="Tablefont"/>
            </w:pPr>
            <w:proofErr w:type="spellStart"/>
            <w:r>
              <w:t>Pentamethylene</w:t>
            </w:r>
            <w:proofErr w:type="spellEnd"/>
          </w:p>
        </w:tc>
      </w:tr>
      <w:tr w:rsidR="00F43AD5" w:rsidRPr="004C23F4" w14:paraId="36FBA70C" w14:textId="77777777" w:rsidTr="007F7F61">
        <w:trPr>
          <w:cantSplit/>
        </w:trPr>
        <w:tc>
          <w:tcPr>
            <w:tcW w:w="3981" w:type="dxa"/>
          </w:tcPr>
          <w:p w14:paraId="6E4B5FB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5" w:type="dxa"/>
          </w:tcPr>
          <w:p w14:paraId="5CA4BD36" w14:textId="64A2B776" w:rsidR="00F43AD5" w:rsidRPr="00717D45" w:rsidRDefault="00A54ABA" w:rsidP="00B76A41">
            <w:pPr>
              <w:pStyle w:val="Tablefont"/>
            </w:pPr>
            <w:r>
              <w:t>C</w:t>
            </w:r>
            <w:r w:rsidRPr="00A54ABA">
              <w:rPr>
                <w:vertAlign w:val="subscript"/>
              </w:rPr>
              <w:t>5</w:t>
            </w:r>
            <w:r>
              <w:t>H</w:t>
            </w:r>
            <w:r w:rsidRPr="00A54ABA">
              <w:rPr>
                <w:vertAlign w:val="subscript"/>
              </w:rPr>
              <w:t>10</w:t>
            </w:r>
          </w:p>
        </w:tc>
      </w:tr>
    </w:tbl>
    <w:p w14:paraId="1992B115" w14:textId="30A21E7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64E3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1A84674" w14:textId="77777777" w:rsidTr="00B12B5B">
        <w:trPr>
          <w:cantSplit/>
          <w:tblHeader/>
        </w:trPr>
        <w:tc>
          <w:tcPr>
            <w:tcW w:w="4010" w:type="dxa"/>
            <w:vAlign w:val="center"/>
          </w:tcPr>
          <w:p w14:paraId="2BA0317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B9797D3" w14:textId="2AC09484" w:rsidR="002C7AFE" w:rsidRPr="00EB3D1B" w:rsidRDefault="009041B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600 ppm (1,720 mg/m</w:t>
            </w:r>
            <w:r w:rsidRPr="009041B3">
              <w:rPr>
                <w:b/>
                <w:vertAlign w:val="superscript"/>
              </w:rPr>
              <w:t>3</w:t>
            </w:r>
            <w:r w:rsidRPr="009041B3">
              <w:rPr>
                <w:b/>
              </w:rPr>
              <w:t>)</w:t>
            </w:r>
          </w:p>
        </w:tc>
      </w:tr>
      <w:tr w:rsidR="00B12B5B" w:rsidRPr="004C23F4" w14:paraId="1AACC9DB" w14:textId="77777777" w:rsidTr="00B12B5B">
        <w:trPr>
          <w:cantSplit/>
        </w:trPr>
        <w:tc>
          <w:tcPr>
            <w:tcW w:w="4010" w:type="dxa"/>
            <w:vAlign w:val="center"/>
          </w:tcPr>
          <w:p w14:paraId="6FA3B0F2" w14:textId="77777777" w:rsidR="00B12B5B" w:rsidRPr="002C58FF" w:rsidRDefault="00B12B5B" w:rsidP="00B12B5B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5C827D3" w14:textId="2BAA0D8A" w:rsidR="00B12B5B" w:rsidRPr="003049F8" w:rsidRDefault="005B1C41" w:rsidP="005B1C41">
            <w:pPr>
              <w:pStyle w:val="Tablefont"/>
            </w:pPr>
            <w:r w:rsidRPr="003049F8">
              <w:t>—</w:t>
            </w:r>
          </w:p>
        </w:tc>
      </w:tr>
      <w:tr w:rsidR="00B12B5B" w:rsidRPr="004C23F4" w14:paraId="6B07AEEA" w14:textId="77777777" w:rsidTr="00B12B5B">
        <w:trPr>
          <w:cantSplit/>
        </w:trPr>
        <w:tc>
          <w:tcPr>
            <w:tcW w:w="4010" w:type="dxa"/>
            <w:vAlign w:val="center"/>
          </w:tcPr>
          <w:p w14:paraId="71C8A84D" w14:textId="77777777" w:rsidR="00B12B5B" w:rsidRPr="002C58FF" w:rsidRDefault="00B12B5B" w:rsidP="00B12B5B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39ED98B2" w14:textId="72092D5A" w:rsidR="00B12B5B" w:rsidRPr="003049F8" w:rsidRDefault="005B1C41" w:rsidP="005B1C41">
            <w:pPr>
              <w:pStyle w:val="Tablefont"/>
            </w:pPr>
            <w:r w:rsidRPr="003049F8">
              <w:t>—</w:t>
            </w:r>
          </w:p>
        </w:tc>
      </w:tr>
      <w:tr w:rsidR="00B12B5B" w:rsidRPr="004C23F4" w14:paraId="5C8051AF" w14:textId="77777777" w:rsidTr="00B12B5B">
        <w:trPr>
          <w:cantSplit/>
        </w:trPr>
        <w:tc>
          <w:tcPr>
            <w:tcW w:w="4010" w:type="dxa"/>
          </w:tcPr>
          <w:p w14:paraId="20CE4770" w14:textId="77777777" w:rsidR="00B12B5B" w:rsidRPr="002C58FF" w:rsidRDefault="00B12B5B" w:rsidP="00B12B5B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497540E" w14:textId="64257F4A" w:rsidR="00B12B5B" w:rsidRPr="003049F8" w:rsidRDefault="005B1C41" w:rsidP="005B1C41">
            <w:pPr>
              <w:pStyle w:val="Tablefont"/>
            </w:pPr>
            <w:r w:rsidRPr="003049F8">
              <w:t>—</w:t>
            </w:r>
          </w:p>
        </w:tc>
      </w:tr>
      <w:tr w:rsidR="006B0EF8" w:rsidRPr="004C23F4" w14:paraId="3BC80174" w14:textId="77777777" w:rsidTr="00B12B5B">
        <w:trPr>
          <w:cantSplit/>
        </w:trPr>
        <w:tc>
          <w:tcPr>
            <w:tcW w:w="4010" w:type="dxa"/>
            <w:vAlign w:val="center"/>
          </w:tcPr>
          <w:p w14:paraId="41CA940B" w14:textId="77777777" w:rsidR="006B0EF8" w:rsidRPr="002C58FF" w:rsidRDefault="006B0EF8" w:rsidP="006B0EF8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39E524D" w14:textId="7A7EA645" w:rsidR="006B0EF8" w:rsidRPr="003049F8" w:rsidRDefault="006B0EF8" w:rsidP="006B0EF8">
            <w:pPr>
              <w:pStyle w:val="Tablefont"/>
            </w:pPr>
            <w:r w:rsidRPr="003049F8">
              <w:t>—</w:t>
            </w:r>
          </w:p>
        </w:tc>
      </w:tr>
      <w:tr w:rsidR="00693600" w:rsidRPr="004C23F4" w14:paraId="46D728A1" w14:textId="77777777" w:rsidTr="00960270">
        <w:trPr>
          <w:cantSplit/>
        </w:trPr>
        <w:tc>
          <w:tcPr>
            <w:tcW w:w="9026" w:type="dxa"/>
            <w:gridSpan w:val="2"/>
            <w:vAlign w:val="center"/>
          </w:tcPr>
          <w:p w14:paraId="4B2E35EA" w14:textId="34C714E8" w:rsidR="00693600" w:rsidRPr="00415F5A" w:rsidRDefault="00693600" w:rsidP="006B0EF8">
            <w:pPr>
              <w:pStyle w:val="Tablefont"/>
            </w:pPr>
            <w:r w:rsidRPr="00BD616F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BF1E9D1502740D5984A762B6EE5D75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BD616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73E721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7AECFBD" w14:textId="67FC515D" w:rsidR="008B308B" w:rsidRDefault="008B308B" w:rsidP="008B308B">
      <w:pPr>
        <w:rPr>
          <w:rFonts w:cs="Arial"/>
        </w:rPr>
      </w:pPr>
      <w:r w:rsidRPr="007B14D6">
        <w:rPr>
          <w:rFonts w:cs="Arial"/>
        </w:rPr>
        <w:t xml:space="preserve">A TWA of </w:t>
      </w:r>
      <w:r w:rsidRPr="008B308B">
        <w:rPr>
          <w:rFonts w:cs="Arial"/>
        </w:rPr>
        <w:t>600 ppm (1,720 mg/m</w:t>
      </w:r>
      <w:r w:rsidRPr="005B1C41">
        <w:rPr>
          <w:rFonts w:cs="Arial"/>
          <w:vertAlign w:val="superscript"/>
        </w:rPr>
        <w:t>3</w:t>
      </w:r>
      <w:r w:rsidRPr="008B308B">
        <w:rPr>
          <w:rFonts w:cs="Arial"/>
        </w:rPr>
        <w:t>)</w:t>
      </w:r>
      <w:r>
        <w:rPr>
          <w:rFonts w:cs="Arial"/>
        </w:rPr>
        <w:t xml:space="preserve"> </w:t>
      </w:r>
      <w:r w:rsidRPr="007B14D6">
        <w:rPr>
          <w:rFonts w:cs="Arial"/>
        </w:rPr>
        <w:t xml:space="preserve">is </w:t>
      </w:r>
      <w:r w:rsidR="00F64E3F">
        <w:rPr>
          <w:rFonts w:cs="Arial"/>
        </w:rPr>
        <w:t>recommended</w:t>
      </w:r>
      <w:r w:rsidR="00F64E3F" w:rsidRPr="007B14D6">
        <w:rPr>
          <w:rFonts w:cs="Arial"/>
        </w:rPr>
        <w:t xml:space="preserve"> </w:t>
      </w:r>
      <w:r w:rsidRPr="007B14D6">
        <w:rPr>
          <w:rFonts w:cs="Arial"/>
        </w:rPr>
        <w:t xml:space="preserve">to protect </w:t>
      </w:r>
      <w:r w:rsidRPr="00F37E07">
        <w:rPr>
          <w:rFonts w:cs="Arial"/>
        </w:rPr>
        <w:t xml:space="preserve">for </w:t>
      </w:r>
      <w:r>
        <w:t>depression of the central nervous system</w:t>
      </w:r>
      <w:r w:rsidR="00BD616F">
        <w:t xml:space="preserve"> (CNS)</w:t>
      </w:r>
      <w:r>
        <w:t>, headache, dizziness</w:t>
      </w:r>
      <w:r w:rsidR="009D18AC">
        <w:t xml:space="preserve"> and</w:t>
      </w:r>
      <w:r>
        <w:t xml:space="preserve"> narcosis</w:t>
      </w:r>
      <w:r w:rsidR="009D18AC">
        <w:t xml:space="preserve"> i</w:t>
      </w:r>
      <w:r>
        <w:t xml:space="preserve">n </w:t>
      </w:r>
      <w:r>
        <w:rPr>
          <w:rFonts w:cs="Arial"/>
        </w:rPr>
        <w:t xml:space="preserve">exposed </w:t>
      </w:r>
      <w:r w:rsidRPr="00F37E07">
        <w:rPr>
          <w:rFonts w:cs="Arial"/>
        </w:rPr>
        <w:t>workers</w:t>
      </w:r>
      <w:r>
        <w:rPr>
          <w:rFonts w:cs="Arial"/>
        </w:rPr>
        <w:t>.</w:t>
      </w:r>
    </w:p>
    <w:p w14:paraId="531D228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160C8E8" w14:textId="7C721FAF" w:rsidR="008B308B" w:rsidRDefault="008B308B" w:rsidP="008B308B">
      <w:pPr>
        <w:rPr>
          <w:rFonts w:cs="Arial"/>
        </w:rPr>
      </w:pPr>
      <w:r w:rsidRPr="00A32CFA">
        <w:rPr>
          <w:rFonts w:cs="Arial"/>
        </w:rPr>
        <w:t>Cy</w:t>
      </w:r>
      <w:r>
        <w:rPr>
          <w:rFonts w:cs="Arial"/>
        </w:rPr>
        <w:t>clopentane</w:t>
      </w:r>
      <w:r w:rsidRPr="00A32CFA">
        <w:rPr>
          <w:rFonts w:cs="Arial"/>
        </w:rPr>
        <w:t xml:space="preserve"> is used </w:t>
      </w:r>
      <w:r>
        <w:rPr>
          <w:rFonts w:cs="Arial"/>
        </w:rPr>
        <w:t xml:space="preserve">in organic synthesis, as a catalyst solvent, in the manufacture of adipic and maleic acids, in oil extraction and </w:t>
      </w:r>
      <w:r w:rsidR="00BD616F">
        <w:rPr>
          <w:rFonts w:cs="Arial"/>
        </w:rPr>
        <w:t xml:space="preserve">it is </w:t>
      </w:r>
      <w:r>
        <w:rPr>
          <w:rFonts w:cs="Arial"/>
        </w:rPr>
        <w:t>found in motor vehicle exhaust</w:t>
      </w:r>
      <w:r w:rsidRPr="00A32CFA">
        <w:rPr>
          <w:rFonts w:cs="Arial"/>
        </w:rPr>
        <w:t>.</w:t>
      </w:r>
    </w:p>
    <w:p w14:paraId="57C58680" w14:textId="7D24144C" w:rsidR="008B308B" w:rsidRDefault="008B308B" w:rsidP="008B308B">
      <w:pPr>
        <w:rPr>
          <w:rFonts w:cs="Arial"/>
        </w:rPr>
      </w:pPr>
      <w:r w:rsidRPr="00BA78F2">
        <w:rPr>
          <w:rFonts w:cs="Arial"/>
        </w:rPr>
        <w:t xml:space="preserve">Limited toxicological evidence exists </w:t>
      </w:r>
      <w:r w:rsidR="00F64E3F">
        <w:rPr>
          <w:rFonts w:cs="Arial"/>
        </w:rPr>
        <w:t>for</w:t>
      </w:r>
      <w:r w:rsidR="00F64E3F" w:rsidRPr="00BA78F2">
        <w:rPr>
          <w:rFonts w:cs="Arial"/>
        </w:rPr>
        <w:t xml:space="preserve"> </w:t>
      </w:r>
      <w:r w:rsidRPr="00BA78F2">
        <w:rPr>
          <w:rFonts w:cs="Arial"/>
        </w:rPr>
        <w:t xml:space="preserve">humans and animals. </w:t>
      </w:r>
      <w:r w:rsidR="00415F5A">
        <w:rPr>
          <w:rFonts w:cs="Arial"/>
        </w:rPr>
        <w:t>Cyclopentane is considered to be less toxic than pentane</w:t>
      </w:r>
      <w:r w:rsidR="00BD616F">
        <w:rPr>
          <w:rFonts w:cs="Arial"/>
        </w:rPr>
        <w:t>;</w:t>
      </w:r>
      <w:r w:rsidR="00415F5A">
        <w:rPr>
          <w:rFonts w:cs="Arial"/>
        </w:rPr>
        <w:t xml:space="preserve"> pentane above 90,000 ppm causes narcosis in animals (ACGIH, 2018). </w:t>
      </w:r>
      <w:r w:rsidRPr="00BA78F2">
        <w:rPr>
          <w:rFonts w:cs="Arial"/>
        </w:rPr>
        <w:t xml:space="preserve">As such, the </w:t>
      </w:r>
      <w:r w:rsidR="00415F5A">
        <w:rPr>
          <w:rFonts w:cs="Arial"/>
        </w:rPr>
        <w:t xml:space="preserve">ACGIH </w:t>
      </w:r>
      <w:r w:rsidRPr="00BA78F2">
        <w:rPr>
          <w:rFonts w:cs="Arial"/>
        </w:rPr>
        <w:t xml:space="preserve">recommendation </w:t>
      </w:r>
      <w:r w:rsidR="00415F5A">
        <w:rPr>
          <w:rFonts w:cs="Arial"/>
        </w:rPr>
        <w:t xml:space="preserve">of 600 ppm </w:t>
      </w:r>
      <w:r w:rsidR="003049F8">
        <w:rPr>
          <w:rFonts w:cs="Arial"/>
        </w:rPr>
        <w:t>is</w:t>
      </w:r>
      <w:r w:rsidRPr="00BA78F2">
        <w:rPr>
          <w:rFonts w:cs="Arial"/>
        </w:rPr>
        <w:t xml:space="preserve"> </w:t>
      </w:r>
      <w:r w:rsidR="006A4CC3">
        <w:rPr>
          <w:rFonts w:cs="Arial"/>
        </w:rPr>
        <w:t>based on</w:t>
      </w:r>
      <w:r w:rsidRPr="00BA78F2">
        <w:rPr>
          <w:rFonts w:cs="Arial"/>
        </w:rPr>
        <w:t xml:space="preserve"> analogy to </w:t>
      </w:r>
      <w:r w:rsidRPr="003049F8">
        <w:rPr>
          <w:rFonts w:cs="Arial"/>
          <w:i/>
        </w:rPr>
        <w:t>n</w:t>
      </w:r>
      <w:r>
        <w:rPr>
          <w:rFonts w:cs="Arial"/>
        </w:rPr>
        <w:t>-pentane</w:t>
      </w:r>
      <w:r w:rsidRPr="00BA78F2">
        <w:rPr>
          <w:rFonts w:cs="Arial"/>
        </w:rPr>
        <w:t xml:space="preserve"> (ACGIH</w:t>
      </w:r>
      <w:r w:rsidR="00415F5A">
        <w:rPr>
          <w:rFonts w:cs="Arial"/>
        </w:rPr>
        <w:t>,</w:t>
      </w:r>
      <w:r w:rsidRPr="00BA78F2">
        <w:rPr>
          <w:rFonts w:cs="Arial"/>
        </w:rPr>
        <w:t xml:space="preserve"> 20</w:t>
      </w:r>
      <w:r w:rsidR="00F64E3F">
        <w:rPr>
          <w:rFonts w:cs="Arial"/>
        </w:rPr>
        <w:t>18</w:t>
      </w:r>
      <w:r w:rsidRPr="00BA78F2">
        <w:rPr>
          <w:rFonts w:cs="Arial"/>
        </w:rPr>
        <w:t>).</w:t>
      </w:r>
    </w:p>
    <w:p w14:paraId="4FC5C7A6" w14:textId="09F2D057" w:rsidR="008B308B" w:rsidRDefault="00454F87" w:rsidP="008B308B">
      <w:r>
        <w:t>Given the limited toxicological data, t</w:t>
      </w:r>
      <w:r w:rsidR="00445DF2">
        <w:t xml:space="preserve">he </w:t>
      </w:r>
      <w:r>
        <w:t xml:space="preserve">current </w:t>
      </w:r>
      <w:r w:rsidR="00445DF2">
        <w:t>TWA</w:t>
      </w:r>
      <w:r>
        <w:t xml:space="preserve"> of 600 ppm </w:t>
      </w:r>
      <w:r w:rsidR="00EA13FD">
        <w:t xml:space="preserve">by ACGIH (2018) </w:t>
      </w:r>
      <w:r>
        <w:t xml:space="preserve">is </w:t>
      </w:r>
      <w:r w:rsidR="00BD616F">
        <w:t xml:space="preserve">recommended to be </w:t>
      </w:r>
      <w:r>
        <w:t>retained.</w:t>
      </w:r>
      <w:r w:rsidR="00445DF2">
        <w:t xml:space="preserve"> </w:t>
      </w:r>
      <w:r>
        <w:t>The recommended TWA</w:t>
      </w:r>
      <w:r w:rsidR="00445DF2">
        <w:t xml:space="preserve"> </w:t>
      </w:r>
      <w:r w:rsidR="00EA13FD">
        <w:t xml:space="preserve">is </w:t>
      </w:r>
      <w:r w:rsidR="00445DF2">
        <w:t>considered sufficiently low to minimise the potential for eye, skin and upper respiratory tract irritation and narcosis in exposed workers.</w:t>
      </w:r>
    </w:p>
    <w:p w14:paraId="26F5F23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011B427" w14:textId="03620E67" w:rsidR="008B308B" w:rsidRPr="00820121" w:rsidRDefault="008B308B" w:rsidP="008B308B">
      <w:pPr>
        <w:rPr>
          <w:rFonts w:cs="Arial"/>
        </w:rPr>
      </w:pPr>
      <w:r w:rsidRPr="00820121">
        <w:rPr>
          <w:rFonts w:cs="Arial"/>
        </w:rPr>
        <w:t>Not classified as a carcinogen according to the Globally Harmonized System of Classification and Labelling o</w:t>
      </w:r>
      <w:r w:rsidR="00F64E3F">
        <w:rPr>
          <w:rFonts w:cs="Arial"/>
        </w:rPr>
        <w:t>f</w:t>
      </w:r>
      <w:r w:rsidRPr="00820121">
        <w:rPr>
          <w:rFonts w:cs="Arial"/>
        </w:rPr>
        <w:t xml:space="preserve"> Chemicals (GHS). </w:t>
      </w:r>
    </w:p>
    <w:p w14:paraId="52391F72" w14:textId="24186C9B" w:rsidR="008B308B" w:rsidRPr="00820121" w:rsidRDefault="008B308B" w:rsidP="008B308B">
      <w:pPr>
        <w:rPr>
          <w:rFonts w:cs="Arial"/>
        </w:rPr>
      </w:pPr>
      <w:r w:rsidRPr="00820121">
        <w:rPr>
          <w:rFonts w:cs="Arial"/>
        </w:rPr>
        <w:t>Not classified as a skin</w:t>
      </w:r>
      <w:r w:rsidR="00F64E3F">
        <w:rPr>
          <w:rFonts w:cs="Arial"/>
        </w:rPr>
        <w:t xml:space="preserve"> sensitiser</w:t>
      </w:r>
      <w:r w:rsidRPr="00820121">
        <w:rPr>
          <w:rFonts w:cs="Arial"/>
        </w:rPr>
        <w:t xml:space="preserve"> or respiratory sensitiser according to the GHS.</w:t>
      </w:r>
    </w:p>
    <w:p w14:paraId="74784C1A" w14:textId="12E0AAA3" w:rsidR="008B308B" w:rsidRPr="004C23F4" w:rsidRDefault="006A5367" w:rsidP="008B308B">
      <w:pPr>
        <w:rPr>
          <w:rFonts w:cs="Arial"/>
        </w:rPr>
      </w:pPr>
      <w:r>
        <w:rPr>
          <w:rFonts w:cs="Arial"/>
        </w:rPr>
        <w:t>There are i</w:t>
      </w:r>
      <w:r w:rsidR="008B308B" w:rsidRPr="00820121">
        <w:rPr>
          <w:rFonts w:cs="Arial"/>
        </w:rPr>
        <w:t xml:space="preserve">nsufficient </w:t>
      </w:r>
      <w:r w:rsidR="00822B2E">
        <w:rPr>
          <w:rFonts w:cs="Arial"/>
        </w:rPr>
        <w:t>data</w:t>
      </w:r>
      <w:r w:rsidR="008B308B" w:rsidRPr="00820121">
        <w:rPr>
          <w:rFonts w:cs="Arial"/>
        </w:rPr>
        <w:t xml:space="preserve"> to recommend a skin notation.</w:t>
      </w:r>
    </w:p>
    <w:p w14:paraId="20FE706D" w14:textId="77777777" w:rsidR="006456A8" w:rsidRPr="004C23F4" w:rsidRDefault="006456A8">
      <w:pPr>
        <w:rPr>
          <w:rFonts w:cs="Arial"/>
        </w:rPr>
        <w:sectPr w:rsidR="006456A8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E5BC8B3" w14:textId="3BF19A16" w:rsidR="0034744C" w:rsidRPr="004C23F4" w:rsidRDefault="006456A8" w:rsidP="005E6979">
      <w:pPr>
        <w:pStyle w:val="Heading1"/>
        <w:rPr>
          <w:rFonts w:ascii="Arial" w:hAnsi="Arial" w:cs="Arial"/>
        </w:rPr>
      </w:pPr>
      <w:r w:rsidRPr="00820121">
        <w:rPr>
          <w:rFonts w:ascii="Arial" w:eastAsiaTheme="minorHAnsi" w:hAnsi="Arial" w:cs="Arial"/>
          <w:b w:val="0"/>
          <w:bCs w:val="0"/>
          <w:caps w:val="0"/>
          <w:kern w:val="0"/>
          <w:sz w:val="20"/>
          <w:szCs w:val="22"/>
          <w:lang w:eastAsia="en-US"/>
        </w:rPr>
        <w:lastRenderedPageBreak/>
        <w:t>.</w:t>
      </w:r>
      <w:r w:rsidRPr="004C23F4">
        <w:rPr>
          <w:rFonts w:ascii="Arial" w:hAnsi="Arial" w:cs="Arial"/>
        </w:rPr>
        <w:t xml:space="preserve"> APPENDIX</w:t>
      </w:r>
    </w:p>
    <w:p w14:paraId="422F4B6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F9FF6F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6D6A9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BB3E97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6D1DA63" w14:textId="3A91EFC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041B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667CA">
                  <w:t xml:space="preserve">TWA: </w:t>
                </w:r>
                <w:r w:rsidR="009041B3" w:rsidRPr="009041B3">
                  <w:t>600 ppm (1,720 mg/m</w:t>
                </w:r>
                <w:r w:rsidR="009041B3" w:rsidRPr="009041B3">
                  <w:rPr>
                    <w:vertAlign w:val="superscript"/>
                  </w:rPr>
                  <w:t>3</w:t>
                </w:r>
                <w:r w:rsidR="009041B3" w:rsidRPr="009041B3">
                  <w:t>)</w:t>
                </w:r>
              </w:sdtContent>
            </w:sdt>
          </w:p>
        </w:tc>
      </w:tr>
      <w:tr w:rsidR="00C978F0" w:rsidRPr="00DA352E" w14:paraId="02861E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0FA051" w14:textId="484880B3" w:rsidR="00C978F0" w:rsidRPr="00DA352E" w:rsidRDefault="00C978F0" w:rsidP="00656ED5">
            <w:pPr>
              <w:pStyle w:val="ListBullet"/>
              <w:ind w:left="360" w:hanging="360"/>
            </w:pPr>
          </w:p>
        </w:tc>
      </w:tr>
      <w:tr w:rsidR="00C978F0" w:rsidRPr="00DA352E" w14:paraId="62DF598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4B894E" w14:textId="0FF0B6D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041B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973398324"/>
                    <w:placeholder>
                      <w:docPart w:val="0BB412D0A16542E5998A1FA3117965CE"/>
                    </w:placeholder>
                  </w:sdtPr>
                  <w:sdtEndPr/>
                  <w:sdtContent>
                    <w:r w:rsidR="009041B3">
                      <w:t xml:space="preserve">TLV-TWA: </w:t>
                    </w:r>
                    <w:r w:rsidR="009041B3" w:rsidRPr="009041B3">
                      <w:t>600 ppm (1,720 mg/m</w:t>
                    </w:r>
                    <w:r w:rsidR="009041B3" w:rsidRPr="009041B3">
                      <w:rPr>
                        <w:vertAlign w:val="superscript"/>
                      </w:rPr>
                      <w:t>3</w:t>
                    </w:r>
                    <w:r w:rsidR="009041B3" w:rsidRPr="009041B3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3D987D6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18A1D3" w14:textId="672AC183" w:rsidR="00656ED5" w:rsidRDefault="00656ED5" w:rsidP="00656ED5">
            <w:pPr>
              <w:pStyle w:val="Tabletextprimarysource"/>
            </w:pPr>
            <w:r>
              <w:t>TLV-TWA recommended to minimise the potential for eye, s</w:t>
            </w:r>
            <w:r w:rsidR="008B308B">
              <w:t>kin and upper respiratory tract irritation and narcosis</w:t>
            </w:r>
            <w:r>
              <w:t xml:space="preserve"> in exposed workers.</w:t>
            </w:r>
          </w:p>
          <w:p w14:paraId="4F05011B" w14:textId="77777777" w:rsidR="00656ED5" w:rsidRDefault="00656ED5" w:rsidP="00656ED5">
            <w:pPr>
              <w:pStyle w:val="Tabletextprimarysource"/>
            </w:pPr>
            <w:r>
              <w:t>Summary of data:</w:t>
            </w:r>
          </w:p>
          <w:p w14:paraId="6D9B6FDB" w14:textId="77777777" w:rsidR="00656ED5" w:rsidRDefault="00656ED5" w:rsidP="003049F8">
            <w:pPr>
              <w:pStyle w:val="Tabletextprimarysource"/>
            </w:pPr>
            <w:r>
              <w:t>Human data:</w:t>
            </w:r>
          </w:p>
          <w:p w14:paraId="7F1F067D" w14:textId="77777777" w:rsidR="00656ED5" w:rsidRDefault="00656ED5" w:rsidP="006456A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Shoe industry workers exposed to mixtures of C5-C7 (containing up to 18% cyclopentane) suffered </w:t>
            </w:r>
            <w:r w:rsidRPr="005E4B8A">
              <w:t>polyneuropathy</w:t>
            </w:r>
          </w:p>
          <w:p w14:paraId="56C6B55F" w14:textId="601C39E0" w:rsidR="00822B2E" w:rsidRDefault="00656ED5" w:rsidP="003049F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Dermal exposure in workers resulted in burning sensation and blistering, pain subsided in 15</w:t>
            </w:r>
            <w:r w:rsidR="00771E1B">
              <w:t> </w:t>
            </w:r>
            <w:r>
              <w:t>min</w:t>
            </w:r>
            <w:r w:rsidR="00771E1B">
              <w:t>.</w:t>
            </w:r>
          </w:p>
          <w:p w14:paraId="58CD2519" w14:textId="53ED6EF6" w:rsidR="00656ED5" w:rsidRDefault="00656ED5" w:rsidP="003049F8">
            <w:pPr>
              <w:pStyle w:val="Tabletextprimarysource"/>
            </w:pPr>
            <w:r>
              <w:t>Animal data:</w:t>
            </w:r>
          </w:p>
          <w:p w14:paraId="1BC706C7" w14:textId="77777777" w:rsidR="00C978F0" w:rsidRDefault="00656ED5" w:rsidP="006456A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Acute exposure symptoms include excitement, loss of equilibrium, stupor, coma and respiratory failure</w:t>
            </w:r>
          </w:p>
          <w:p w14:paraId="0E175105" w14:textId="77777777" w:rsidR="0061250D" w:rsidRDefault="0061250D" w:rsidP="006456A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For </w:t>
            </w:r>
            <w:r w:rsidRPr="0006149D">
              <w:rPr>
                <w:i/>
              </w:rPr>
              <w:t>n</w:t>
            </w:r>
            <w:r>
              <w:t>-pentane 90,000</w:t>
            </w:r>
            <w:r w:rsidR="006D7292">
              <w:t>–</w:t>
            </w:r>
            <w:r>
              <w:t>120,000 ppm caused narcosis in animals in 5</w:t>
            </w:r>
            <w:r w:rsidR="006D7292">
              <w:t>–</w:t>
            </w:r>
            <w:r>
              <w:t>60 min</w:t>
            </w:r>
            <w:r w:rsidR="006D7292">
              <w:t>.</w:t>
            </w:r>
          </w:p>
          <w:p w14:paraId="2D7A082D" w14:textId="35475F14" w:rsidR="00771E1B" w:rsidRPr="00DA352E" w:rsidRDefault="00771E1B" w:rsidP="006456A8">
            <w:pPr>
              <w:pStyle w:val="ListBullet"/>
              <w:ind w:left="360"/>
            </w:pPr>
          </w:p>
        </w:tc>
      </w:tr>
      <w:tr w:rsidR="00C978F0" w:rsidRPr="00DA352E" w14:paraId="6CD7549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1027E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96EF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C96EFF">
                  <w:t>NA</w:t>
                </w:r>
                <w:proofErr w:type="spellEnd"/>
              </w:sdtContent>
            </w:sdt>
          </w:p>
        </w:tc>
      </w:tr>
      <w:tr w:rsidR="00C978F0" w:rsidRPr="00DA352E" w14:paraId="6E29254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D5A50A" w14:textId="5F8008BD" w:rsidR="00C978F0" w:rsidRPr="00DA352E" w:rsidRDefault="00C96EFF" w:rsidP="003365A5">
            <w:pPr>
              <w:pStyle w:val="Tabletextprimarysource"/>
            </w:pPr>
            <w:r>
              <w:t>No report</w:t>
            </w:r>
            <w:r w:rsidR="006A5367">
              <w:t>.</w:t>
            </w:r>
          </w:p>
        </w:tc>
      </w:tr>
      <w:tr w:rsidR="00C978F0" w:rsidRPr="00DA352E" w14:paraId="1515314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8915C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96EF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96EFF">
                  <w:t>NA</w:t>
                </w:r>
                <w:proofErr w:type="spellEnd"/>
              </w:sdtContent>
            </w:sdt>
          </w:p>
        </w:tc>
      </w:tr>
      <w:tr w:rsidR="00C978F0" w:rsidRPr="00DA352E" w14:paraId="158C573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90F9321" w14:textId="6825D693" w:rsidR="00C978F0" w:rsidRPr="00DA352E" w:rsidRDefault="00C96EFF" w:rsidP="003365A5">
            <w:pPr>
              <w:pStyle w:val="Tabletextprimarysource"/>
            </w:pPr>
            <w:r>
              <w:t>No report</w:t>
            </w:r>
            <w:r w:rsidR="006A5367">
              <w:t>.</w:t>
            </w:r>
          </w:p>
        </w:tc>
      </w:tr>
      <w:tr w:rsidR="00DA352E" w:rsidRPr="00DA352E" w14:paraId="2C48003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FBC1D6" w14:textId="0C5B19E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041B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041B3">
                  <w:t>NA</w:t>
                </w:r>
                <w:proofErr w:type="spellEnd"/>
              </w:sdtContent>
            </w:sdt>
          </w:p>
        </w:tc>
      </w:tr>
      <w:tr w:rsidR="00DA352E" w:rsidRPr="00DA352E" w14:paraId="5A15F71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3C1C49" w14:textId="2A8BFDA0" w:rsidR="00DA352E" w:rsidRPr="00DA352E" w:rsidRDefault="009041B3" w:rsidP="003365A5">
            <w:pPr>
              <w:pStyle w:val="Tabletextprimarysource"/>
            </w:pPr>
            <w:r>
              <w:t>No report</w:t>
            </w:r>
            <w:r w:rsidR="006A5367">
              <w:t>.</w:t>
            </w:r>
          </w:p>
        </w:tc>
      </w:tr>
      <w:tr w:rsidR="00DA352E" w:rsidRPr="00DA352E" w14:paraId="31590A0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B5B7CE" w14:textId="3B65941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56ED5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56ED5" w:rsidRPr="00656ED5">
                  <w:t>TWA: 600 ppm (1,720 mg/m</w:t>
                </w:r>
                <w:r w:rsidR="00656ED5" w:rsidRPr="00656ED5">
                  <w:rPr>
                    <w:vertAlign w:val="superscript"/>
                  </w:rPr>
                  <w:t>3</w:t>
                </w:r>
                <w:r w:rsidR="00656ED5" w:rsidRPr="00656ED5">
                  <w:t>)</w:t>
                </w:r>
              </w:sdtContent>
            </w:sdt>
          </w:p>
        </w:tc>
      </w:tr>
      <w:tr w:rsidR="00DA352E" w:rsidRPr="00DA352E" w14:paraId="5E29DD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9F3167" w14:textId="77777777" w:rsidR="00707A7A" w:rsidRDefault="00707A7A" w:rsidP="00707A7A">
            <w:pPr>
              <w:pStyle w:val="Tabletextprimarysource"/>
            </w:pPr>
            <w:r>
              <w:t>Summary of additional data:</w:t>
            </w:r>
          </w:p>
          <w:p w14:paraId="16CAB7D8" w14:textId="65846FB7" w:rsidR="00707A7A" w:rsidRDefault="00771E1B" w:rsidP="006456A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Expos</w:t>
            </w:r>
            <w:r w:rsidR="00BD616F">
              <w:t>ure at</w:t>
            </w:r>
            <w:r w:rsidR="00707A7A">
              <w:t xml:space="preserve"> </w:t>
            </w:r>
            <w:r w:rsidR="00707A7A" w:rsidRPr="00707A7A">
              <w:t>110 mg/m</w:t>
            </w:r>
            <w:r w:rsidR="00707A7A" w:rsidRPr="0006149D">
              <w:rPr>
                <w:vertAlign w:val="superscript"/>
              </w:rPr>
              <w:t>3</w:t>
            </w:r>
            <w:r w:rsidR="00707A7A">
              <w:t xml:space="preserve"> resulted in </w:t>
            </w:r>
            <w:r w:rsidR="00707A7A" w:rsidRPr="00707A7A">
              <w:t>minimal narcosis, loss of reflexes and lethality</w:t>
            </w:r>
            <w:r w:rsidR="00454F87">
              <w:t xml:space="preserve"> in mice</w:t>
            </w:r>
          </w:p>
          <w:p w14:paraId="08DDA037" w14:textId="4FEEE6C3" w:rsidR="00707A7A" w:rsidRDefault="00771E1B" w:rsidP="006456A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Exposing mice</w:t>
            </w:r>
            <w:r w:rsidR="00BD616F">
              <w:t xml:space="preserve"> at</w:t>
            </w:r>
            <w:r w:rsidR="00707A7A">
              <w:t xml:space="preserve"> 110,000 </w:t>
            </w:r>
            <w:r w:rsidR="00707A7A" w:rsidRPr="00707A7A">
              <w:t>mg/m</w:t>
            </w:r>
            <w:r w:rsidR="00707A7A" w:rsidRPr="0006149D">
              <w:rPr>
                <w:vertAlign w:val="superscript"/>
              </w:rPr>
              <w:t>3</w:t>
            </w:r>
            <w:r w:rsidR="00707A7A">
              <w:t xml:space="preserve"> resulted</w:t>
            </w:r>
            <w:r>
              <w:t xml:space="preserve"> in</w:t>
            </w:r>
            <w:r w:rsidR="004F5729">
              <w:t xml:space="preserve"> </w:t>
            </w:r>
            <w:r w:rsidR="004F5729" w:rsidRPr="004F5729">
              <w:t>immediate anaesthesia</w:t>
            </w:r>
            <w:r w:rsidR="004F5729">
              <w:t xml:space="preserve"> </w:t>
            </w:r>
            <w:r w:rsidR="0027327D">
              <w:t>followed by</w:t>
            </w:r>
            <w:r w:rsidR="0027327D" w:rsidRPr="004F5729">
              <w:t xml:space="preserve"> </w:t>
            </w:r>
            <w:r w:rsidR="004F5729" w:rsidRPr="004F5729">
              <w:t xml:space="preserve">mortality due to respiratory paralysis </w:t>
            </w:r>
          </w:p>
          <w:p w14:paraId="1F3D7311" w14:textId="5418C3E1" w:rsidR="00707A7A" w:rsidRDefault="00BD616F" w:rsidP="006456A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Exposing rats at</w:t>
            </w:r>
            <w:r w:rsidR="00707A7A">
              <w:t xml:space="preserve"> </w:t>
            </w:r>
            <w:r w:rsidR="00707A7A" w:rsidRPr="00707A7A">
              <w:t>1</w:t>
            </w:r>
            <w:r w:rsidR="00771E1B">
              <w:t>,</w:t>
            </w:r>
            <w:r w:rsidR="00707A7A" w:rsidRPr="00707A7A">
              <w:t xml:space="preserve">500 mg/kg </w:t>
            </w:r>
            <w:r w:rsidR="00707A7A">
              <w:t>(</w:t>
            </w:r>
            <w:r>
              <w:t xml:space="preserve">IP </w:t>
            </w:r>
            <w:r w:rsidR="00707A7A" w:rsidRPr="00707A7A">
              <w:t>injections</w:t>
            </w:r>
            <w:r w:rsidR="00707A7A">
              <w:t>)</w:t>
            </w:r>
            <w:r w:rsidR="00707A7A" w:rsidRPr="00707A7A">
              <w:t xml:space="preserve"> </w:t>
            </w:r>
            <w:r w:rsidR="00707A7A">
              <w:t xml:space="preserve">resulted in </w:t>
            </w:r>
            <w:r w:rsidR="00707A7A" w:rsidRPr="00707A7A">
              <w:t>aberrations of kidney function</w:t>
            </w:r>
            <w:r w:rsidR="006D7292">
              <w:t>.</w:t>
            </w:r>
          </w:p>
          <w:p w14:paraId="3FE20D6D" w14:textId="592C9ADA" w:rsidR="00771E1B" w:rsidRPr="00DA352E" w:rsidRDefault="00771E1B" w:rsidP="006456A8">
            <w:pPr>
              <w:pStyle w:val="ListBullet"/>
              <w:ind w:left="360"/>
            </w:pPr>
          </w:p>
        </w:tc>
      </w:tr>
    </w:tbl>
    <w:p w14:paraId="0723353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13A213B9" w14:textId="34E26E7E" w:rsidR="007E2A4B" w:rsidRDefault="0061250D">
      <w:r>
        <w:t>NIL</w:t>
      </w:r>
      <w:r w:rsidR="00BD616F">
        <w:t>.</w:t>
      </w:r>
    </w:p>
    <w:bookmarkEnd w:id="0"/>
    <w:p w14:paraId="4BDB4D04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BB3F9" w14:textId="77777777" w:rsidTr="0061250D">
        <w:trPr>
          <w:trHeight w:val="454"/>
          <w:tblHeader/>
        </w:trPr>
        <w:tc>
          <w:tcPr>
            <w:tcW w:w="6597" w:type="dxa"/>
            <w:vAlign w:val="center"/>
          </w:tcPr>
          <w:p w14:paraId="37265DC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5E7A402" w14:textId="5BCA500D" w:rsidR="002E0D61" w:rsidRDefault="0061250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BF09696" w14:textId="77777777" w:rsidTr="0061250D">
        <w:trPr>
          <w:trHeight w:val="454"/>
        </w:trPr>
        <w:tc>
          <w:tcPr>
            <w:tcW w:w="6597" w:type="dxa"/>
            <w:vAlign w:val="center"/>
          </w:tcPr>
          <w:p w14:paraId="348429B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D41AF58" w14:textId="1844F20F" w:rsidR="008A36CF" w:rsidRDefault="0061250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D616F" w14:paraId="4D43E2AF" w14:textId="77777777" w:rsidTr="00784C19">
        <w:trPr>
          <w:trHeight w:val="454"/>
        </w:trPr>
        <w:sdt>
          <w:sdtPr>
            <w:rPr>
              <w:b/>
            </w:rPr>
            <w:id w:val="1830936485"/>
            <w:placeholder>
              <w:docPart w:val="162C10AE347547358E380F0BEA5F689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221298E" w14:textId="4080E3AD" w:rsidR="00BD616F" w:rsidRDefault="00BD616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B6270C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6EACB3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A8C511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40FA2F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353C1ED" w14:textId="77777777" w:rsidTr="00812887">
        <w:trPr>
          <w:cantSplit/>
        </w:trPr>
        <w:tc>
          <w:tcPr>
            <w:tcW w:w="3227" w:type="dxa"/>
          </w:tcPr>
          <w:p w14:paraId="2884059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BD7DD5A" w14:textId="0672D66D" w:rsidR="00687890" w:rsidRPr="00DD2F9B" w:rsidRDefault="006B0EF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BBE0220" w14:textId="77777777" w:rsidTr="00812887">
        <w:trPr>
          <w:cantSplit/>
        </w:trPr>
        <w:tc>
          <w:tcPr>
            <w:tcW w:w="3227" w:type="dxa"/>
          </w:tcPr>
          <w:p w14:paraId="4F43813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BC18FFE" w14:textId="758C850A" w:rsidR="007925F0" w:rsidRPr="00DD2F9B" w:rsidRDefault="003E11D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C144317" w14:textId="77777777" w:rsidTr="00812887">
        <w:trPr>
          <w:cantSplit/>
        </w:trPr>
        <w:tc>
          <w:tcPr>
            <w:tcW w:w="3227" w:type="dxa"/>
          </w:tcPr>
          <w:p w14:paraId="4364736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FABC793" w14:textId="0B7D0FB4" w:rsidR="00AF483F" w:rsidRPr="00DD2F9B" w:rsidRDefault="003E11D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22AF686" w14:textId="77777777" w:rsidTr="00812887">
        <w:trPr>
          <w:cantSplit/>
        </w:trPr>
        <w:tc>
          <w:tcPr>
            <w:tcW w:w="3227" w:type="dxa"/>
          </w:tcPr>
          <w:p w14:paraId="305ED0C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07B3848" w14:textId="268F9419" w:rsidR="00687890" w:rsidRPr="00DD2F9B" w:rsidRDefault="003E11D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C4D80C7" w14:textId="77777777" w:rsidTr="00812887">
        <w:trPr>
          <w:cantSplit/>
        </w:trPr>
        <w:tc>
          <w:tcPr>
            <w:tcW w:w="3227" w:type="dxa"/>
          </w:tcPr>
          <w:p w14:paraId="554060C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1CC7913" w14:textId="6488881E" w:rsidR="00E41A26" w:rsidRPr="00DD2F9B" w:rsidRDefault="003E11D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55508E0" w14:textId="77777777" w:rsidTr="00812887">
        <w:trPr>
          <w:cantSplit/>
        </w:trPr>
        <w:tc>
          <w:tcPr>
            <w:tcW w:w="3227" w:type="dxa"/>
          </w:tcPr>
          <w:p w14:paraId="045238F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15F6FE8" w14:textId="77917DD3" w:rsidR="002E0D61" w:rsidRPr="00DD2F9B" w:rsidRDefault="003E11D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42797C" w14:textId="77777777" w:rsidTr="00812887">
        <w:trPr>
          <w:cantSplit/>
        </w:trPr>
        <w:tc>
          <w:tcPr>
            <w:tcW w:w="3227" w:type="dxa"/>
          </w:tcPr>
          <w:p w14:paraId="4A423AF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9DBE08D" w14:textId="1B62DE43" w:rsidR="002E0D61" w:rsidRPr="00DD2F9B" w:rsidRDefault="00BC09A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6D4B53D" w14:textId="77777777" w:rsidTr="00812887">
        <w:trPr>
          <w:cantSplit/>
        </w:trPr>
        <w:tc>
          <w:tcPr>
            <w:tcW w:w="3227" w:type="dxa"/>
          </w:tcPr>
          <w:p w14:paraId="183B51F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6C4CC0C" w14:textId="11BA0CDA" w:rsidR="002E0D61" w:rsidRPr="00DD2F9B" w:rsidRDefault="00BC09A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83AB84" w14:textId="77777777" w:rsidTr="00812887">
        <w:trPr>
          <w:cantSplit/>
        </w:trPr>
        <w:tc>
          <w:tcPr>
            <w:tcW w:w="3227" w:type="dxa"/>
          </w:tcPr>
          <w:p w14:paraId="1939A69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3B81ED5" w14:textId="18453F0E" w:rsidR="002E0D61" w:rsidRPr="00DD2F9B" w:rsidRDefault="00BC09A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FDC9481" w14:textId="77777777" w:rsidTr="00812887">
        <w:trPr>
          <w:cantSplit/>
        </w:trPr>
        <w:tc>
          <w:tcPr>
            <w:tcW w:w="3227" w:type="dxa"/>
          </w:tcPr>
          <w:p w14:paraId="2B57D48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37FFB67" w14:textId="5C14A717" w:rsidR="00386093" w:rsidRPr="00DD2F9B" w:rsidRDefault="00BC09A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5374155" w14:textId="77777777" w:rsidTr="00812887">
        <w:trPr>
          <w:cantSplit/>
        </w:trPr>
        <w:tc>
          <w:tcPr>
            <w:tcW w:w="3227" w:type="dxa"/>
          </w:tcPr>
          <w:p w14:paraId="0C39FCE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7A7A37A" w14:textId="60AFA127" w:rsidR="00386093" w:rsidRPr="00DD2F9B" w:rsidRDefault="00BC09A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3D234B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23C49D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D3810D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DE960E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4A4D46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AEA96B7" w14:textId="16EB9493" w:rsidR="00932DCE" w:rsidRPr="004C23F4" w:rsidRDefault="0061250D" w:rsidP="00F9496B">
            <w:pPr>
              <w:pStyle w:val="Tablefont"/>
            </w:pPr>
            <w:r w:rsidRPr="00130047">
              <w:t>Insufficient data to assign a skin notation</w:t>
            </w:r>
            <w:r w:rsidR="00BD616F">
              <w:t>.</w:t>
            </w:r>
          </w:p>
        </w:tc>
      </w:tr>
    </w:tbl>
    <w:bookmarkEnd w:id="3"/>
    <w:p w14:paraId="627653A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A2A740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07429B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3727CCC" w14:textId="4A25208F" w:rsidR="00EB3D1B" w:rsidRDefault="00BC09A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9B2FDAC" w14:textId="77777777" w:rsidR="00687890" w:rsidRPr="004C23F4" w:rsidRDefault="00B479A9" w:rsidP="006D7292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A7741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2BA9F5A" w14:textId="77777777" w:rsidR="001B79E5" w:rsidRDefault="001B79E5" w:rsidP="003049F8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C8020CE" w14:textId="365B06B2" w:rsidR="001B79E5" w:rsidRDefault="00BC09A0" w:rsidP="003049F8">
                <w:pPr>
                  <w:pStyle w:val="Tablefont"/>
                  <w:keepNext/>
                </w:pPr>
                <w:r>
                  <w:t>70.13</w:t>
                </w:r>
              </w:p>
            </w:tc>
          </w:sdtContent>
        </w:sdt>
      </w:tr>
      <w:tr w:rsidR="00A31D99" w:rsidRPr="004C23F4" w14:paraId="2FC0E1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27DDD6" w14:textId="77777777" w:rsidR="00A31D99" w:rsidRPr="00263255" w:rsidRDefault="00A31D99" w:rsidP="003049F8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07626F1" w14:textId="77777777" w:rsidR="00A31D99" w:rsidRDefault="00A0643F" w:rsidP="003049F8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EC4123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5918EC4" w14:textId="77777777" w:rsidR="00687890" w:rsidRPr="00263255" w:rsidRDefault="00687890" w:rsidP="003049F8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C1EA59C" w14:textId="77777777" w:rsidR="00687890" w:rsidRPr="004C23F4" w:rsidRDefault="00E46BCB" w:rsidP="003049F8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83788A1" w14:textId="77777777" w:rsidTr="00EA6243">
        <w:trPr>
          <w:cantSplit/>
        </w:trPr>
        <w:tc>
          <w:tcPr>
            <w:tcW w:w="4077" w:type="dxa"/>
            <w:vAlign w:val="center"/>
          </w:tcPr>
          <w:p w14:paraId="12FA7DFA" w14:textId="77777777" w:rsidR="00687890" w:rsidRPr="00263255" w:rsidRDefault="00687890" w:rsidP="003049F8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BF9EB0" w14:textId="77777777" w:rsidR="00687890" w:rsidRPr="004C23F4" w:rsidRDefault="00A20751" w:rsidP="003049F8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FF03D4" w14:textId="77777777" w:rsidTr="00EA6243">
        <w:trPr>
          <w:cantSplit/>
        </w:trPr>
        <w:tc>
          <w:tcPr>
            <w:tcW w:w="4077" w:type="dxa"/>
            <w:vAlign w:val="center"/>
          </w:tcPr>
          <w:p w14:paraId="55812EED" w14:textId="77777777" w:rsidR="00687890" w:rsidRPr="00263255" w:rsidRDefault="00687890" w:rsidP="003049F8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F21AE7" w14:textId="4C010149" w:rsidR="00687890" w:rsidRPr="004C23F4" w:rsidRDefault="00EB282C" w:rsidP="003049F8">
                <w:pPr>
                  <w:pStyle w:val="Tablefont"/>
                  <w:keepNext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317022B2" w14:textId="77777777" w:rsidTr="00EA6243">
        <w:trPr>
          <w:cantSplit/>
        </w:trPr>
        <w:tc>
          <w:tcPr>
            <w:tcW w:w="4077" w:type="dxa"/>
            <w:vAlign w:val="center"/>
          </w:tcPr>
          <w:p w14:paraId="3B42DC25" w14:textId="77777777" w:rsidR="00E06F40" w:rsidRPr="00263255" w:rsidRDefault="00E06F40" w:rsidP="003049F8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F04424C" w14:textId="77777777" w:rsidR="00E06F40" w:rsidRPr="00A006A0" w:rsidRDefault="004C5F0D" w:rsidP="003049F8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5EFCC4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717CF5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B7C697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EE660A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257EEE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77B598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226B76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275A63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20F7AF1" w14:textId="77777777" w:rsidR="0061250D" w:rsidRDefault="0061250D" w:rsidP="0061250D">
      <w:r>
        <w:t>American Conference of Industrial Hygienists (ACGIH</w:t>
      </w:r>
      <w:r>
        <w:rPr>
          <w:vertAlign w:val="superscript"/>
        </w:rPr>
        <w:t>®</w:t>
      </w:r>
      <w:r>
        <w:t>) (2018)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2018.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6EC42B9" w14:textId="4CF048C5" w:rsidR="0061250D" w:rsidRDefault="0061250D" w:rsidP="001360C3">
      <w:r w:rsidRPr="002022B6">
        <w:t>Health Council of the Netherlands</w:t>
      </w:r>
      <w:r>
        <w:t xml:space="preserve"> (HCOTN) (2000) </w:t>
      </w:r>
      <w:r w:rsidRPr="009C30CC">
        <w:t>Cyclo</w:t>
      </w:r>
      <w:r>
        <w:t>pentane</w:t>
      </w:r>
      <w:r w:rsidRPr="005F7416">
        <w:t xml:space="preserve">. </w:t>
      </w:r>
      <w:r w:rsidR="001360C3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8B308B" w:rsidRPr="008B308B">
        <w:t>2000/15OSH/002</w:t>
      </w:r>
      <w:r>
        <w:t>.</w:t>
      </w:r>
    </w:p>
    <w:p w14:paraId="4676FEC0" w14:textId="0FB8728E" w:rsidR="007F1005" w:rsidRPr="00351FE0" w:rsidRDefault="007F1005" w:rsidP="0061250D"/>
    <w:sectPr w:rsidR="007F100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76327" w14:textId="77777777" w:rsidR="008D6B3B" w:rsidRDefault="008D6B3B" w:rsidP="00F43AD5">
      <w:pPr>
        <w:spacing w:after="0" w:line="240" w:lineRule="auto"/>
      </w:pPr>
      <w:r>
        <w:separator/>
      </w:r>
    </w:p>
  </w:endnote>
  <w:endnote w:type="continuationSeparator" w:id="0">
    <w:p w14:paraId="1B8AA57D" w14:textId="77777777" w:rsidR="008D6B3B" w:rsidRDefault="008D6B3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7EA2A" w14:textId="77777777" w:rsidR="00F3680E" w:rsidRDefault="00F368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5B46BBD" w14:textId="3D02AA0F" w:rsidR="008A36CF" w:rsidRDefault="00AC265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Cyclopentane</w:t>
        </w:r>
        <w:r w:rsidR="00B66E07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287-92-3</w:t>
        </w:r>
        <w:r w:rsidR="00B66E07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595E8A8" w14:textId="0FA7137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3680E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EA61B" w14:textId="77777777" w:rsidR="00F3680E" w:rsidRDefault="00F368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860A0" w14:textId="77777777" w:rsidR="008D6B3B" w:rsidRDefault="008D6B3B" w:rsidP="00F43AD5">
      <w:pPr>
        <w:spacing w:after="0" w:line="240" w:lineRule="auto"/>
      </w:pPr>
      <w:r>
        <w:separator/>
      </w:r>
    </w:p>
  </w:footnote>
  <w:footnote w:type="continuationSeparator" w:id="0">
    <w:p w14:paraId="7F4C1233" w14:textId="77777777" w:rsidR="008D6B3B" w:rsidRDefault="008D6B3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1D3CA" w14:textId="7CB5A01B" w:rsidR="00313619" w:rsidRDefault="003136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8C547" w14:textId="5ECC203F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C436337" wp14:editId="0041F74C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0BFD6" w14:textId="3377243A" w:rsidR="00313619" w:rsidRDefault="0031361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BAB32" w14:textId="44B52123" w:rsidR="008F3DA8" w:rsidRDefault="008F3DA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ABD4B" w14:textId="73C5139A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61AE9" w14:textId="57FDF537" w:rsidR="008F3DA8" w:rsidRDefault="008F3D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B827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7813778">
    <w:abstractNumId w:val="0"/>
  </w:num>
  <w:num w:numId="2" w16cid:durableId="1298874358">
    <w:abstractNumId w:val="0"/>
  </w:num>
  <w:num w:numId="3" w16cid:durableId="2070879641">
    <w:abstractNumId w:val="0"/>
  </w:num>
  <w:num w:numId="4" w16cid:durableId="168836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51A"/>
    <w:rsid w:val="00007B80"/>
    <w:rsid w:val="00013A22"/>
    <w:rsid w:val="00014C3F"/>
    <w:rsid w:val="000154AE"/>
    <w:rsid w:val="0001735E"/>
    <w:rsid w:val="00017C82"/>
    <w:rsid w:val="00032B88"/>
    <w:rsid w:val="00046DF5"/>
    <w:rsid w:val="00052060"/>
    <w:rsid w:val="0005574A"/>
    <w:rsid w:val="00055FE1"/>
    <w:rsid w:val="00056EC2"/>
    <w:rsid w:val="00060B48"/>
    <w:rsid w:val="0006149D"/>
    <w:rsid w:val="000667CA"/>
    <w:rsid w:val="00067F32"/>
    <w:rsid w:val="00071807"/>
    <w:rsid w:val="00074389"/>
    <w:rsid w:val="000803E1"/>
    <w:rsid w:val="00084513"/>
    <w:rsid w:val="00084859"/>
    <w:rsid w:val="000856E2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E7CA0"/>
    <w:rsid w:val="0010461E"/>
    <w:rsid w:val="00106FAA"/>
    <w:rsid w:val="00113443"/>
    <w:rsid w:val="001263F5"/>
    <w:rsid w:val="001269A7"/>
    <w:rsid w:val="00131092"/>
    <w:rsid w:val="001360C3"/>
    <w:rsid w:val="00140E6A"/>
    <w:rsid w:val="00146545"/>
    <w:rsid w:val="00146B75"/>
    <w:rsid w:val="0015266D"/>
    <w:rsid w:val="0015288A"/>
    <w:rsid w:val="0015408C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4B47"/>
    <w:rsid w:val="001E7D80"/>
    <w:rsid w:val="001F4B6C"/>
    <w:rsid w:val="001F62CB"/>
    <w:rsid w:val="001F6ED0"/>
    <w:rsid w:val="001F72E6"/>
    <w:rsid w:val="001F73C5"/>
    <w:rsid w:val="002046A6"/>
    <w:rsid w:val="00204956"/>
    <w:rsid w:val="00205079"/>
    <w:rsid w:val="00213640"/>
    <w:rsid w:val="00221547"/>
    <w:rsid w:val="002216FC"/>
    <w:rsid w:val="00222533"/>
    <w:rsid w:val="00222F30"/>
    <w:rsid w:val="002234F8"/>
    <w:rsid w:val="00224EE2"/>
    <w:rsid w:val="00227EC7"/>
    <w:rsid w:val="00244AD1"/>
    <w:rsid w:val="002463BC"/>
    <w:rsid w:val="002465CE"/>
    <w:rsid w:val="0025734A"/>
    <w:rsid w:val="00263255"/>
    <w:rsid w:val="0027327D"/>
    <w:rsid w:val="00276494"/>
    <w:rsid w:val="00277B0C"/>
    <w:rsid w:val="002A2200"/>
    <w:rsid w:val="002A504A"/>
    <w:rsid w:val="002B1A2C"/>
    <w:rsid w:val="002C34F2"/>
    <w:rsid w:val="002C58FF"/>
    <w:rsid w:val="002C7AFE"/>
    <w:rsid w:val="002D05D2"/>
    <w:rsid w:val="002E0D61"/>
    <w:rsid w:val="002E4C7B"/>
    <w:rsid w:val="003049F8"/>
    <w:rsid w:val="0030740C"/>
    <w:rsid w:val="00313619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2B00"/>
    <w:rsid w:val="00347192"/>
    <w:rsid w:val="0034744C"/>
    <w:rsid w:val="00351FE0"/>
    <w:rsid w:val="00352615"/>
    <w:rsid w:val="0035412B"/>
    <w:rsid w:val="003567A8"/>
    <w:rsid w:val="00362895"/>
    <w:rsid w:val="00370DBF"/>
    <w:rsid w:val="00380964"/>
    <w:rsid w:val="00386093"/>
    <w:rsid w:val="003904A4"/>
    <w:rsid w:val="00391841"/>
    <w:rsid w:val="00391B6D"/>
    <w:rsid w:val="00394922"/>
    <w:rsid w:val="003A0E32"/>
    <w:rsid w:val="003A2B94"/>
    <w:rsid w:val="003B3652"/>
    <w:rsid w:val="003B387D"/>
    <w:rsid w:val="003C0D58"/>
    <w:rsid w:val="003D4FA3"/>
    <w:rsid w:val="003E0807"/>
    <w:rsid w:val="003E11D1"/>
    <w:rsid w:val="003E51FB"/>
    <w:rsid w:val="003E6B39"/>
    <w:rsid w:val="003F07E1"/>
    <w:rsid w:val="003F4789"/>
    <w:rsid w:val="00401D9A"/>
    <w:rsid w:val="004030BC"/>
    <w:rsid w:val="00403F7D"/>
    <w:rsid w:val="00406785"/>
    <w:rsid w:val="004079B4"/>
    <w:rsid w:val="00415F5A"/>
    <w:rsid w:val="00417A56"/>
    <w:rsid w:val="00420957"/>
    <w:rsid w:val="00422A10"/>
    <w:rsid w:val="00430179"/>
    <w:rsid w:val="00432A33"/>
    <w:rsid w:val="004414B5"/>
    <w:rsid w:val="00444482"/>
    <w:rsid w:val="00444B42"/>
    <w:rsid w:val="00445DF2"/>
    <w:rsid w:val="00445E44"/>
    <w:rsid w:val="004509E2"/>
    <w:rsid w:val="004515EE"/>
    <w:rsid w:val="004529F0"/>
    <w:rsid w:val="00454F87"/>
    <w:rsid w:val="00460A03"/>
    <w:rsid w:val="00472A11"/>
    <w:rsid w:val="00472AAD"/>
    <w:rsid w:val="00474E33"/>
    <w:rsid w:val="00476803"/>
    <w:rsid w:val="00485BFD"/>
    <w:rsid w:val="004867A2"/>
    <w:rsid w:val="00486E97"/>
    <w:rsid w:val="004873F2"/>
    <w:rsid w:val="00490D4C"/>
    <w:rsid w:val="00493A35"/>
    <w:rsid w:val="0049527A"/>
    <w:rsid w:val="004966BF"/>
    <w:rsid w:val="00497984"/>
    <w:rsid w:val="004A5088"/>
    <w:rsid w:val="004B4234"/>
    <w:rsid w:val="004C1E3F"/>
    <w:rsid w:val="004C23F4"/>
    <w:rsid w:val="004C3475"/>
    <w:rsid w:val="004C58B6"/>
    <w:rsid w:val="004C5F0D"/>
    <w:rsid w:val="004D16A3"/>
    <w:rsid w:val="004D4AA1"/>
    <w:rsid w:val="004D6D68"/>
    <w:rsid w:val="004E5EDD"/>
    <w:rsid w:val="004F448A"/>
    <w:rsid w:val="004F493D"/>
    <w:rsid w:val="004F5729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1C41"/>
    <w:rsid w:val="005B253B"/>
    <w:rsid w:val="005B5C27"/>
    <w:rsid w:val="005B771D"/>
    <w:rsid w:val="005C5D16"/>
    <w:rsid w:val="005D3193"/>
    <w:rsid w:val="005D4A6E"/>
    <w:rsid w:val="005E2263"/>
    <w:rsid w:val="005E4B8A"/>
    <w:rsid w:val="005E6979"/>
    <w:rsid w:val="005E75CB"/>
    <w:rsid w:val="006013C1"/>
    <w:rsid w:val="0060669E"/>
    <w:rsid w:val="00610F2E"/>
    <w:rsid w:val="00611399"/>
    <w:rsid w:val="0061250D"/>
    <w:rsid w:val="00624C4E"/>
    <w:rsid w:val="00625200"/>
    <w:rsid w:val="006363A8"/>
    <w:rsid w:val="00636DB7"/>
    <w:rsid w:val="006456A8"/>
    <w:rsid w:val="00650905"/>
    <w:rsid w:val="006532ED"/>
    <w:rsid w:val="0065455C"/>
    <w:rsid w:val="006549F2"/>
    <w:rsid w:val="006567B7"/>
    <w:rsid w:val="00656ED5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600"/>
    <w:rsid w:val="00695B72"/>
    <w:rsid w:val="006A4CC3"/>
    <w:rsid w:val="006A5367"/>
    <w:rsid w:val="006B0EF8"/>
    <w:rsid w:val="006B160A"/>
    <w:rsid w:val="006B4E6C"/>
    <w:rsid w:val="006B50B6"/>
    <w:rsid w:val="006D4327"/>
    <w:rsid w:val="006D7292"/>
    <w:rsid w:val="006D79EA"/>
    <w:rsid w:val="006E0CDD"/>
    <w:rsid w:val="006E5D05"/>
    <w:rsid w:val="006F4516"/>
    <w:rsid w:val="00701053"/>
    <w:rsid w:val="00701507"/>
    <w:rsid w:val="00707A7A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1E1B"/>
    <w:rsid w:val="007770F1"/>
    <w:rsid w:val="007774E4"/>
    <w:rsid w:val="00783FB1"/>
    <w:rsid w:val="00785CDD"/>
    <w:rsid w:val="00791847"/>
    <w:rsid w:val="007925F0"/>
    <w:rsid w:val="007939B3"/>
    <w:rsid w:val="0079509C"/>
    <w:rsid w:val="00796708"/>
    <w:rsid w:val="007B1B42"/>
    <w:rsid w:val="007B7768"/>
    <w:rsid w:val="007C30EB"/>
    <w:rsid w:val="007D7073"/>
    <w:rsid w:val="007E063C"/>
    <w:rsid w:val="007E2A4B"/>
    <w:rsid w:val="007E307D"/>
    <w:rsid w:val="007E5161"/>
    <w:rsid w:val="007E6A4E"/>
    <w:rsid w:val="007E6C94"/>
    <w:rsid w:val="007F1005"/>
    <w:rsid w:val="007F25E0"/>
    <w:rsid w:val="007F5328"/>
    <w:rsid w:val="007F7F61"/>
    <w:rsid w:val="00804F5A"/>
    <w:rsid w:val="00810C6D"/>
    <w:rsid w:val="00812887"/>
    <w:rsid w:val="00822B2E"/>
    <w:rsid w:val="00826F21"/>
    <w:rsid w:val="008322D8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308B"/>
    <w:rsid w:val="008B403C"/>
    <w:rsid w:val="008B7983"/>
    <w:rsid w:val="008C2511"/>
    <w:rsid w:val="008D026D"/>
    <w:rsid w:val="008D23AB"/>
    <w:rsid w:val="008D4B8B"/>
    <w:rsid w:val="008D5A78"/>
    <w:rsid w:val="008D6B3B"/>
    <w:rsid w:val="008E7B64"/>
    <w:rsid w:val="008F3DA8"/>
    <w:rsid w:val="008F5DCD"/>
    <w:rsid w:val="00900951"/>
    <w:rsid w:val="009041B3"/>
    <w:rsid w:val="009063D6"/>
    <w:rsid w:val="009118A6"/>
    <w:rsid w:val="00916909"/>
    <w:rsid w:val="00916EC0"/>
    <w:rsid w:val="00920467"/>
    <w:rsid w:val="00921DE7"/>
    <w:rsid w:val="009275FC"/>
    <w:rsid w:val="0093041A"/>
    <w:rsid w:val="00930714"/>
    <w:rsid w:val="00930EF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18AC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6550"/>
    <w:rsid w:val="00A00282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837"/>
    <w:rsid w:val="00A53681"/>
    <w:rsid w:val="00A54ABA"/>
    <w:rsid w:val="00A633D4"/>
    <w:rsid w:val="00A6461A"/>
    <w:rsid w:val="00A84504"/>
    <w:rsid w:val="00A84FCB"/>
    <w:rsid w:val="00A8672F"/>
    <w:rsid w:val="00A93057"/>
    <w:rsid w:val="00A968B0"/>
    <w:rsid w:val="00AB2672"/>
    <w:rsid w:val="00AB2817"/>
    <w:rsid w:val="00AB43C4"/>
    <w:rsid w:val="00AB75DF"/>
    <w:rsid w:val="00AC265B"/>
    <w:rsid w:val="00AC32E7"/>
    <w:rsid w:val="00AC3A9F"/>
    <w:rsid w:val="00AC50D0"/>
    <w:rsid w:val="00AC6D2F"/>
    <w:rsid w:val="00AE2745"/>
    <w:rsid w:val="00AE2F64"/>
    <w:rsid w:val="00AF42CB"/>
    <w:rsid w:val="00AF483F"/>
    <w:rsid w:val="00AF5E07"/>
    <w:rsid w:val="00AF5F06"/>
    <w:rsid w:val="00B00A25"/>
    <w:rsid w:val="00B12B5B"/>
    <w:rsid w:val="00B1422A"/>
    <w:rsid w:val="00B1765C"/>
    <w:rsid w:val="00B213C4"/>
    <w:rsid w:val="00B40C60"/>
    <w:rsid w:val="00B43B75"/>
    <w:rsid w:val="00B479A9"/>
    <w:rsid w:val="00B52EDF"/>
    <w:rsid w:val="00B66E07"/>
    <w:rsid w:val="00B71188"/>
    <w:rsid w:val="00B73C50"/>
    <w:rsid w:val="00B76A41"/>
    <w:rsid w:val="00B87D4C"/>
    <w:rsid w:val="00B93646"/>
    <w:rsid w:val="00BA0B38"/>
    <w:rsid w:val="00BA1DBB"/>
    <w:rsid w:val="00BA4510"/>
    <w:rsid w:val="00BA529A"/>
    <w:rsid w:val="00BB612A"/>
    <w:rsid w:val="00BB7229"/>
    <w:rsid w:val="00BC09A0"/>
    <w:rsid w:val="00BC09A8"/>
    <w:rsid w:val="00BD499F"/>
    <w:rsid w:val="00BD56DE"/>
    <w:rsid w:val="00BD616F"/>
    <w:rsid w:val="00BE3E0C"/>
    <w:rsid w:val="00BF2406"/>
    <w:rsid w:val="00C06E43"/>
    <w:rsid w:val="00C16315"/>
    <w:rsid w:val="00C3091E"/>
    <w:rsid w:val="00C343F9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6EFF"/>
    <w:rsid w:val="00C978F0"/>
    <w:rsid w:val="00CA58FE"/>
    <w:rsid w:val="00CB1CB1"/>
    <w:rsid w:val="00CB6BC1"/>
    <w:rsid w:val="00CB6CB8"/>
    <w:rsid w:val="00CC1A68"/>
    <w:rsid w:val="00CC2123"/>
    <w:rsid w:val="00CD2BFD"/>
    <w:rsid w:val="00CE24B8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0CDC"/>
    <w:rsid w:val="00D44C89"/>
    <w:rsid w:val="00D516CD"/>
    <w:rsid w:val="00D668E6"/>
    <w:rsid w:val="00D70670"/>
    <w:rsid w:val="00D74D80"/>
    <w:rsid w:val="00D76624"/>
    <w:rsid w:val="00D87570"/>
    <w:rsid w:val="00D91CB9"/>
    <w:rsid w:val="00D92DF1"/>
    <w:rsid w:val="00D97989"/>
    <w:rsid w:val="00D97D8D"/>
    <w:rsid w:val="00DA352E"/>
    <w:rsid w:val="00DA7126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914"/>
    <w:rsid w:val="00E07CE8"/>
    <w:rsid w:val="00E218A5"/>
    <w:rsid w:val="00E26A07"/>
    <w:rsid w:val="00E32595"/>
    <w:rsid w:val="00E350D0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13FD"/>
    <w:rsid w:val="00EA6243"/>
    <w:rsid w:val="00EA74AB"/>
    <w:rsid w:val="00EB282C"/>
    <w:rsid w:val="00EB3D1B"/>
    <w:rsid w:val="00ED1D89"/>
    <w:rsid w:val="00ED66BC"/>
    <w:rsid w:val="00EF0117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65AF"/>
    <w:rsid w:val="00F33F72"/>
    <w:rsid w:val="00F3680E"/>
    <w:rsid w:val="00F43AD5"/>
    <w:rsid w:val="00F4402E"/>
    <w:rsid w:val="00F56DD0"/>
    <w:rsid w:val="00F6491C"/>
    <w:rsid w:val="00F64E3F"/>
    <w:rsid w:val="00F67BBB"/>
    <w:rsid w:val="00F87D92"/>
    <w:rsid w:val="00F90AA7"/>
    <w:rsid w:val="00F92498"/>
    <w:rsid w:val="00F9496B"/>
    <w:rsid w:val="00F970C9"/>
    <w:rsid w:val="00F9787B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34F35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173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73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735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35E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9041B3"/>
    <w:pPr>
      <w:contextualSpacing/>
    </w:pPr>
  </w:style>
  <w:style w:type="paragraph" w:styleId="Revision">
    <w:name w:val="Revision"/>
    <w:hidden/>
    <w:uiPriority w:val="99"/>
    <w:semiHidden/>
    <w:rsid w:val="003809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BB412D0A16542E5998A1FA311796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173E8-DC56-4B44-B496-B6CC6CC8DFE0}"/>
      </w:docPartPr>
      <w:docPartBody>
        <w:p w:rsidR="003B0E47" w:rsidRDefault="0065712B" w:rsidP="0065712B">
          <w:pPr>
            <w:pStyle w:val="0BB412D0A16542E5998A1FA3117965C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BF1E9D1502740D5984A762B6EE5D7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499A1-6397-4EAB-AA9D-B076892101CF}"/>
      </w:docPartPr>
      <w:docPartBody>
        <w:p w:rsidR="001E097C" w:rsidRDefault="006E1752" w:rsidP="006E1752">
          <w:pPr>
            <w:pStyle w:val="8BF1E9D1502740D5984A762B6EE5D75F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62C10AE347547358E380F0BEA5F6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E4B71-0234-43DF-BED4-C1DE7D6C60C3}"/>
      </w:docPartPr>
      <w:docPartBody>
        <w:p w:rsidR="00541C4F" w:rsidRDefault="00261D15" w:rsidP="00261D15">
          <w:pPr>
            <w:pStyle w:val="162C10AE347547358E380F0BEA5F689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E097C"/>
    <w:rsid w:val="002468CF"/>
    <w:rsid w:val="00261D15"/>
    <w:rsid w:val="003B0E47"/>
    <w:rsid w:val="00541C4F"/>
    <w:rsid w:val="0065712B"/>
    <w:rsid w:val="006E1752"/>
    <w:rsid w:val="00D21A9F"/>
    <w:rsid w:val="00D40CDC"/>
    <w:rsid w:val="00FA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1D1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BB412D0A16542E5998A1FA3117965CE">
    <w:name w:val="0BB412D0A16542E5998A1FA3117965CE"/>
    <w:rsid w:val="0065712B"/>
    <w:rPr>
      <w:lang w:val="en-US" w:eastAsia="en-US"/>
    </w:rPr>
  </w:style>
  <w:style w:type="paragraph" w:customStyle="1" w:styleId="8BF1E9D1502740D5984A762B6EE5D75F">
    <w:name w:val="8BF1E9D1502740D5984A762B6EE5D75F"/>
    <w:rsid w:val="006E1752"/>
  </w:style>
  <w:style w:type="paragraph" w:customStyle="1" w:styleId="162C10AE347547358E380F0BEA5F689A">
    <w:name w:val="162C10AE347547358E380F0BEA5F689A"/>
    <w:rsid w:val="00261D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2F1A01-F857-4933-B583-E34F460C06F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bf54d604-3e62-4e70-ba33-9e9084b96a6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88FC2E-FF22-4956-90A0-C36F836B00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56B64-A486-4248-AA10-98F1BD0072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C402C9-902D-4550-9FD0-A25ED73BE4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2019-10-08T00:09:00Z</dcterms:created>
  <dcterms:modified xsi:type="dcterms:W3CDTF">2025-12-22T03:47:00Z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2025-12-22T03:47:44Z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db3d614d-881a-4f4e-9666-3da24101903c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