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12AA035" w14:textId="6F299753" w:rsidR="00BD499F" w:rsidRPr="004C23F4" w:rsidRDefault="001F20DF" w:rsidP="00B40C60">
          <w:pPr>
            <w:pStyle w:val="Heading1"/>
            <w:jc w:val="center"/>
            <w:rPr>
              <w:rFonts w:ascii="Arial" w:hAnsi="Arial" w:cs="Arial"/>
            </w:rPr>
          </w:pPr>
          <w:r w:rsidRPr="001F20DF">
            <w:rPr>
              <w:rFonts w:ascii="Arial" w:hAnsi="Arial" w:cs="Arial"/>
            </w:rPr>
            <w:t>Cyclopentadiene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07A4BB62" w14:textId="77777777" w:rsidTr="00D13DA0">
        <w:trPr>
          <w:cantSplit/>
          <w:tblHeader/>
        </w:trPr>
        <w:tc>
          <w:tcPr>
            <w:tcW w:w="3980" w:type="dxa"/>
          </w:tcPr>
          <w:p w14:paraId="4B50D35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6" w:type="dxa"/>
          </w:tcPr>
          <w:p w14:paraId="76C89262" w14:textId="35307101" w:rsidR="00F43AD5" w:rsidRPr="00717D45" w:rsidRDefault="001F20DF" w:rsidP="00B76A41">
            <w:pPr>
              <w:pStyle w:val="Tablefont"/>
            </w:pPr>
            <w:r w:rsidRPr="001F20DF">
              <w:t>542-92-7</w:t>
            </w:r>
          </w:p>
        </w:tc>
      </w:tr>
      <w:tr w:rsidR="00F43AD5" w:rsidRPr="004C23F4" w14:paraId="3F9A60E2" w14:textId="77777777" w:rsidTr="00D13DA0">
        <w:trPr>
          <w:cantSplit/>
        </w:trPr>
        <w:tc>
          <w:tcPr>
            <w:tcW w:w="3980" w:type="dxa"/>
          </w:tcPr>
          <w:p w14:paraId="55B542C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6" w:type="dxa"/>
          </w:tcPr>
          <w:p w14:paraId="25D03552" w14:textId="32B30A57" w:rsidR="00F43AD5" w:rsidRPr="00717D45" w:rsidRDefault="004166A0" w:rsidP="00B76A41">
            <w:pPr>
              <w:pStyle w:val="Tablefont"/>
            </w:pPr>
            <w:r>
              <w:t>1,3-Cyclopentadiene, p-pentine, p</w:t>
            </w:r>
            <w:r w:rsidR="001F20DF">
              <w:t>entole</w:t>
            </w:r>
          </w:p>
        </w:tc>
      </w:tr>
      <w:tr w:rsidR="00F43AD5" w:rsidRPr="004C23F4" w14:paraId="0A9A509C" w14:textId="77777777" w:rsidTr="00D13DA0">
        <w:trPr>
          <w:cantSplit/>
        </w:trPr>
        <w:tc>
          <w:tcPr>
            <w:tcW w:w="3980" w:type="dxa"/>
          </w:tcPr>
          <w:p w14:paraId="20838CA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6" w:type="dxa"/>
          </w:tcPr>
          <w:p w14:paraId="71B6BDC0" w14:textId="50D8431B" w:rsidR="00F43AD5" w:rsidRPr="00717D45" w:rsidRDefault="001F20DF" w:rsidP="00B76A41">
            <w:pPr>
              <w:pStyle w:val="Tablefont"/>
            </w:pPr>
            <w:r>
              <w:t>C</w:t>
            </w:r>
            <w:r w:rsidRPr="001F20DF">
              <w:rPr>
                <w:vertAlign w:val="subscript"/>
              </w:rPr>
              <w:t>5</w:t>
            </w:r>
            <w:r>
              <w:t>H</w:t>
            </w:r>
            <w:r w:rsidRPr="001F20DF">
              <w:rPr>
                <w:vertAlign w:val="subscript"/>
              </w:rPr>
              <w:t>6</w:t>
            </w:r>
          </w:p>
        </w:tc>
      </w:tr>
    </w:tbl>
    <w:p w14:paraId="2DB0F7DD" w14:textId="4819454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B1D9E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5358206" w14:textId="77777777" w:rsidTr="00B91E40">
        <w:trPr>
          <w:cantSplit/>
          <w:tblHeader/>
        </w:trPr>
        <w:tc>
          <w:tcPr>
            <w:tcW w:w="4005" w:type="dxa"/>
            <w:vAlign w:val="center"/>
          </w:tcPr>
          <w:p w14:paraId="7921B28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CCAA555" w14:textId="019393E8" w:rsidR="002C7AFE" w:rsidRPr="006B1D9E" w:rsidRDefault="006B1D9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75 ppm (203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6440D2C8" w14:textId="77777777" w:rsidTr="00B91E40">
        <w:trPr>
          <w:cantSplit/>
        </w:trPr>
        <w:tc>
          <w:tcPr>
            <w:tcW w:w="4005" w:type="dxa"/>
            <w:vAlign w:val="center"/>
          </w:tcPr>
          <w:p w14:paraId="10C9F95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F6F84A7" w14:textId="014BE454" w:rsidR="002C7AFE" w:rsidRPr="00EB3D1B" w:rsidRDefault="0048629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4C1BD79" w14:textId="77777777" w:rsidTr="00B91E40">
        <w:trPr>
          <w:cantSplit/>
        </w:trPr>
        <w:tc>
          <w:tcPr>
            <w:tcW w:w="4005" w:type="dxa"/>
            <w:vAlign w:val="center"/>
          </w:tcPr>
          <w:p w14:paraId="25E333E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849DD76" w14:textId="3964FA75" w:rsidR="002C7AFE" w:rsidRPr="00EB3D1B" w:rsidRDefault="0048629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37E2577" w14:textId="77777777" w:rsidTr="00B91E40">
        <w:trPr>
          <w:cantSplit/>
        </w:trPr>
        <w:tc>
          <w:tcPr>
            <w:tcW w:w="4005" w:type="dxa"/>
          </w:tcPr>
          <w:p w14:paraId="778EC15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A9C2682" w14:textId="7994078A" w:rsidR="002C7AFE" w:rsidRPr="00EB3D1B" w:rsidRDefault="0048629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F96396B" w14:textId="77777777" w:rsidTr="00B91E40">
        <w:trPr>
          <w:cantSplit/>
        </w:trPr>
        <w:tc>
          <w:tcPr>
            <w:tcW w:w="4005" w:type="dxa"/>
            <w:vAlign w:val="center"/>
          </w:tcPr>
          <w:p w14:paraId="697010B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B3DDEBA" w14:textId="31848A55" w:rsidR="002C7AFE" w:rsidRPr="003134E3" w:rsidRDefault="0048629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750 ppm</w:t>
            </w:r>
          </w:p>
        </w:tc>
      </w:tr>
      <w:tr w:rsidR="00B91E40" w:rsidRPr="004C23F4" w14:paraId="360F49D9" w14:textId="77777777" w:rsidTr="00B33694">
        <w:trPr>
          <w:cantSplit/>
        </w:trPr>
        <w:tc>
          <w:tcPr>
            <w:tcW w:w="9026" w:type="dxa"/>
            <w:gridSpan w:val="2"/>
            <w:vAlign w:val="center"/>
          </w:tcPr>
          <w:p w14:paraId="3E3944C0" w14:textId="7D84864D" w:rsidR="00B91E40" w:rsidRPr="00EB3D1B" w:rsidRDefault="00B91E40" w:rsidP="00017C82">
            <w:pPr>
              <w:pStyle w:val="Tablefont"/>
              <w:rPr>
                <w:b/>
              </w:rPr>
            </w:pPr>
            <w:r w:rsidRPr="00B36310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BC2106C54834238830110CF99AC95F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B3631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390EA5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97AE3A5" w14:textId="67AD7B96" w:rsidR="006639B4" w:rsidRDefault="00017FE2" w:rsidP="000C139A">
      <w:pPr>
        <w:rPr>
          <w:rFonts w:cs="Arial"/>
        </w:rPr>
      </w:pPr>
      <w:r w:rsidRPr="00017FE2">
        <w:rPr>
          <w:rFonts w:cs="Arial"/>
        </w:rPr>
        <w:t>A</w:t>
      </w:r>
      <w:r w:rsidR="00D13DA0">
        <w:rPr>
          <w:rFonts w:cs="Arial"/>
        </w:rPr>
        <w:t>n interim</w:t>
      </w:r>
      <w:r w:rsidRPr="00017FE2">
        <w:rPr>
          <w:rFonts w:cs="Arial"/>
        </w:rPr>
        <w:t xml:space="preserve"> TWA of </w:t>
      </w:r>
      <w:r w:rsidR="006B1D9E">
        <w:rPr>
          <w:rFonts w:cs="Arial"/>
        </w:rPr>
        <w:t>75</w:t>
      </w:r>
      <w:r w:rsidR="001D3D2C">
        <w:rPr>
          <w:rFonts w:cs="Arial"/>
        </w:rPr>
        <w:t xml:space="preserve"> ppm (</w:t>
      </w:r>
      <w:r w:rsidR="006B1D9E">
        <w:rPr>
          <w:rFonts w:cs="Arial"/>
        </w:rPr>
        <w:t>203</w:t>
      </w:r>
      <w:r w:rsidR="001D3D2C">
        <w:rPr>
          <w:rFonts w:cs="Arial"/>
        </w:rPr>
        <w:t xml:space="preserve"> mg/m</w:t>
      </w:r>
      <w:r w:rsidR="001D3D2C" w:rsidRPr="006B1D9E">
        <w:rPr>
          <w:rFonts w:cs="Arial"/>
          <w:vertAlign w:val="superscript"/>
        </w:rPr>
        <w:t>3</w:t>
      </w:r>
      <w:r w:rsidR="001D3D2C">
        <w:rPr>
          <w:rFonts w:cs="Arial"/>
        </w:rPr>
        <w:t>) is recommended to protect for</w:t>
      </w:r>
      <w:r w:rsidR="00D116A9">
        <w:rPr>
          <w:rFonts w:cs="Arial"/>
        </w:rPr>
        <w:t xml:space="preserve"> eye and respiratory tract</w:t>
      </w:r>
      <w:r w:rsidR="001D3D2C">
        <w:rPr>
          <w:rFonts w:cs="Arial"/>
        </w:rPr>
        <w:t xml:space="preserve"> irritation </w:t>
      </w:r>
      <w:r w:rsidRPr="00017FE2">
        <w:rPr>
          <w:rFonts w:cs="Arial"/>
        </w:rPr>
        <w:t>in exposed workers.</w:t>
      </w:r>
      <w:r>
        <w:rPr>
          <w:rFonts w:cs="Arial"/>
        </w:rPr>
        <w:t xml:space="preserve"> </w:t>
      </w:r>
    </w:p>
    <w:p w14:paraId="40D960AD" w14:textId="77777777" w:rsidR="00B36310" w:rsidRDefault="00B36310" w:rsidP="00B36310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2A7C1B3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A25C8C4" w14:textId="6AF832AF" w:rsidR="00D13DA0" w:rsidRDefault="00D92FE2" w:rsidP="006639B4">
      <w:pPr>
        <w:rPr>
          <w:rFonts w:cs="Arial"/>
        </w:rPr>
      </w:pPr>
      <w:r>
        <w:rPr>
          <w:rFonts w:cs="Arial"/>
        </w:rPr>
        <w:t xml:space="preserve">Cyclopentadiene is </w:t>
      </w:r>
      <w:r w:rsidR="002D30E4">
        <w:rPr>
          <w:rFonts w:cs="Arial"/>
        </w:rPr>
        <w:t>used</w:t>
      </w:r>
      <w:r>
        <w:rPr>
          <w:rFonts w:cs="Arial"/>
        </w:rPr>
        <w:t xml:space="preserve"> in organic syntheses and the chemical manufacture of resins. </w:t>
      </w:r>
      <w:r w:rsidR="00D13DA0">
        <w:rPr>
          <w:rFonts w:cs="Arial"/>
        </w:rPr>
        <w:t>It</w:t>
      </w:r>
      <w:r>
        <w:rPr>
          <w:rFonts w:cs="Arial"/>
        </w:rPr>
        <w:t xml:space="preserve"> </w:t>
      </w:r>
      <w:r w:rsidR="003134E3">
        <w:rPr>
          <w:rFonts w:cs="Arial"/>
        </w:rPr>
        <w:t>is monomeric as a vapour or when freshly distilled</w:t>
      </w:r>
      <w:r w:rsidR="00AC299A">
        <w:rPr>
          <w:rFonts w:cs="Arial"/>
        </w:rPr>
        <w:t xml:space="preserve"> and dimerises rapidly to solid dicyclopentadiene upon standing</w:t>
      </w:r>
      <w:r w:rsidR="003134E3">
        <w:rPr>
          <w:rFonts w:cs="Arial"/>
        </w:rPr>
        <w:t>,</w:t>
      </w:r>
      <w:r w:rsidR="00D13DA0">
        <w:rPr>
          <w:rFonts w:cs="Arial"/>
        </w:rPr>
        <w:t xml:space="preserve"> in which</w:t>
      </w:r>
      <w:r w:rsidR="00AC299A">
        <w:rPr>
          <w:rFonts w:cs="Arial"/>
        </w:rPr>
        <w:t xml:space="preserve"> it is com</w:t>
      </w:r>
      <w:r w:rsidR="003134E3">
        <w:rPr>
          <w:rFonts w:cs="Arial"/>
        </w:rPr>
        <w:t>monly</w:t>
      </w:r>
      <w:r w:rsidR="00AC299A">
        <w:rPr>
          <w:rFonts w:cs="Arial"/>
        </w:rPr>
        <w:t xml:space="preserve"> handled</w:t>
      </w:r>
      <w:r w:rsidR="00883B63">
        <w:rPr>
          <w:rFonts w:cs="Arial"/>
        </w:rPr>
        <w:t xml:space="preserve"> (ACGIH, 2018)</w:t>
      </w:r>
      <w:r w:rsidR="003134E3">
        <w:rPr>
          <w:rFonts w:cs="Arial"/>
        </w:rPr>
        <w:t xml:space="preserve">. </w:t>
      </w:r>
    </w:p>
    <w:p w14:paraId="762BF001" w14:textId="3DC4E640" w:rsidR="006639B4" w:rsidRDefault="001D3D2C" w:rsidP="006639B4">
      <w:pPr>
        <w:rPr>
          <w:rFonts w:cs="Arial"/>
        </w:rPr>
      </w:pPr>
      <w:r>
        <w:rPr>
          <w:rFonts w:cs="Arial"/>
        </w:rPr>
        <w:t xml:space="preserve">This polymerisation behaviour </w:t>
      </w:r>
      <w:r w:rsidR="00D13DA0">
        <w:rPr>
          <w:rFonts w:cs="Arial"/>
        </w:rPr>
        <w:t>leads</w:t>
      </w:r>
      <w:r>
        <w:rPr>
          <w:rFonts w:cs="Arial"/>
        </w:rPr>
        <w:t xml:space="preserve"> to contradictory or confounding reports in the available toxicological data (ACGIH, 2018; DFG, 2000). </w:t>
      </w:r>
      <w:r w:rsidR="00883B63">
        <w:rPr>
          <w:rFonts w:cs="Arial"/>
        </w:rPr>
        <w:t>T</w:t>
      </w:r>
      <w:r w:rsidR="003134E3">
        <w:rPr>
          <w:rFonts w:cs="Arial"/>
        </w:rPr>
        <w:t xml:space="preserve">he critical effects of exposure </w:t>
      </w:r>
      <w:r w:rsidR="00883B63">
        <w:rPr>
          <w:rFonts w:cs="Arial"/>
        </w:rPr>
        <w:t xml:space="preserve">to the monomer </w:t>
      </w:r>
      <w:r w:rsidR="003134E3">
        <w:rPr>
          <w:rFonts w:cs="Arial"/>
        </w:rPr>
        <w:t xml:space="preserve">are objectionable </w:t>
      </w:r>
      <w:r w:rsidR="00017FE2">
        <w:rPr>
          <w:rFonts w:cs="Arial"/>
        </w:rPr>
        <w:t xml:space="preserve">odour and irritation of the </w:t>
      </w:r>
      <w:r>
        <w:rPr>
          <w:rFonts w:cs="Arial"/>
        </w:rPr>
        <w:t xml:space="preserve">eyes and </w:t>
      </w:r>
      <w:r w:rsidR="00017FE2">
        <w:rPr>
          <w:rFonts w:cs="Arial"/>
        </w:rPr>
        <w:t>upper respiratory tract</w:t>
      </w:r>
      <w:r w:rsidR="003134E3">
        <w:rPr>
          <w:rFonts w:cs="Arial"/>
        </w:rPr>
        <w:t xml:space="preserve">. Animal experiments </w:t>
      </w:r>
      <w:r w:rsidR="00017FE2">
        <w:rPr>
          <w:rFonts w:cs="Arial"/>
        </w:rPr>
        <w:t xml:space="preserve">indicate that </w:t>
      </w:r>
      <w:r w:rsidR="00D13DA0">
        <w:rPr>
          <w:rFonts w:cs="Arial"/>
        </w:rPr>
        <w:t>irritation</w:t>
      </w:r>
      <w:r w:rsidR="00883B63">
        <w:rPr>
          <w:rFonts w:cs="Arial"/>
        </w:rPr>
        <w:t xml:space="preserve"> observed near acutely lethal doses</w:t>
      </w:r>
      <w:r w:rsidR="00017FE2">
        <w:rPr>
          <w:rFonts w:cs="Arial"/>
        </w:rPr>
        <w:t xml:space="preserve"> are reversible </w:t>
      </w:r>
      <w:r w:rsidR="00883B63">
        <w:rPr>
          <w:rFonts w:cs="Arial"/>
        </w:rPr>
        <w:t xml:space="preserve">within </w:t>
      </w:r>
      <w:r w:rsidR="00F21CE0">
        <w:rPr>
          <w:rFonts w:cs="Arial"/>
        </w:rPr>
        <w:t>two</w:t>
      </w:r>
      <w:r w:rsidR="00883B63">
        <w:rPr>
          <w:rFonts w:cs="Arial"/>
        </w:rPr>
        <w:t xml:space="preserve"> weeks (DFG, 2000). </w:t>
      </w:r>
    </w:p>
    <w:p w14:paraId="46498319" w14:textId="77777777" w:rsidR="00D13DA0" w:rsidRDefault="00017FE2" w:rsidP="006639B4">
      <w:r>
        <w:t xml:space="preserve">Limited human and animal exposure data </w:t>
      </w:r>
      <w:r w:rsidR="00E93DEF">
        <w:t>exist</w:t>
      </w:r>
      <w:r w:rsidR="00B36310">
        <w:t xml:space="preserve">. </w:t>
      </w:r>
      <w:r w:rsidR="00D26098">
        <w:t>ACGIH (2018)</w:t>
      </w:r>
      <w:r w:rsidR="00B36310">
        <w:t xml:space="preserve"> </w:t>
      </w:r>
      <w:r w:rsidR="00D26098">
        <w:t xml:space="preserve">noted a </w:t>
      </w:r>
      <w:r w:rsidR="00B36310">
        <w:t>LOAEL</w:t>
      </w:r>
      <w:r w:rsidR="00661C5C">
        <w:t xml:space="preserve"> </w:t>
      </w:r>
      <w:r w:rsidR="00B36310">
        <w:t xml:space="preserve">of 250 ppm for objectionable and irritating odour in </w:t>
      </w:r>
      <w:r w:rsidR="00046717">
        <w:t>volunteers and</w:t>
      </w:r>
      <w:r w:rsidR="00D26098">
        <w:t xml:space="preserve"> a</w:t>
      </w:r>
      <w:r w:rsidR="00B36310">
        <w:t xml:space="preserve">dverse kidney and liver effects in animals following exposures above 500 ppm. </w:t>
      </w:r>
    </w:p>
    <w:p w14:paraId="71E9EC1F" w14:textId="12078A18" w:rsidR="00017FE2" w:rsidRPr="004C23F4" w:rsidRDefault="00B36310" w:rsidP="006639B4">
      <w:pPr>
        <w:rPr>
          <w:rFonts w:cs="Arial"/>
        </w:rPr>
      </w:pPr>
      <w:r>
        <w:t>A</w:t>
      </w:r>
      <w:r w:rsidR="00661C5C">
        <w:t>n interim TW</w:t>
      </w:r>
      <w:r w:rsidR="00017FE2">
        <w:t xml:space="preserve">A </w:t>
      </w:r>
      <w:r w:rsidR="00661C5C">
        <w:t xml:space="preserve">of 75 ppm </w:t>
      </w:r>
      <w:r w:rsidR="000F6185">
        <w:t>is recommended</w:t>
      </w:r>
      <w:r w:rsidR="00A70106">
        <w:t xml:space="preserve"> based on </w:t>
      </w:r>
      <w:r>
        <w:t>the LOAEL in volunteers.</w:t>
      </w:r>
      <w:r w:rsidR="000F6185">
        <w:t xml:space="preserve"> The recommended </w:t>
      </w:r>
      <w:r>
        <w:t>TWA</w:t>
      </w:r>
      <w:r w:rsidR="00661C5C">
        <w:t xml:space="preserve"> is</w:t>
      </w:r>
      <w:r w:rsidR="00A70106">
        <w:t xml:space="preserve"> also</w:t>
      </w:r>
      <w:r w:rsidR="00661C5C">
        <w:t xml:space="preserve"> expected to protect for</w:t>
      </w:r>
      <w:r>
        <w:t xml:space="preserve"> kidney and liver effects seen in animals. </w:t>
      </w:r>
      <w:r w:rsidR="004B5CF1">
        <w:t>Given</w:t>
      </w:r>
      <w:r>
        <w:t xml:space="preserve"> the limited data, a</w:t>
      </w:r>
      <w:r w:rsidR="00661C5C">
        <w:t xml:space="preserve"> detailed </w:t>
      </w:r>
      <w:r w:rsidR="004166A0">
        <w:t>evaluation</w:t>
      </w:r>
      <w:r w:rsidR="00661C5C">
        <w:t xml:space="preserve"> of the available toxicological data should be </w:t>
      </w:r>
      <w:r>
        <w:t>conducted</w:t>
      </w:r>
      <w:r w:rsidR="00661C5C">
        <w:t xml:space="preserve"> in subsequent reviews. Experimental design and potentially confounding information regarding exposure to the dimer, dicyclopentadiene, should be considered during these reviews.</w:t>
      </w:r>
    </w:p>
    <w:p w14:paraId="0EA341F7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14DA974E" w14:textId="3DE58CA8" w:rsidR="00DE4C13" w:rsidRPr="00DE4C13" w:rsidRDefault="00DE4C13" w:rsidP="00DE4C13">
      <w:pPr>
        <w:rPr>
          <w:rFonts w:cs="Arial"/>
        </w:rPr>
      </w:pPr>
      <w:r w:rsidRPr="00DE4C13">
        <w:rPr>
          <w:rFonts w:cs="Arial"/>
        </w:rPr>
        <w:t>Not classified as a carcinogen according to the Globally Harmonized System of Classification and Labelling o</w:t>
      </w:r>
      <w:r w:rsidR="00C42197">
        <w:rPr>
          <w:rFonts w:cs="Arial"/>
        </w:rPr>
        <w:t>f</w:t>
      </w:r>
      <w:r w:rsidRPr="00DE4C13">
        <w:rPr>
          <w:rFonts w:cs="Arial"/>
        </w:rPr>
        <w:t xml:space="preserve"> Chemicals (GHS). </w:t>
      </w:r>
    </w:p>
    <w:p w14:paraId="20EB49FA" w14:textId="3E9D8BDF" w:rsidR="00DE4C13" w:rsidRPr="00DE4C13" w:rsidRDefault="00DE4C13" w:rsidP="00DE4C13">
      <w:pPr>
        <w:rPr>
          <w:rFonts w:cs="Arial"/>
        </w:rPr>
      </w:pPr>
      <w:r w:rsidRPr="00DE4C13">
        <w:rPr>
          <w:rFonts w:cs="Arial"/>
        </w:rPr>
        <w:t>Not classified as a skin</w:t>
      </w:r>
      <w:r w:rsidR="00C42197">
        <w:rPr>
          <w:rFonts w:cs="Arial"/>
        </w:rPr>
        <w:t xml:space="preserve"> sensitiser</w:t>
      </w:r>
      <w:r w:rsidRPr="00DE4C13">
        <w:rPr>
          <w:rFonts w:cs="Arial"/>
        </w:rPr>
        <w:t xml:space="preserve"> or respiratory sensitiser according to the GHS.</w:t>
      </w:r>
    </w:p>
    <w:p w14:paraId="04F843F9" w14:textId="38B8A0AC" w:rsidR="006B1D9E" w:rsidRPr="004C23F4" w:rsidRDefault="001D3D2C">
      <w:pPr>
        <w:rPr>
          <w:rFonts w:cs="Arial"/>
        </w:rPr>
        <w:sectPr w:rsidR="006B1D9E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1D3D2C">
        <w:rPr>
          <w:rFonts w:cs="Arial"/>
        </w:rPr>
        <w:t xml:space="preserve">A skin notation is not </w:t>
      </w:r>
      <w:r w:rsidR="00D13DA0">
        <w:rPr>
          <w:rFonts w:cs="Arial"/>
        </w:rPr>
        <w:t>recommended</w:t>
      </w:r>
      <w:r w:rsidR="00D13DA0" w:rsidRPr="001D3D2C">
        <w:rPr>
          <w:rFonts w:cs="Arial"/>
        </w:rPr>
        <w:t xml:space="preserve"> </w:t>
      </w:r>
      <w:r w:rsidRPr="001D3D2C">
        <w:rPr>
          <w:rFonts w:cs="Arial"/>
        </w:rPr>
        <w:t>based on the available evidence</w:t>
      </w:r>
      <w:r>
        <w:rPr>
          <w:rFonts w:cs="Arial"/>
        </w:rPr>
        <w:t>.</w:t>
      </w:r>
    </w:p>
    <w:p w14:paraId="38240AB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9BCD2B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06E594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BEBCEE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DBD81D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462CF76" w14:textId="71857E2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E4C1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E4C13">
                  <w:t>TWA: 75 ppm (203 mg/m</w:t>
                </w:r>
                <w:r w:rsidR="00DE4C13" w:rsidRPr="00DE4C13">
                  <w:rPr>
                    <w:vertAlign w:val="superscript"/>
                  </w:rPr>
                  <w:t>3</w:t>
                </w:r>
                <w:r w:rsidR="00DE4C13">
                  <w:t>)</w:t>
                </w:r>
              </w:sdtContent>
            </w:sdt>
          </w:p>
        </w:tc>
      </w:tr>
      <w:tr w:rsidR="00C978F0" w:rsidRPr="00DA352E" w14:paraId="0C153B6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2BC44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AD6E79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94719A" w14:textId="1F3B5CE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E4C1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E4C13">
                  <w:t>TLV-TWA: 75 ppm (203 mg/m</w:t>
                </w:r>
                <w:r w:rsidR="00DE4C13" w:rsidRPr="00DE4C13">
                  <w:rPr>
                    <w:vertAlign w:val="superscript"/>
                  </w:rPr>
                  <w:t>3</w:t>
                </w:r>
                <w:r w:rsidR="00DE4C13">
                  <w:t>)</w:t>
                </w:r>
              </w:sdtContent>
            </w:sdt>
          </w:p>
        </w:tc>
      </w:tr>
      <w:tr w:rsidR="00C978F0" w:rsidRPr="00DA352E" w14:paraId="1252F5A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7B70BA" w14:textId="2AE84089" w:rsidR="00C978F0" w:rsidRDefault="00481C6F" w:rsidP="003365A5">
            <w:pPr>
              <w:pStyle w:val="Tabletextprimarysource"/>
            </w:pPr>
            <w:r>
              <w:t>TLV-TWA intended to minimise potential for irritation to eyes and respiratory tract and offensive odour. Insufficient data to recommend a STEL or notations for carcinogenicity, sensitisation or skin absorption.</w:t>
            </w:r>
          </w:p>
          <w:p w14:paraId="35540865" w14:textId="77777777" w:rsidR="00481C6F" w:rsidRDefault="00481C6F" w:rsidP="003365A5">
            <w:pPr>
              <w:pStyle w:val="Tabletextprimarysource"/>
            </w:pPr>
            <w:r>
              <w:t>Summary of data:</w:t>
            </w:r>
          </w:p>
          <w:p w14:paraId="27345788" w14:textId="77777777" w:rsidR="00D13DA0" w:rsidRDefault="00481C6F" w:rsidP="003365A5">
            <w:pPr>
              <w:pStyle w:val="Tabletextprimarysource"/>
            </w:pPr>
            <w:r>
              <w:t xml:space="preserve">TLV-TWA derived from a LOAEL of 250 ppm for </w:t>
            </w:r>
            <w:r w:rsidR="00D92FE2">
              <w:t xml:space="preserve">an irritating </w:t>
            </w:r>
            <w:r>
              <w:t xml:space="preserve">objectionable odour in human subjects; no objective irritational effects </w:t>
            </w:r>
            <w:r w:rsidR="00D92FE2">
              <w:t>are</w:t>
            </w:r>
            <w:r>
              <w:t xml:space="preserve"> discussed in the cited report </w:t>
            </w:r>
            <w:r w:rsidR="006E5E7E">
              <w:t xml:space="preserve">at </w:t>
            </w:r>
            <w:r w:rsidR="00D92FE2">
              <w:t>250</w:t>
            </w:r>
            <w:r w:rsidR="006E5E7E">
              <w:t xml:space="preserve"> or </w:t>
            </w:r>
            <w:r w:rsidR="00D92FE2">
              <w:t>500 ppm</w:t>
            </w:r>
            <w:r>
              <w:t xml:space="preserve">. </w:t>
            </w:r>
          </w:p>
          <w:p w14:paraId="285E1738" w14:textId="77777777" w:rsidR="00D13DA0" w:rsidRDefault="00481C6F" w:rsidP="003365A5">
            <w:pPr>
              <w:pStyle w:val="Tabletextprimarysource"/>
            </w:pPr>
            <w:r>
              <w:t xml:space="preserve">Limited human and </w:t>
            </w:r>
            <w:r w:rsidR="00D92FE2">
              <w:t xml:space="preserve">animal </w:t>
            </w:r>
            <w:r>
              <w:t xml:space="preserve">exposure data exist, but the recommended </w:t>
            </w:r>
            <w:r w:rsidR="00D92FE2">
              <w:t>TLV-</w:t>
            </w:r>
            <w:r>
              <w:t>TWA</w:t>
            </w:r>
            <w:r w:rsidR="00D92FE2">
              <w:t xml:space="preserve"> is expected to protect for both objectionable odour and potential objective irritational effects. </w:t>
            </w:r>
          </w:p>
          <w:p w14:paraId="75DDE5C9" w14:textId="06FCB951" w:rsidR="00481C6F" w:rsidRDefault="00D92FE2" w:rsidP="003365A5">
            <w:pPr>
              <w:pStyle w:val="Tabletextprimarysource"/>
            </w:pPr>
            <w:r>
              <w:t>Unless freshly distilled, the compound readily dimerises to crystalline dicyclopentadiene, in which form it is commonly handled or transported.</w:t>
            </w:r>
            <w:r w:rsidR="00BA28A0">
              <w:t xml:space="preserve"> Thus, it is unclear if available toxicology data derived from exposures to the liquid represent exposure to the monomer or the dimer.</w:t>
            </w:r>
          </w:p>
          <w:p w14:paraId="69700BB8" w14:textId="77777777" w:rsidR="00D92FE2" w:rsidRDefault="00D92FE2" w:rsidP="003365A5">
            <w:pPr>
              <w:pStyle w:val="Tabletextprimarysource"/>
            </w:pPr>
            <w:r>
              <w:t>Human data:</w:t>
            </w:r>
          </w:p>
          <w:p w14:paraId="18AF0054" w14:textId="444A1252" w:rsidR="00D92FE2" w:rsidRDefault="00D92FE2" w:rsidP="00D92FE2">
            <w:pPr>
              <w:pStyle w:val="Tabletextprimarysource"/>
              <w:numPr>
                <w:ilvl w:val="0"/>
                <w:numId w:val="1"/>
              </w:numPr>
            </w:pPr>
            <w:r>
              <w:t>Odour threshold: 1.9 ppm</w:t>
            </w:r>
          </w:p>
          <w:p w14:paraId="45207875" w14:textId="443F31E1" w:rsidR="00D92FE2" w:rsidRDefault="00D92FE2" w:rsidP="00D92FE2">
            <w:pPr>
              <w:pStyle w:val="Tabletextprimarysource"/>
              <w:numPr>
                <w:ilvl w:val="0"/>
                <w:numId w:val="1"/>
              </w:numPr>
            </w:pPr>
            <w:r>
              <w:t>Irritating, objectionable odour noted in subjects exposed to 250 or 500 ppm (no further information provided)</w:t>
            </w:r>
            <w:r w:rsidR="00837512">
              <w:t>.</w:t>
            </w:r>
          </w:p>
          <w:p w14:paraId="4C1B28F1" w14:textId="77777777" w:rsidR="00D92FE2" w:rsidRDefault="00D92FE2" w:rsidP="00D92FE2">
            <w:pPr>
              <w:pStyle w:val="Tabletextprimarysource"/>
            </w:pPr>
            <w:r>
              <w:t>Animal data:</w:t>
            </w:r>
          </w:p>
          <w:p w14:paraId="2908D9F5" w14:textId="45B0FCFB" w:rsidR="00D92FE2" w:rsidRDefault="002E0611" w:rsidP="00D92FE2">
            <w:pPr>
              <w:pStyle w:val="Tabletextprimarysource"/>
              <w:numPr>
                <w:ilvl w:val="0"/>
                <w:numId w:val="1"/>
              </w:numPr>
            </w:pPr>
            <w:r>
              <w:t>Narcotising</w:t>
            </w:r>
            <w:r w:rsidR="004166A0">
              <w:t xml:space="preserve"> and lethal at 3 mL</w:t>
            </w:r>
            <w:r w:rsidR="009150F3">
              <w:t xml:space="preserve"> (633 mg/kg) as subcutaneous injection in rabbits</w:t>
            </w:r>
            <w:r w:rsidR="0064098B">
              <w:t>:</w:t>
            </w:r>
            <w:r w:rsidR="009150F3">
              <w:t xml:space="preserve"> </w:t>
            </w:r>
          </w:p>
          <w:p w14:paraId="1669FDD8" w14:textId="3F26C2B4" w:rsidR="009150F3" w:rsidRDefault="00837512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i</w:t>
            </w:r>
            <w:r w:rsidR="004166A0">
              <w:t>njections of 0.5</w:t>
            </w:r>
            <w:r w:rsidR="006E5E7E">
              <w:t>–</w:t>
            </w:r>
            <w:r w:rsidR="004166A0">
              <w:t>1.0 mL</w:t>
            </w:r>
            <w:r w:rsidR="009150F3">
              <w:t xml:space="preserve"> (106</w:t>
            </w:r>
            <w:r w:rsidR="006E5E7E">
              <w:t>–</w:t>
            </w:r>
            <w:r w:rsidR="009150F3">
              <w:t xml:space="preserve">211 mg/kg) </w:t>
            </w:r>
            <w:r w:rsidR="00362E0E">
              <w:t>non-narcotising</w:t>
            </w:r>
          </w:p>
          <w:p w14:paraId="5D100E8E" w14:textId="53621847" w:rsidR="00362E0E" w:rsidRDefault="00837512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</w:t>
            </w:r>
            <w:r w:rsidR="00362E0E">
              <w:t>iquid caused local irritation, inflammation in pleural and peritoneal cavities and kidney hyperaemia</w:t>
            </w:r>
          </w:p>
          <w:p w14:paraId="1BE14292" w14:textId="754A2EE3" w:rsidR="004166A0" w:rsidRDefault="00362E0E" w:rsidP="00362E0E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 xml:space="preserve"> of dimer: 820 mg/kg (rats</w:t>
            </w:r>
            <w:r w:rsidR="004166A0">
              <w:t>, oral</w:t>
            </w:r>
            <w:r>
              <w:t xml:space="preserve">) </w:t>
            </w:r>
          </w:p>
          <w:p w14:paraId="79D9C7C4" w14:textId="318405E9" w:rsidR="00942472" w:rsidRDefault="00362E0E" w:rsidP="00362E0E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 xml:space="preserve"> of dimer: </w:t>
            </w:r>
            <w:r w:rsidR="00942472">
              <w:t>5</w:t>
            </w:r>
            <w:r w:rsidR="0045654E">
              <w:t>,</w:t>
            </w:r>
            <w:r w:rsidR="00942472">
              <w:t>380 mg/kg (rabbits</w:t>
            </w:r>
            <w:r w:rsidR="004166A0">
              <w:t>, dermal</w:t>
            </w:r>
            <w:r w:rsidR="00942472">
              <w:t>)</w:t>
            </w:r>
          </w:p>
          <w:p w14:paraId="1075C95E" w14:textId="0FBE7E65" w:rsidR="00430CF9" w:rsidRDefault="00430CF9" w:rsidP="00362E0E">
            <w:pPr>
              <w:pStyle w:val="Tabletextprimarysource"/>
              <w:numPr>
                <w:ilvl w:val="0"/>
                <w:numId w:val="1"/>
              </w:numPr>
            </w:pPr>
            <w:r>
              <w:t>No adverse effects at 400 ppm (6 h) followed by 800 ppm (16 h) based on bodyweight and haematological parameters in inhalation study (dogs, n=39)</w:t>
            </w:r>
          </w:p>
          <w:p w14:paraId="1C00DC66" w14:textId="637468F4" w:rsidR="00942472" w:rsidRDefault="00942472" w:rsidP="00362E0E">
            <w:pPr>
              <w:pStyle w:val="Tabletextprimarysource"/>
              <w:numPr>
                <w:ilvl w:val="0"/>
                <w:numId w:val="1"/>
              </w:numPr>
            </w:pPr>
            <w:r>
              <w:t>NOAE</w:t>
            </w:r>
            <w:r w:rsidR="00D13DA0">
              <w:t>C</w:t>
            </w:r>
            <w:r>
              <w:t>: 250 ppm for liver and kidney toxicit</w:t>
            </w:r>
            <w:r w:rsidR="00837512">
              <w:t>y</w:t>
            </w:r>
            <w:r w:rsidR="00430CF9">
              <w:t xml:space="preserve"> and haematological parameters</w:t>
            </w:r>
            <w:r>
              <w:t xml:space="preserve"> in repeat inhalation study, treatment range: 250</w:t>
            </w:r>
            <w:r w:rsidR="006E5E7E">
              <w:t>–</w:t>
            </w:r>
            <w:r>
              <w:t>500 ppm (rabbits, rats, guinea pigs, dogs, 7 h/d, 135 times, exposure period unclear)</w:t>
            </w:r>
            <w:r w:rsidR="0064098B">
              <w:t>:</w:t>
            </w:r>
          </w:p>
          <w:p w14:paraId="607B894F" w14:textId="4418F614" w:rsidR="00430CF9" w:rsidRDefault="00362E0E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 </w:t>
            </w:r>
            <w:r w:rsidR="00837512">
              <w:t>k</w:t>
            </w:r>
            <w:r w:rsidR="00942472">
              <w:t>idney and liver toxicity observed at 500 ppm (</w:t>
            </w:r>
            <w:r w:rsidR="00430CF9">
              <w:t xml:space="preserve">rats, </w:t>
            </w:r>
            <w:r w:rsidR="00942472">
              <w:t>7 h/d, 35 times in 53 d period)</w:t>
            </w:r>
            <w:r w:rsidR="00430CF9">
              <w:t>.</w:t>
            </w:r>
          </w:p>
          <w:p w14:paraId="317FE3CD" w14:textId="58EB9337" w:rsidR="00837512" w:rsidRPr="00DA352E" w:rsidRDefault="00837512" w:rsidP="00051D22">
            <w:pPr>
              <w:pStyle w:val="Tabletextprimarysource"/>
              <w:ind w:left="1440"/>
            </w:pPr>
          </w:p>
        </w:tc>
      </w:tr>
      <w:tr w:rsidR="00C978F0" w:rsidRPr="00DA352E" w14:paraId="2D868D5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A7F59F" w14:textId="15E8143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D4069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E4C13">
                  <w:t xml:space="preserve">MAK: </w:t>
                </w:r>
                <w:r w:rsidR="00CD4069">
                  <w:t>not established</w:t>
                </w:r>
              </w:sdtContent>
            </w:sdt>
          </w:p>
        </w:tc>
      </w:tr>
      <w:tr w:rsidR="00C978F0" w:rsidRPr="00DA352E" w14:paraId="0841AE56" w14:textId="77777777" w:rsidTr="00D13DA0">
        <w:trPr>
          <w:gridAfter w:val="1"/>
          <w:wAfter w:w="8" w:type="pct"/>
        </w:trPr>
        <w:tc>
          <w:tcPr>
            <w:tcW w:w="4992" w:type="pct"/>
          </w:tcPr>
          <w:p w14:paraId="5C558293" w14:textId="77777777" w:rsidR="00C978F0" w:rsidRDefault="00430CF9" w:rsidP="003365A5">
            <w:pPr>
              <w:pStyle w:val="Tabletextprimarysource"/>
            </w:pPr>
            <w:r>
              <w:t>Summary of data:</w:t>
            </w:r>
          </w:p>
          <w:p w14:paraId="332C2B5F" w14:textId="3E10A80A" w:rsidR="00430CF9" w:rsidRDefault="00430CF9" w:rsidP="003365A5">
            <w:pPr>
              <w:pStyle w:val="Tabletextprimarysource"/>
            </w:pPr>
            <w:r>
              <w:t xml:space="preserve">Previous MAK of 75 ppm withdrawn </w:t>
            </w:r>
            <w:r w:rsidR="00C473B5">
              <w:t xml:space="preserve">because no experimental basis for a derivation can be made from available toxicological data. </w:t>
            </w:r>
            <w:r w:rsidR="00186E1A">
              <w:t>Contradictory toxicology data for exposure to liquid and saturated vapours is attributed to dimeric impurities in the tested substance.</w:t>
            </w:r>
          </w:p>
          <w:p w14:paraId="22291079" w14:textId="306A3962" w:rsidR="0045654E" w:rsidRDefault="0045654E" w:rsidP="003365A5">
            <w:pPr>
              <w:pStyle w:val="Tabletextprimarysource"/>
            </w:pPr>
            <w:r>
              <w:t>Human data:</w:t>
            </w:r>
          </w:p>
          <w:p w14:paraId="7628336C" w14:textId="553B0BF9" w:rsidR="0045654E" w:rsidRDefault="0045654E" w:rsidP="0045654E">
            <w:pPr>
              <w:pStyle w:val="Tabletextprimarysource"/>
              <w:numPr>
                <w:ilvl w:val="0"/>
                <w:numId w:val="1"/>
              </w:numPr>
            </w:pPr>
            <w:r>
              <w:t>Irritation to the upper respiratory tract at 250 ppm</w:t>
            </w:r>
          </w:p>
          <w:p w14:paraId="5547294C" w14:textId="00653417" w:rsidR="00C473B5" w:rsidRDefault="00C473B5" w:rsidP="0045654E">
            <w:pPr>
              <w:pStyle w:val="Tabletextprimarysource"/>
              <w:numPr>
                <w:ilvl w:val="0"/>
                <w:numId w:val="1"/>
              </w:numPr>
            </w:pPr>
            <w:r>
              <w:t>Critical effect of occupational exposure likely to be irritation of upper respiratory tract</w:t>
            </w:r>
            <w:r w:rsidR="00B53426">
              <w:t>.</w:t>
            </w:r>
          </w:p>
          <w:p w14:paraId="42D86DBA" w14:textId="45BF4B2B" w:rsidR="0045654E" w:rsidRDefault="0045654E" w:rsidP="0045654E">
            <w:pPr>
              <w:pStyle w:val="Tabletextprimarysource"/>
            </w:pPr>
            <w:r>
              <w:t>Animal data:</w:t>
            </w:r>
          </w:p>
          <w:p w14:paraId="309233DF" w14:textId="77777777" w:rsidR="00D73280" w:rsidRDefault="0045654E" w:rsidP="003365A5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1,778 ppm (male mice, 6 h); 3,908 ppm (female mice, 6 h)</w:t>
            </w:r>
          </w:p>
          <w:p w14:paraId="77D86D6E" w14:textId="626F2DD8" w:rsidR="0045654E" w:rsidRDefault="00B973A7" w:rsidP="003365A5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Agency attributes c</w:t>
            </w:r>
            <w:r w:rsidR="0045654E">
              <w:t xml:space="preserve">ontradictory outcomes </w:t>
            </w:r>
            <w:r>
              <w:t>of three</w:t>
            </w:r>
            <w:r w:rsidR="0045654E">
              <w:t xml:space="preserve"> acute inhalation studies to substance impurity</w:t>
            </w:r>
            <w:r>
              <w:t xml:space="preserve">, </w:t>
            </w:r>
            <w:r w:rsidR="0045654E">
              <w:t>i.e. contamination</w:t>
            </w:r>
            <w:r>
              <w:t xml:space="preserve"> with dimer; (</w:t>
            </w:r>
            <w:r w:rsidR="0045654E">
              <w:t>mice, rats, guinea pigs, 6 h)</w:t>
            </w:r>
            <w:r w:rsidR="0064098B">
              <w:t>:</w:t>
            </w:r>
            <w:r w:rsidR="0045654E">
              <w:t xml:space="preserve"> </w:t>
            </w:r>
          </w:p>
          <w:p w14:paraId="4EAEBDC0" w14:textId="367625BF" w:rsidR="00B973A7" w:rsidRDefault="006E5E7E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</w:t>
            </w:r>
            <w:r w:rsidR="00B973A7">
              <w:t>ethal to mice at 1,040 ppm in one study, but non-lethal at 4,919 ppm in other study</w:t>
            </w:r>
          </w:p>
          <w:p w14:paraId="36B5781A" w14:textId="6D92DA57" w:rsidR="0045654E" w:rsidRDefault="006E5E7E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e</w:t>
            </w:r>
            <w:r w:rsidR="0045654E">
              <w:t>ye irritation observed in all species</w:t>
            </w:r>
          </w:p>
          <w:p w14:paraId="20AD9449" w14:textId="35CF2029" w:rsidR="00B973A7" w:rsidRDefault="006E5E7E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i</w:t>
            </w:r>
            <w:r w:rsidR="00B973A7">
              <w:t>rritational effects reversible within 2 wk in rats</w:t>
            </w:r>
          </w:p>
          <w:p w14:paraId="35350302" w14:textId="4BAA737D" w:rsidR="0045654E" w:rsidRDefault="006E5E7E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d</w:t>
            </w:r>
            <w:r w:rsidR="00B973A7">
              <w:t>ose-dependent lung damage</w:t>
            </w:r>
            <w:r w:rsidR="00186E1A">
              <w:t xml:space="preserve"> in mice exposed to 1</w:t>
            </w:r>
            <w:r w:rsidR="00C473B5">
              <w:t>,</w:t>
            </w:r>
            <w:r w:rsidR="00186E1A">
              <w:t>427</w:t>
            </w:r>
            <w:r>
              <w:t>–</w:t>
            </w:r>
            <w:r w:rsidR="00186E1A">
              <w:t>5</w:t>
            </w:r>
            <w:r w:rsidR="00C473B5">
              <w:t>,</w:t>
            </w:r>
            <w:r w:rsidR="00186E1A">
              <w:t>465 ppm</w:t>
            </w:r>
          </w:p>
          <w:p w14:paraId="1EA6D777" w14:textId="651D579A" w:rsidR="00883B63" w:rsidRDefault="00496FDA" w:rsidP="00186E1A">
            <w:pPr>
              <w:pStyle w:val="Tabletextprimarysource"/>
              <w:numPr>
                <w:ilvl w:val="0"/>
                <w:numId w:val="1"/>
              </w:numPr>
            </w:pPr>
            <w:r>
              <w:t>Oral doses of 1,000</w:t>
            </w:r>
            <w:r w:rsidR="00B53426">
              <w:t>–</w:t>
            </w:r>
            <w:r>
              <w:t>1,470 mg/kg lethal to rats; composition of the tested substance unclear because acute intoxication, but no mortality, observed at 10,000 mg/kg (rats) in second study from same research group</w:t>
            </w:r>
            <w:r w:rsidR="0064098B">
              <w:t>:</w:t>
            </w:r>
          </w:p>
          <w:p w14:paraId="70D5CFC4" w14:textId="42D15CD1" w:rsidR="00496FDA" w:rsidRDefault="00B53426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883B63">
              <w:t xml:space="preserve">ecropsies revealed changes to lungs, heart and </w:t>
            </w:r>
            <w:r w:rsidR="00D13DA0">
              <w:t>GIT</w:t>
            </w:r>
          </w:p>
          <w:p w14:paraId="5824FB57" w14:textId="7C169C46" w:rsidR="00186E1A" w:rsidRDefault="00496FDA" w:rsidP="00186E1A">
            <w:pPr>
              <w:pStyle w:val="Tabletextprimarysource"/>
              <w:numPr>
                <w:ilvl w:val="0"/>
                <w:numId w:val="1"/>
              </w:numPr>
            </w:pPr>
            <w:r>
              <w:t>No mortality at 3,160 mg/kg in recent single dermal application studies (rabbits); significant erythema, increased respiration rate, ataxia and irritability observed, behavioural effects were reversible within 14 d</w:t>
            </w:r>
          </w:p>
          <w:p w14:paraId="218FFACF" w14:textId="4807A19F" w:rsidR="00496FDA" w:rsidRDefault="00A04483" w:rsidP="00186E1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Iritis and weak </w:t>
            </w:r>
            <w:r w:rsidR="004166A0">
              <w:t>conjunctival effects when 0.1 mL</w:t>
            </w:r>
            <w:r>
              <w:t xml:space="preserve"> applied directly to eyes (rabbits)</w:t>
            </w:r>
          </w:p>
          <w:p w14:paraId="79321E39" w14:textId="0A763613" w:rsidR="00A04483" w:rsidRDefault="00A04483" w:rsidP="00186E1A">
            <w:pPr>
              <w:pStyle w:val="Tabletextprimarysource"/>
              <w:numPr>
                <w:ilvl w:val="0"/>
                <w:numId w:val="1"/>
              </w:numPr>
            </w:pPr>
            <w:r>
              <w:t>Sub-chronic repeat inhalation study with exposure groups of 244, 714 and 2,558 ppm (male and female mice, n=10/sex, 6 h/d, 5 d/wk, 2 wk) found:</w:t>
            </w:r>
          </w:p>
          <w:p w14:paraId="2152259B" w14:textId="554B0750" w:rsidR="00A04483" w:rsidRDefault="00B53426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</w:t>
            </w:r>
            <w:r w:rsidR="00A04483">
              <w:t>ll males died after 1 exposure to 2,558 ppm and survived until 3 exposures in the 714</w:t>
            </w:r>
            <w:r w:rsidR="00E95B1C">
              <w:t> </w:t>
            </w:r>
            <w:r w:rsidR="00A04483">
              <w:t>ppm group; all females died after 3 exposures in both groups</w:t>
            </w:r>
          </w:p>
          <w:p w14:paraId="4BE07219" w14:textId="3A64716A" w:rsidR="00A04483" w:rsidRDefault="00B53426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</w:t>
            </w:r>
            <w:r w:rsidR="00A04483">
              <w:t>ll animals survived 244 ppm without signs of intoxication</w:t>
            </w:r>
          </w:p>
          <w:p w14:paraId="026EAF95" w14:textId="0435959E" w:rsidR="00A04483" w:rsidRDefault="00B53426" w:rsidP="00051D22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C473B5">
              <w:t>o abnormal findings in examination of animals; increased liver weights of females in 244</w:t>
            </w:r>
            <w:r>
              <w:t xml:space="preserve"> </w:t>
            </w:r>
            <w:r w:rsidR="00C473B5">
              <w:t>ppm group, but no macroscopic changes to liver observed</w:t>
            </w:r>
          </w:p>
          <w:p w14:paraId="62E0D1AB" w14:textId="77777777" w:rsidR="00C473B5" w:rsidRDefault="00C473B5" w:rsidP="00C473B5">
            <w:pPr>
              <w:pStyle w:val="Tabletextprimarysource"/>
              <w:numPr>
                <w:ilvl w:val="0"/>
                <w:numId w:val="1"/>
              </w:numPr>
            </w:pPr>
            <w:r>
              <w:t>Weak exposure-related irritation of lung parenchyma in repeat inhalation exposure at 993 ppm (rats, guinea pigs, dogs, 6 h/d, 5 d/wk, 4 wk)</w:t>
            </w:r>
          </w:p>
          <w:p w14:paraId="3DDCBD22" w14:textId="4E98E7BE" w:rsidR="00C473B5" w:rsidRDefault="00C473B5" w:rsidP="00C473B5">
            <w:pPr>
              <w:pStyle w:val="Tabletextprimarysource"/>
              <w:numPr>
                <w:ilvl w:val="0"/>
                <w:numId w:val="1"/>
              </w:numPr>
            </w:pPr>
            <w:r>
              <w:t>No reports on sensitisation, genotoxicity or carcinogenicity available</w:t>
            </w:r>
          </w:p>
          <w:p w14:paraId="3D60C2C6" w14:textId="77777777" w:rsidR="00C473B5" w:rsidRDefault="00C473B5" w:rsidP="00C473B5">
            <w:pPr>
              <w:pStyle w:val="Tabletextprimarysource"/>
              <w:numPr>
                <w:ilvl w:val="0"/>
                <w:numId w:val="1"/>
              </w:numPr>
            </w:pPr>
            <w:r>
              <w:t>No reports on skin permeability, but low dermal toxicity indicates low potential for skin penetration.</w:t>
            </w:r>
          </w:p>
          <w:p w14:paraId="1DE8D50A" w14:textId="7FE98A04" w:rsidR="00B53426" w:rsidRPr="00DA352E" w:rsidRDefault="00B53426" w:rsidP="00B91E40">
            <w:pPr>
              <w:pStyle w:val="Tabletextprimarysource"/>
              <w:ind w:left="720"/>
            </w:pPr>
          </w:p>
        </w:tc>
      </w:tr>
      <w:tr w:rsidR="00C978F0" w:rsidRPr="00DA352E" w14:paraId="0CD3489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C9DA94" w14:textId="171A17F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E4C1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E4C13">
                  <w:t>NA</w:t>
                </w:r>
              </w:sdtContent>
            </w:sdt>
          </w:p>
        </w:tc>
      </w:tr>
      <w:tr w:rsidR="00C978F0" w:rsidRPr="00DA352E" w14:paraId="01DBF0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94A71E" w14:textId="09156F4B" w:rsidR="00C978F0" w:rsidRPr="00DA352E" w:rsidRDefault="00DE4C13" w:rsidP="003365A5">
            <w:pPr>
              <w:pStyle w:val="Tabletextprimarysource"/>
            </w:pPr>
            <w:r>
              <w:t>No report</w:t>
            </w:r>
            <w:r w:rsidR="00E95B1C">
              <w:t>.</w:t>
            </w:r>
          </w:p>
        </w:tc>
      </w:tr>
      <w:tr w:rsidR="00DA352E" w:rsidRPr="00DA352E" w14:paraId="4B7BF50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DAE1C2E" w14:textId="26B1463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E4C1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DE4C13">
                  <w:t>NA</w:t>
                </w:r>
              </w:sdtContent>
            </w:sdt>
          </w:p>
        </w:tc>
      </w:tr>
      <w:tr w:rsidR="00DA352E" w:rsidRPr="00DA352E" w14:paraId="28712F9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7479CA" w14:textId="03C7E564" w:rsidR="00DA352E" w:rsidRPr="00DA352E" w:rsidRDefault="00DE4C13" w:rsidP="003365A5">
            <w:pPr>
              <w:pStyle w:val="Tabletextprimarysource"/>
            </w:pPr>
            <w:r>
              <w:t>No report</w:t>
            </w:r>
            <w:r w:rsidR="00E95B1C">
              <w:t>.</w:t>
            </w:r>
          </w:p>
        </w:tc>
      </w:tr>
      <w:tr w:rsidR="00DA352E" w:rsidRPr="00DA352E" w14:paraId="00777CB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3AD12D" w14:textId="5DF5755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F106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F106C">
                  <w:t>NA</w:t>
                </w:r>
              </w:sdtContent>
            </w:sdt>
          </w:p>
        </w:tc>
      </w:tr>
      <w:tr w:rsidR="00DA352E" w:rsidRPr="00DA352E" w14:paraId="12BBD1E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2F882BA" w14:textId="21FF8025" w:rsidR="00DA352E" w:rsidRPr="00DA352E" w:rsidRDefault="007F106C" w:rsidP="003365A5">
            <w:pPr>
              <w:pStyle w:val="Tabletextprimarysource"/>
            </w:pPr>
            <w:r>
              <w:t>No report</w:t>
            </w:r>
            <w:r w:rsidR="00E95B1C">
              <w:t>.</w:t>
            </w:r>
          </w:p>
        </w:tc>
      </w:tr>
    </w:tbl>
    <w:p w14:paraId="4A70FA2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2"/>
        <w:gridCol w:w="661"/>
        <w:gridCol w:w="6448"/>
      </w:tblGrid>
      <w:tr w:rsidR="004966BF" w:rsidRPr="00263255" w14:paraId="265C785D" w14:textId="77777777" w:rsidTr="004166A0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6B386F5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F13FFF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D4FC31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27FCBFF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CD322FC" w14:textId="77777777" w:rsidTr="004166A0">
        <w:trPr>
          <w:cantSplit/>
        </w:trPr>
        <w:tc>
          <w:tcPr>
            <w:tcW w:w="1495" w:type="dxa"/>
          </w:tcPr>
          <w:p w14:paraId="497B5390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1B41857E" w14:textId="05632D88" w:rsidR="004966BF" w:rsidRDefault="00C5561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8629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BAB05DF" w14:textId="6C18E37C" w:rsidR="004966BF" w:rsidRPr="004C23F4" w:rsidRDefault="0048629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8" w:type="dxa"/>
          </w:tcPr>
          <w:p w14:paraId="7218A60B" w14:textId="0586CC19" w:rsidR="004966BF" w:rsidRDefault="00B96385" w:rsidP="0048629E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B96385">
              <w:rPr>
                <w:rStyle w:val="checkbox"/>
                <w:rFonts w:ascii="Arial" w:hAnsi="Arial" w:cs="Arial"/>
              </w:rPr>
              <w:t>IDLH based on acute inhalation toxicity data in animals</w:t>
            </w:r>
          </w:p>
          <w:p w14:paraId="2B0D0059" w14:textId="415449B0" w:rsidR="00B96385" w:rsidRPr="00B96385" w:rsidRDefault="00B96385" w:rsidP="0048629E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14,182 ppm (rats, 2 h); 5,091 (mice, 2 h)</w:t>
            </w:r>
          </w:p>
        </w:tc>
      </w:tr>
    </w:tbl>
    <w:p w14:paraId="3AF1F06B" w14:textId="77777777" w:rsidR="007E2A4B" w:rsidRDefault="007E2A4B"/>
    <w:bookmarkEnd w:id="0"/>
    <w:p w14:paraId="6EA10EA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7D9DE35" w14:textId="77777777" w:rsidTr="00B96385">
        <w:trPr>
          <w:trHeight w:val="454"/>
          <w:tblHeader/>
        </w:trPr>
        <w:tc>
          <w:tcPr>
            <w:tcW w:w="6597" w:type="dxa"/>
            <w:vAlign w:val="center"/>
          </w:tcPr>
          <w:p w14:paraId="33BC68C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E0C45AD" w14:textId="0A0291DB" w:rsidR="002E0D61" w:rsidRDefault="00B9638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2EF33AE" w14:textId="77777777" w:rsidTr="00B96385">
        <w:trPr>
          <w:trHeight w:val="454"/>
        </w:trPr>
        <w:tc>
          <w:tcPr>
            <w:tcW w:w="6597" w:type="dxa"/>
            <w:vAlign w:val="center"/>
          </w:tcPr>
          <w:p w14:paraId="1C2E615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A59D28D" w14:textId="63260A12" w:rsidR="008A36CF" w:rsidRDefault="00B9638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1D565DF" w14:textId="77777777" w:rsidTr="00B9638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4D9E667D" w14:textId="60B7B0C1" w:rsidR="008A36CF" w:rsidRPr="006901A2" w:rsidRDefault="00B9638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50CE9FC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BF20F0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6E8CDC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0368B0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7807A8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35EBFC3" w14:textId="77777777" w:rsidTr="00812887">
        <w:trPr>
          <w:cantSplit/>
        </w:trPr>
        <w:tc>
          <w:tcPr>
            <w:tcW w:w="3227" w:type="dxa"/>
          </w:tcPr>
          <w:p w14:paraId="0C2C25F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4BA1FB3" w14:textId="33BA129D" w:rsidR="00687890" w:rsidRPr="00DD2F9B" w:rsidRDefault="002F4868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90638C3" w14:textId="77777777" w:rsidTr="00812887">
        <w:trPr>
          <w:cantSplit/>
        </w:trPr>
        <w:tc>
          <w:tcPr>
            <w:tcW w:w="3227" w:type="dxa"/>
          </w:tcPr>
          <w:p w14:paraId="24EF7C5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2823A60" w14:textId="738460BB" w:rsidR="007925F0" w:rsidRPr="00DD2F9B" w:rsidRDefault="002F486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F48F1C4" w14:textId="77777777" w:rsidTr="00812887">
        <w:trPr>
          <w:cantSplit/>
        </w:trPr>
        <w:tc>
          <w:tcPr>
            <w:tcW w:w="3227" w:type="dxa"/>
          </w:tcPr>
          <w:p w14:paraId="6EBC5A0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AD74398" w14:textId="7FB300D9" w:rsidR="00AF483F" w:rsidRPr="00DD2F9B" w:rsidRDefault="002F486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7B87AF0" w14:textId="77777777" w:rsidTr="00812887">
        <w:trPr>
          <w:cantSplit/>
        </w:trPr>
        <w:tc>
          <w:tcPr>
            <w:tcW w:w="3227" w:type="dxa"/>
          </w:tcPr>
          <w:p w14:paraId="6C6FB3F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458A4D7" w14:textId="007FB518" w:rsidR="00687890" w:rsidRPr="00DD2F9B" w:rsidRDefault="002F486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7C7B504" w14:textId="77777777" w:rsidTr="00812887">
        <w:trPr>
          <w:cantSplit/>
        </w:trPr>
        <w:tc>
          <w:tcPr>
            <w:tcW w:w="3227" w:type="dxa"/>
          </w:tcPr>
          <w:p w14:paraId="6B5110D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FFF14A5" w14:textId="5F445EC2" w:rsidR="00E41A26" w:rsidRPr="00DD2F9B" w:rsidRDefault="002F486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D2F546D" w14:textId="77777777" w:rsidTr="00812887">
        <w:trPr>
          <w:cantSplit/>
        </w:trPr>
        <w:tc>
          <w:tcPr>
            <w:tcW w:w="3227" w:type="dxa"/>
          </w:tcPr>
          <w:p w14:paraId="6378215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2A3B3A4" w14:textId="477133E7" w:rsidR="002E0D61" w:rsidRPr="00DD2F9B" w:rsidRDefault="002F486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2F5531C" w14:textId="77777777" w:rsidTr="00812887">
        <w:trPr>
          <w:cantSplit/>
        </w:trPr>
        <w:tc>
          <w:tcPr>
            <w:tcW w:w="3227" w:type="dxa"/>
          </w:tcPr>
          <w:p w14:paraId="0BC695C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C6C5492" w14:textId="5AF9A763" w:rsidR="002E0D61" w:rsidRPr="00DD2F9B" w:rsidRDefault="002F486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806D4BF" w14:textId="77777777" w:rsidTr="00812887">
        <w:trPr>
          <w:cantSplit/>
        </w:trPr>
        <w:tc>
          <w:tcPr>
            <w:tcW w:w="3227" w:type="dxa"/>
          </w:tcPr>
          <w:p w14:paraId="58822C7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4F1B704" w14:textId="5E792293" w:rsidR="002E0D61" w:rsidRPr="00DD2F9B" w:rsidRDefault="002F486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FA4A5EC" w14:textId="77777777" w:rsidTr="00812887">
        <w:trPr>
          <w:cantSplit/>
        </w:trPr>
        <w:tc>
          <w:tcPr>
            <w:tcW w:w="3227" w:type="dxa"/>
          </w:tcPr>
          <w:p w14:paraId="591C510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E5CF80C" w14:textId="1DF70ECB" w:rsidR="002E0D61" w:rsidRPr="00DD2F9B" w:rsidRDefault="002F486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47048E6" w14:textId="77777777" w:rsidTr="00812887">
        <w:trPr>
          <w:cantSplit/>
        </w:trPr>
        <w:tc>
          <w:tcPr>
            <w:tcW w:w="3227" w:type="dxa"/>
          </w:tcPr>
          <w:p w14:paraId="2A7E261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4888558" w14:textId="3E1863D6" w:rsidR="00386093" w:rsidRPr="00DD2F9B" w:rsidRDefault="002F486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BAED92E" w14:textId="77777777" w:rsidTr="00812887">
        <w:trPr>
          <w:cantSplit/>
        </w:trPr>
        <w:tc>
          <w:tcPr>
            <w:tcW w:w="3227" w:type="dxa"/>
          </w:tcPr>
          <w:p w14:paraId="22A987C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CCAD088" w14:textId="6AB85FD8" w:rsidR="00386093" w:rsidRPr="00DD2F9B" w:rsidRDefault="002F486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DCEA98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C49940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E0B10E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DBFB18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A6381E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148"/>
              <w:gridCol w:w="626"/>
              <w:gridCol w:w="650"/>
              <w:gridCol w:w="3386"/>
            </w:tblGrid>
            <w:tr w:rsidR="00B96385" w:rsidRPr="00B96385" w14:paraId="6927D2BE" w14:textId="77777777" w:rsidTr="00B96385">
              <w:trPr>
                <w:trHeight w:val="119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EB7A4A" w14:textId="77777777" w:rsidR="00B96385" w:rsidRPr="00B96385" w:rsidRDefault="00B96385" w:rsidP="00B963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BF25BA" w14:textId="77777777" w:rsidR="00B96385" w:rsidRPr="00B96385" w:rsidRDefault="00B96385" w:rsidP="00B963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1716EE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D77171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6385" w:rsidRPr="00B96385" w14:paraId="5C816F16" w14:textId="77777777" w:rsidTr="00B96385">
              <w:trPr>
                <w:trHeight w:val="119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CCA2EF" w14:textId="77777777" w:rsidR="00B96385" w:rsidRPr="00B96385" w:rsidRDefault="00B96385" w:rsidP="00B963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93717B" w14:textId="77777777" w:rsidR="00B96385" w:rsidRPr="00B96385" w:rsidRDefault="00B96385" w:rsidP="00B963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756089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055456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6385" w:rsidRPr="00B96385" w14:paraId="29FBF15F" w14:textId="77777777" w:rsidTr="00B96385">
              <w:trPr>
                <w:trHeight w:val="119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8F84F8" w14:textId="77777777" w:rsidR="00B96385" w:rsidRPr="00B96385" w:rsidRDefault="00B96385" w:rsidP="00B963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ED0019" w14:textId="77777777" w:rsidR="00B96385" w:rsidRPr="00B96385" w:rsidRDefault="00B96385" w:rsidP="00B963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29AF67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3AC09C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6385" w:rsidRPr="00B96385" w14:paraId="4EE931B2" w14:textId="77777777" w:rsidTr="00B96385">
              <w:trPr>
                <w:trHeight w:val="119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67950A" w14:textId="77777777" w:rsidR="00B96385" w:rsidRPr="00B96385" w:rsidRDefault="00B96385" w:rsidP="00B963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CD7E12" w14:textId="77777777" w:rsidR="00B96385" w:rsidRPr="00B96385" w:rsidRDefault="00B96385" w:rsidP="00B963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6A3F6D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0FE5A0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6385" w:rsidRPr="00B96385" w14:paraId="7816F8D1" w14:textId="77777777" w:rsidTr="00B96385">
              <w:trPr>
                <w:trHeight w:val="119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245C31" w14:textId="77777777" w:rsidR="00B96385" w:rsidRPr="00B96385" w:rsidRDefault="00B96385" w:rsidP="00B963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F1BE8A" w14:textId="77777777" w:rsidR="00B96385" w:rsidRPr="00B96385" w:rsidRDefault="00B96385" w:rsidP="00B963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27557A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06FCA5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6385" w:rsidRPr="00B96385" w14:paraId="5EEBFA37" w14:textId="77777777" w:rsidTr="00B96385">
              <w:trPr>
                <w:trHeight w:val="119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545094" w14:textId="77777777" w:rsidR="00B96385" w:rsidRPr="00B96385" w:rsidRDefault="00B96385" w:rsidP="00B963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A411E9" w14:textId="77777777" w:rsidR="00B96385" w:rsidRPr="00B96385" w:rsidRDefault="00B96385" w:rsidP="00B963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4FF0D0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D614E1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96385" w:rsidRPr="00B96385" w14:paraId="78772C44" w14:textId="77777777" w:rsidTr="00B96385">
              <w:trPr>
                <w:trHeight w:val="119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EB0133" w14:textId="77777777" w:rsidR="00B96385" w:rsidRPr="00B96385" w:rsidRDefault="00B96385" w:rsidP="00B9638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99C69C" w14:textId="77777777" w:rsidR="00B96385" w:rsidRPr="00B96385" w:rsidRDefault="00B96385" w:rsidP="00B9638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653AA5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879BF8" w14:textId="77777777" w:rsidR="00B96385" w:rsidRPr="00B96385" w:rsidRDefault="00B96385" w:rsidP="00B9638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9638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2994BEAB" w14:textId="547EFB1A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67B8EA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A21A02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D1D642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B9910AD" w14:textId="41B85F33" w:rsidR="00EB3D1B" w:rsidRDefault="00B9638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708DF51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A8B24E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6BEB4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92E2697" w14:textId="1DADE472" w:rsidR="001B79E5" w:rsidRDefault="002F4868" w:rsidP="001B79E5">
                <w:pPr>
                  <w:pStyle w:val="Tablefont"/>
                </w:pPr>
                <w:r w:rsidRPr="002F4868">
                  <w:t>66.1</w:t>
                </w:r>
              </w:p>
            </w:tc>
          </w:sdtContent>
        </w:sdt>
      </w:tr>
      <w:tr w:rsidR="00A31D99" w:rsidRPr="004C23F4" w14:paraId="55E8F63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12A42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13052E6" w14:textId="687A8F31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2F4868">
                  <w:t>2.70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F4868">
                  <w:t>0.370</w:t>
                </w:r>
              </w:sdtContent>
            </w:sdt>
            <w:r w:rsidRPr="002F4868">
              <w:t xml:space="preserve"> </w:t>
            </w:r>
            <w:r>
              <w:t>ppm</w:t>
            </w:r>
          </w:p>
        </w:tc>
      </w:tr>
      <w:tr w:rsidR="00687890" w:rsidRPr="004C23F4" w14:paraId="0D85480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53B038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02766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51D7880" w14:textId="77777777" w:rsidTr="00EA6243">
        <w:trPr>
          <w:cantSplit/>
        </w:trPr>
        <w:tc>
          <w:tcPr>
            <w:tcW w:w="4077" w:type="dxa"/>
            <w:vAlign w:val="center"/>
          </w:tcPr>
          <w:p w14:paraId="4D28082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CCDBE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6F8130" w14:textId="77777777" w:rsidTr="00EA6243">
        <w:trPr>
          <w:cantSplit/>
        </w:trPr>
        <w:tc>
          <w:tcPr>
            <w:tcW w:w="4077" w:type="dxa"/>
            <w:vAlign w:val="center"/>
          </w:tcPr>
          <w:p w14:paraId="46A48DD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E1FB3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0FBBBA8" w14:textId="77777777" w:rsidTr="00EA6243">
        <w:trPr>
          <w:cantSplit/>
        </w:trPr>
        <w:tc>
          <w:tcPr>
            <w:tcW w:w="4077" w:type="dxa"/>
            <w:vAlign w:val="center"/>
          </w:tcPr>
          <w:p w14:paraId="61BBF33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26E6A96" w14:textId="77777777" w:rsidR="00E06F40" w:rsidRPr="00A006A0" w:rsidRDefault="00C5561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45AFA9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50FFA2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14C6C8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BECC36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E12C10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0FCF14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2C015D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084274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8E37A54" w14:textId="5716685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1ACCF3C" w14:textId="67FB7D54" w:rsidR="002F4868" w:rsidRPr="004166A0" w:rsidRDefault="002F4868" w:rsidP="00084859">
      <w:r w:rsidRPr="002022B6">
        <w:t>Deutsche Forschungsgemeinschaft (DFG)</w:t>
      </w:r>
      <w:r>
        <w:t xml:space="preserve"> (</w:t>
      </w:r>
      <w:r w:rsidR="006B1D9E">
        <w:t>2000</w:t>
      </w:r>
      <w:r>
        <w:t xml:space="preserve">) </w:t>
      </w:r>
      <w:r w:rsidR="006B1D9E">
        <w:t>1,3-Cyclopentadien</w:t>
      </w:r>
      <w:r>
        <w:t xml:space="preserve"> – MAK value documentation</w:t>
      </w:r>
      <w:r w:rsidR="006B1D9E">
        <w:t>, German language edition</w:t>
      </w:r>
      <w:r>
        <w:t>.</w:t>
      </w:r>
    </w:p>
    <w:p w14:paraId="03BFCAF8" w14:textId="251A0124" w:rsidR="0048629E" w:rsidRPr="0048629E" w:rsidRDefault="0048629E" w:rsidP="00084859">
      <w:pPr>
        <w:rPr>
          <w:b/>
        </w:rPr>
      </w:pPr>
      <w:r w:rsidRPr="004166A0">
        <w:t>US National Institute for Occupational Safety and Health (NIOSH) (</w:t>
      </w:r>
      <w:sdt>
        <w:sdtPr>
          <w:id w:val="-1194999823"/>
          <w:placeholder>
            <w:docPart w:val="25CC3E79F285437981732A890384288E"/>
          </w:placeholder>
          <w:temporary/>
          <w:showingPlcHdr/>
        </w:sdtPr>
        <w:sdtEndPr/>
        <w:sdtContent>
          <w:r w:rsidRPr="004166A0">
            <w:t>1994</w:t>
          </w:r>
        </w:sdtContent>
      </w:sdt>
      <w:r w:rsidRPr="004166A0">
        <w:t xml:space="preserve">) Immediately </w:t>
      </w:r>
      <w:r>
        <w:t>dangerous to life or health concentrations – cyclopentadiene.</w:t>
      </w:r>
    </w:p>
    <w:sectPr w:rsidR="0048629E" w:rsidRPr="0048629E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2DE44" w14:textId="77777777" w:rsidR="00307EF5" w:rsidRDefault="00307EF5" w:rsidP="00F43AD5">
      <w:pPr>
        <w:spacing w:after="0" w:line="240" w:lineRule="auto"/>
      </w:pPr>
      <w:r>
        <w:separator/>
      </w:r>
    </w:p>
  </w:endnote>
  <w:endnote w:type="continuationSeparator" w:id="0">
    <w:p w14:paraId="63CA837D" w14:textId="77777777" w:rsidR="00307EF5" w:rsidRDefault="00307EF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BE53D" w14:textId="77777777" w:rsidR="009B4334" w:rsidRDefault="009B43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E26E1EF" w14:textId="6B6C9D6E" w:rsidR="008A36CF" w:rsidRDefault="007F106C" w:rsidP="0034744C">
        <w:pPr>
          <w:pStyle w:val="Footer"/>
          <w:rPr>
            <w:sz w:val="18"/>
            <w:szCs w:val="18"/>
          </w:rPr>
        </w:pPr>
        <w:r w:rsidRPr="007F106C">
          <w:rPr>
            <w:b/>
            <w:sz w:val="18"/>
            <w:szCs w:val="18"/>
          </w:rPr>
          <w:t>Cyclopentadiene</w:t>
        </w:r>
        <w:r w:rsidR="008A36CF">
          <w:rPr>
            <w:b/>
            <w:sz w:val="18"/>
            <w:szCs w:val="18"/>
          </w:rPr>
          <w:t xml:space="preserve"> (</w:t>
        </w:r>
        <w:r w:rsidRPr="007F106C">
          <w:rPr>
            <w:b/>
            <w:sz w:val="18"/>
            <w:szCs w:val="18"/>
          </w:rPr>
          <w:t>542-92-7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4B64472" w14:textId="0CA0C9E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544E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8E05E" w14:textId="77777777" w:rsidR="009B4334" w:rsidRDefault="009B43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4C2DF" w14:textId="77777777" w:rsidR="00307EF5" w:rsidRDefault="00307EF5" w:rsidP="00F43AD5">
      <w:pPr>
        <w:spacing w:after="0" w:line="240" w:lineRule="auto"/>
      </w:pPr>
      <w:r>
        <w:separator/>
      </w:r>
    </w:p>
  </w:footnote>
  <w:footnote w:type="continuationSeparator" w:id="0">
    <w:p w14:paraId="6FF37358" w14:textId="77777777" w:rsidR="00307EF5" w:rsidRDefault="00307EF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EB33" w14:textId="7F1A7C7A" w:rsidR="009B4334" w:rsidRDefault="009B43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AF79A" w14:textId="36266276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C92C5" w14:textId="29ECDE57" w:rsidR="009B4334" w:rsidRDefault="009B433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FD36E" w14:textId="7379A79E" w:rsidR="001544E7" w:rsidRDefault="001544E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8CD83" w14:textId="1D2041D3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862B8" w14:textId="799C125E" w:rsidR="001544E7" w:rsidRDefault="001544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A6A83"/>
    <w:multiLevelType w:val="hybridMultilevel"/>
    <w:tmpl w:val="B672BF3C"/>
    <w:lvl w:ilvl="0" w:tplc="6966D2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772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17FE2"/>
    <w:rsid w:val="00032B88"/>
    <w:rsid w:val="00046717"/>
    <w:rsid w:val="00046DF5"/>
    <w:rsid w:val="00051D22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6185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44E7"/>
    <w:rsid w:val="00160F47"/>
    <w:rsid w:val="00175592"/>
    <w:rsid w:val="00177CA1"/>
    <w:rsid w:val="00183823"/>
    <w:rsid w:val="00183942"/>
    <w:rsid w:val="00186E1A"/>
    <w:rsid w:val="001A009E"/>
    <w:rsid w:val="001A1287"/>
    <w:rsid w:val="001A3859"/>
    <w:rsid w:val="001A3C9D"/>
    <w:rsid w:val="001A43F8"/>
    <w:rsid w:val="001B79E5"/>
    <w:rsid w:val="001D0BC2"/>
    <w:rsid w:val="001D3D2C"/>
    <w:rsid w:val="001D56F0"/>
    <w:rsid w:val="001D663B"/>
    <w:rsid w:val="001D7B41"/>
    <w:rsid w:val="001E46DA"/>
    <w:rsid w:val="001E7D80"/>
    <w:rsid w:val="001F20DF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30E4"/>
    <w:rsid w:val="002E0611"/>
    <w:rsid w:val="002E0D61"/>
    <w:rsid w:val="002E4C7B"/>
    <w:rsid w:val="002F4868"/>
    <w:rsid w:val="0030740C"/>
    <w:rsid w:val="00307EF5"/>
    <w:rsid w:val="003134E3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2E0E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66A0"/>
    <w:rsid w:val="00417A56"/>
    <w:rsid w:val="00420957"/>
    <w:rsid w:val="00422A10"/>
    <w:rsid w:val="00430179"/>
    <w:rsid w:val="00430CF9"/>
    <w:rsid w:val="004414B5"/>
    <w:rsid w:val="00444482"/>
    <w:rsid w:val="00444B42"/>
    <w:rsid w:val="00445E44"/>
    <w:rsid w:val="004509E2"/>
    <w:rsid w:val="004515EE"/>
    <w:rsid w:val="004529F0"/>
    <w:rsid w:val="0045654E"/>
    <w:rsid w:val="00460A03"/>
    <w:rsid w:val="00472A11"/>
    <w:rsid w:val="00472AAD"/>
    <w:rsid w:val="00474E33"/>
    <w:rsid w:val="00476803"/>
    <w:rsid w:val="00481C6F"/>
    <w:rsid w:val="00485BFD"/>
    <w:rsid w:val="0048629E"/>
    <w:rsid w:val="004867A2"/>
    <w:rsid w:val="004873F2"/>
    <w:rsid w:val="00490D4C"/>
    <w:rsid w:val="00493A35"/>
    <w:rsid w:val="0049527A"/>
    <w:rsid w:val="004966BF"/>
    <w:rsid w:val="00496FDA"/>
    <w:rsid w:val="00497984"/>
    <w:rsid w:val="004A5088"/>
    <w:rsid w:val="004B5CF1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098B"/>
    <w:rsid w:val="00650905"/>
    <w:rsid w:val="006532ED"/>
    <w:rsid w:val="006549F2"/>
    <w:rsid w:val="006567B7"/>
    <w:rsid w:val="00657BFB"/>
    <w:rsid w:val="00661C5C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1D9E"/>
    <w:rsid w:val="006B4E6C"/>
    <w:rsid w:val="006B50B6"/>
    <w:rsid w:val="006D79EA"/>
    <w:rsid w:val="006E5D05"/>
    <w:rsid w:val="006E5E7E"/>
    <w:rsid w:val="00701053"/>
    <w:rsid w:val="00701507"/>
    <w:rsid w:val="00703A6C"/>
    <w:rsid w:val="00714021"/>
    <w:rsid w:val="00716A0F"/>
    <w:rsid w:val="00717D45"/>
    <w:rsid w:val="007208F7"/>
    <w:rsid w:val="00720B9E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106C"/>
    <w:rsid w:val="007F25E0"/>
    <w:rsid w:val="007F5328"/>
    <w:rsid w:val="00804F5A"/>
    <w:rsid w:val="0080747B"/>
    <w:rsid w:val="00810C6D"/>
    <w:rsid w:val="00812887"/>
    <w:rsid w:val="00826F21"/>
    <w:rsid w:val="00834CC8"/>
    <w:rsid w:val="00835E00"/>
    <w:rsid w:val="00837113"/>
    <w:rsid w:val="00837512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3B63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0B6E"/>
    <w:rsid w:val="008D23AB"/>
    <w:rsid w:val="008D423D"/>
    <w:rsid w:val="008D4B8B"/>
    <w:rsid w:val="008D5A78"/>
    <w:rsid w:val="008E7B64"/>
    <w:rsid w:val="008F5DCD"/>
    <w:rsid w:val="00900951"/>
    <w:rsid w:val="009118A6"/>
    <w:rsid w:val="009150F3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472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334"/>
    <w:rsid w:val="009B4843"/>
    <w:rsid w:val="009B6543"/>
    <w:rsid w:val="009C199D"/>
    <w:rsid w:val="009C278F"/>
    <w:rsid w:val="009C2B94"/>
    <w:rsid w:val="009C4B18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4483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0106"/>
    <w:rsid w:val="00A84504"/>
    <w:rsid w:val="00A8672F"/>
    <w:rsid w:val="00A93057"/>
    <w:rsid w:val="00A968B0"/>
    <w:rsid w:val="00AB2672"/>
    <w:rsid w:val="00AB2817"/>
    <w:rsid w:val="00AB43C4"/>
    <w:rsid w:val="00AC299A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6310"/>
    <w:rsid w:val="00B40C60"/>
    <w:rsid w:val="00B479A9"/>
    <w:rsid w:val="00B52EDF"/>
    <w:rsid w:val="00B53426"/>
    <w:rsid w:val="00B71188"/>
    <w:rsid w:val="00B76A41"/>
    <w:rsid w:val="00B87D4C"/>
    <w:rsid w:val="00B91E40"/>
    <w:rsid w:val="00B93646"/>
    <w:rsid w:val="00B96385"/>
    <w:rsid w:val="00B973A7"/>
    <w:rsid w:val="00BA0B38"/>
    <w:rsid w:val="00BA1DBB"/>
    <w:rsid w:val="00BA28A0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42197"/>
    <w:rsid w:val="00C473B5"/>
    <w:rsid w:val="00C5020E"/>
    <w:rsid w:val="00C5561E"/>
    <w:rsid w:val="00C57452"/>
    <w:rsid w:val="00C61EDF"/>
    <w:rsid w:val="00C6239D"/>
    <w:rsid w:val="00C6594B"/>
    <w:rsid w:val="00C67FFB"/>
    <w:rsid w:val="00C7155E"/>
    <w:rsid w:val="00C71786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4069"/>
    <w:rsid w:val="00CD498E"/>
    <w:rsid w:val="00CE5AD6"/>
    <w:rsid w:val="00CE617F"/>
    <w:rsid w:val="00CE78EF"/>
    <w:rsid w:val="00D048F7"/>
    <w:rsid w:val="00D0517E"/>
    <w:rsid w:val="00D116A9"/>
    <w:rsid w:val="00D13DA0"/>
    <w:rsid w:val="00D140FC"/>
    <w:rsid w:val="00D21D8C"/>
    <w:rsid w:val="00D26098"/>
    <w:rsid w:val="00D31357"/>
    <w:rsid w:val="00D33220"/>
    <w:rsid w:val="00D334D1"/>
    <w:rsid w:val="00D44C89"/>
    <w:rsid w:val="00D516CD"/>
    <w:rsid w:val="00D668E6"/>
    <w:rsid w:val="00D70670"/>
    <w:rsid w:val="00D73280"/>
    <w:rsid w:val="00D74D80"/>
    <w:rsid w:val="00D76624"/>
    <w:rsid w:val="00D87570"/>
    <w:rsid w:val="00D91CB9"/>
    <w:rsid w:val="00D929A0"/>
    <w:rsid w:val="00D92FE2"/>
    <w:rsid w:val="00D97989"/>
    <w:rsid w:val="00D97D8D"/>
    <w:rsid w:val="00DA352E"/>
    <w:rsid w:val="00DC7694"/>
    <w:rsid w:val="00DD1BF6"/>
    <w:rsid w:val="00DD2F9B"/>
    <w:rsid w:val="00DD51B4"/>
    <w:rsid w:val="00DE2513"/>
    <w:rsid w:val="00DE26E8"/>
    <w:rsid w:val="00DE4C13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3DEF"/>
    <w:rsid w:val="00E949AF"/>
    <w:rsid w:val="00E95B1C"/>
    <w:rsid w:val="00E96077"/>
    <w:rsid w:val="00EA0A06"/>
    <w:rsid w:val="00EA5156"/>
    <w:rsid w:val="00EA6243"/>
    <w:rsid w:val="00EA673B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1CE0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48629E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D51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1B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1B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1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1B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6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5CC3E79F285437981732A8903842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B7BED-1C55-47BF-8A5E-46E9BE603BD1}"/>
      </w:docPartPr>
      <w:docPartBody>
        <w:p w:rsidR="00546593" w:rsidRDefault="00D8161E" w:rsidP="00D8161E">
          <w:pPr>
            <w:pStyle w:val="25CC3E79F285437981732A890384288E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FBC2106C54834238830110CF99AC9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F5DF8-C897-4A38-9471-DF071831C3F0}"/>
      </w:docPartPr>
      <w:docPartBody>
        <w:p w:rsidR="003C63C6" w:rsidRDefault="005A313A" w:rsidP="005A313A">
          <w:pPr>
            <w:pStyle w:val="FBC2106C54834238830110CF99AC95F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23FB5"/>
    <w:rsid w:val="003C63C6"/>
    <w:rsid w:val="00546593"/>
    <w:rsid w:val="005A313A"/>
    <w:rsid w:val="007E6619"/>
    <w:rsid w:val="00C71786"/>
    <w:rsid w:val="00D21A9F"/>
    <w:rsid w:val="00D8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313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5CC3E79F285437981732A890384288E">
    <w:name w:val="25CC3E79F285437981732A890384288E"/>
    <w:rsid w:val="00D8161E"/>
  </w:style>
  <w:style w:type="paragraph" w:customStyle="1" w:styleId="FBC2106C54834238830110CF99AC95FE">
    <w:name w:val="FBC2106C54834238830110CF99AC95FE"/>
    <w:rsid w:val="005A31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F17D50-9F14-425E-BB19-64B592937440}">
  <ds:schemaRefs>
    <ds:schemaRef ds:uri="http://purl.org/dc/dcmitype/"/>
    <ds:schemaRef ds:uri="bf54d604-3e62-4e70-ba33-9e9084b96a66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7BFB73-137E-47CB-BD38-151DC705D4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FD6C09-93FF-4EDE-AD96-B66B84004D6B}"/>
</file>

<file path=customXml/itemProps4.xml><?xml version="1.0" encoding="utf-8"?>
<ds:datastoreItem xmlns:ds="http://schemas.openxmlformats.org/officeDocument/2006/customXml" ds:itemID="{5FD02253-280D-4777-883D-938881DF66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2019-10-10T02:55:00Z</dcterms:created>
  <dcterms:modified xsi:type="dcterms:W3CDTF">2025-12-22T03:47:00Z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2025-12-22T03:47:14Z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87e727e4-6ddf-483e-8c93-eff05a724d13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