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327FC0B2" w14:textId="542C2909" w:rsidR="00BD499F" w:rsidRPr="004C23F4" w:rsidRDefault="005C067B" w:rsidP="00B40C60">
          <w:pPr>
            <w:pStyle w:val="Heading1"/>
            <w:jc w:val="center"/>
            <w:rPr>
              <w:rFonts w:ascii="Arial" w:hAnsi="Arial" w:cs="Arial"/>
            </w:rPr>
          </w:pPr>
          <w:r w:rsidRPr="005C067B">
            <w:rPr>
              <w:rFonts w:ascii="Arial" w:hAnsi="Arial" w:cs="Arial"/>
            </w:rPr>
            <w:t>Cyclohexanol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5"/>
        <w:gridCol w:w="5051"/>
      </w:tblGrid>
      <w:tr w:rsidR="00F43AD5" w:rsidRPr="004C23F4" w14:paraId="6561528C" w14:textId="77777777" w:rsidTr="00CF4AEE">
        <w:trPr>
          <w:cantSplit/>
          <w:tblHeader/>
        </w:trPr>
        <w:tc>
          <w:tcPr>
            <w:tcW w:w="3975" w:type="dxa"/>
          </w:tcPr>
          <w:p w14:paraId="6A10442E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51" w:type="dxa"/>
          </w:tcPr>
          <w:p w14:paraId="0D14788C" w14:textId="5527D0D9" w:rsidR="00F43AD5" w:rsidRPr="00717D45" w:rsidRDefault="005C067B" w:rsidP="00B76A41">
            <w:pPr>
              <w:pStyle w:val="Tablefont"/>
            </w:pPr>
            <w:r w:rsidRPr="005C067B">
              <w:t>108-93-0</w:t>
            </w:r>
          </w:p>
        </w:tc>
      </w:tr>
      <w:tr w:rsidR="00F43AD5" w:rsidRPr="004C23F4" w14:paraId="6A7FDC54" w14:textId="77777777" w:rsidTr="00CF4AEE">
        <w:trPr>
          <w:cantSplit/>
        </w:trPr>
        <w:tc>
          <w:tcPr>
            <w:tcW w:w="3975" w:type="dxa"/>
          </w:tcPr>
          <w:p w14:paraId="61A8ADD5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51" w:type="dxa"/>
          </w:tcPr>
          <w:p w14:paraId="1F21B094" w14:textId="4F6966CE" w:rsidR="00F43AD5" w:rsidRPr="00717D45" w:rsidRDefault="005C067B" w:rsidP="00B76A41">
            <w:pPr>
              <w:pStyle w:val="Tablefont"/>
            </w:pPr>
            <w:r>
              <w:t xml:space="preserve">Cyclohexyl alcohol, </w:t>
            </w:r>
            <w:proofErr w:type="spellStart"/>
            <w:r w:rsidR="00C44175">
              <w:t>hexahydrophenol</w:t>
            </w:r>
            <w:proofErr w:type="spellEnd"/>
            <w:r>
              <w:t xml:space="preserve">, </w:t>
            </w:r>
            <w:proofErr w:type="spellStart"/>
            <w:r w:rsidR="00C44175">
              <w:t>hydralin</w:t>
            </w:r>
            <w:proofErr w:type="spellEnd"/>
            <w:r>
              <w:t xml:space="preserve">, </w:t>
            </w:r>
            <w:proofErr w:type="spellStart"/>
            <w:r w:rsidR="00C44175">
              <w:t>hydroxycyclohexane</w:t>
            </w:r>
            <w:proofErr w:type="spellEnd"/>
          </w:p>
        </w:tc>
      </w:tr>
      <w:tr w:rsidR="00F43AD5" w:rsidRPr="004C23F4" w14:paraId="0C5D1FD3" w14:textId="77777777" w:rsidTr="00CF4AEE">
        <w:trPr>
          <w:cantSplit/>
        </w:trPr>
        <w:tc>
          <w:tcPr>
            <w:tcW w:w="3975" w:type="dxa"/>
          </w:tcPr>
          <w:p w14:paraId="4634760E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51" w:type="dxa"/>
          </w:tcPr>
          <w:p w14:paraId="65A1D45F" w14:textId="0FC3E25E" w:rsidR="00F43AD5" w:rsidRPr="00717D45" w:rsidRDefault="005C067B" w:rsidP="00B76A41">
            <w:pPr>
              <w:pStyle w:val="Tablefont"/>
            </w:pPr>
            <w:r>
              <w:t>C</w:t>
            </w:r>
            <w:r w:rsidRPr="005C067B">
              <w:rPr>
                <w:vertAlign w:val="subscript"/>
              </w:rPr>
              <w:t>6</w:t>
            </w:r>
            <w:r>
              <w:t>H</w:t>
            </w:r>
            <w:r w:rsidRPr="005C067B">
              <w:rPr>
                <w:vertAlign w:val="subscript"/>
              </w:rPr>
              <w:t>12</w:t>
            </w:r>
            <w:r>
              <w:t>O</w:t>
            </w:r>
          </w:p>
        </w:tc>
      </w:tr>
    </w:tbl>
    <w:p w14:paraId="7A1431D9" w14:textId="67F7F40E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5642E7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2471FADC" w14:textId="77777777" w:rsidTr="00CA56C3">
        <w:trPr>
          <w:cantSplit/>
          <w:tblHeader/>
        </w:trPr>
        <w:tc>
          <w:tcPr>
            <w:tcW w:w="3997" w:type="dxa"/>
            <w:vAlign w:val="center"/>
          </w:tcPr>
          <w:p w14:paraId="73C95A46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9" w:type="dxa"/>
          </w:tcPr>
          <w:p w14:paraId="0E9926CB" w14:textId="64D77A5C" w:rsidR="002C7AFE" w:rsidRPr="00FA7B3C" w:rsidRDefault="00FA7B3C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50 ppm (206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17F76A9F" w14:textId="77777777" w:rsidTr="00CA56C3">
        <w:trPr>
          <w:cantSplit/>
        </w:trPr>
        <w:tc>
          <w:tcPr>
            <w:tcW w:w="3997" w:type="dxa"/>
            <w:vAlign w:val="center"/>
          </w:tcPr>
          <w:p w14:paraId="43B19DD7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9" w:type="dxa"/>
          </w:tcPr>
          <w:p w14:paraId="10012BBB" w14:textId="4DB44D36" w:rsidR="002C7AFE" w:rsidRPr="00EB3D1B" w:rsidRDefault="00FA7B3C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70F1EEC" w14:textId="77777777" w:rsidTr="00CA56C3">
        <w:trPr>
          <w:cantSplit/>
        </w:trPr>
        <w:tc>
          <w:tcPr>
            <w:tcW w:w="3997" w:type="dxa"/>
            <w:vAlign w:val="center"/>
          </w:tcPr>
          <w:p w14:paraId="09C20665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9" w:type="dxa"/>
          </w:tcPr>
          <w:p w14:paraId="737BFFBE" w14:textId="05962112" w:rsidR="002C7AFE" w:rsidRPr="00EB3D1B" w:rsidRDefault="00FA7B3C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5858A9CB" w14:textId="77777777" w:rsidTr="00CA56C3">
        <w:trPr>
          <w:cantSplit/>
        </w:trPr>
        <w:tc>
          <w:tcPr>
            <w:tcW w:w="3997" w:type="dxa"/>
          </w:tcPr>
          <w:p w14:paraId="1A222A2A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9" w:type="dxa"/>
          </w:tcPr>
          <w:p w14:paraId="2BB84C6D" w14:textId="7261C934" w:rsidR="002C7AFE" w:rsidRPr="00EB3D1B" w:rsidRDefault="00FA7B3C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</w:t>
            </w:r>
            <w:r w:rsidR="001B3A99">
              <w:rPr>
                <w:b/>
              </w:rPr>
              <w:t>.</w:t>
            </w:r>
          </w:p>
        </w:tc>
      </w:tr>
      <w:tr w:rsidR="002C7AFE" w:rsidRPr="004C23F4" w14:paraId="135009C0" w14:textId="77777777" w:rsidTr="00CA56C3">
        <w:trPr>
          <w:cantSplit/>
        </w:trPr>
        <w:tc>
          <w:tcPr>
            <w:tcW w:w="3997" w:type="dxa"/>
            <w:vAlign w:val="center"/>
          </w:tcPr>
          <w:p w14:paraId="5C76B36D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9" w:type="dxa"/>
          </w:tcPr>
          <w:p w14:paraId="50CE3EE7" w14:textId="141A4C19" w:rsidR="002C7AFE" w:rsidRPr="00EB3D1B" w:rsidRDefault="005C067B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400 ppm</w:t>
            </w:r>
          </w:p>
        </w:tc>
      </w:tr>
      <w:tr w:rsidR="00CA56C3" w:rsidRPr="004C23F4" w14:paraId="0394E0D6" w14:textId="77777777" w:rsidTr="002D2AB3">
        <w:trPr>
          <w:cantSplit/>
        </w:trPr>
        <w:tc>
          <w:tcPr>
            <w:tcW w:w="9026" w:type="dxa"/>
            <w:gridSpan w:val="2"/>
          </w:tcPr>
          <w:p w14:paraId="17BB32B4" w14:textId="1683FB68" w:rsidR="00CA56C3" w:rsidRPr="00CA56C3" w:rsidRDefault="00CA56C3" w:rsidP="006C6822">
            <w:pPr>
              <w:pStyle w:val="Tablefont"/>
              <w:ind w:left="-113"/>
            </w:pPr>
            <w:r w:rsidRPr="00A86277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122D60D8A16E46D9A9DD42F18E9242DF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A86277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01822EA0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1E10EEF" w14:textId="136E9B4E" w:rsidR="00684D97" w:rsidRDefault="007F7FB3" w:rsidP="000C139A">
      <w:pPr>
        <w:rPr>
          <w:rFonts w:cs="Arial"/>
        </w:rPr>
      </w:pPr>
      <w:r w:rsidRPr="007F7FB3">
        <w:rPr>
          <w:rFonts w:cs="Arial"/>
        </w:rPr>
        <w:t xml:space="preserve">A TWA of </w:t>
      </w:r>
      <w:r>
        <w:rPr>
          <w:rFonts w:cs="Arial"/>
        </w:rPr>
        <w:t>50</w:t>
      </w:r>
      <w:r w:rsidRPr="007F7FB3">
        <w:rPr>
          <w:rFonts w:cs="Arial"/>
        </w:rPr>
        <w:t xml:space="preserve"> ppm (</w:t>
      </w:r>
      <w:r>
        <w:rPr>
          <w:rFonts w:cs="Arial"/>
        </w:rPr>
        <w:t>206</w:t>
      </w:r>
      <w:r w:rsidRPr="007F7FB3">
        <w:rPr>
          <w:rFonts w:cs="Arial"/>
        </w:rPr>
        <w:t xml:space="preserve"> mg/m</w:t>
      </w:r>
      <w:r w:rsidRPr="007F7FB3">
        <w:rPr>
          <w:rFonts w:cs="Arial"/>
          <w:vertAlign w:val="superscript"/>
        </w:rPr>
        <w:t>3</w:t>
      </w:r>
      <w:r w:rsidRPr="007F7FB3">
        <w:rPr>
          <w:rFonts w:cs="Arial"/>
        </w:rPr>
        <w:t xml:space="preserve">) is recommended to protect for </w:t>
      </w:r>
      <w:r>
        <w:rPr>
          <w:rFonts w:cs="Arial"/>
        </w:rPr>
        <w:t xml:space="preserve">eye irritation </w:t>
      </w:r>
      <w:r w:rsidR="00AF2635">
        <w:rPr>
          <w:rFonts w:cs="Arial"/>
        </w:rPr>
        <w:t>and potential central nervous system</w:t>
      </w:r>
      <w:r w:rsidR="00CF4AEE">
        <w:rPr>
          <w:rFonts w:cs="Arial"/>
        </w:rPr>
        <w:t xml:space="preserve"> (CNS)</w:t>
      </w:r>
      <w:r w:rsidR="00AF2635">
        <w:rPr>
          <w:rFonts w:cs="Arial"/>
        </w:rPr>
        <w:t xml:space="preserve"> effects </w:t>
      </w:r>
      <w:r w:rsidRPr="007F7FB3">
        <w:rPr>
          <w:rFonts w:cs="Arial"/>
        </w:rPr>
        <w:t>in exposed workers.</w:t>
      </w:r>
      <w:r>
        <w:rPr>
          <w:rFonts w:cs="Arial"/>
        </w:rPr>
        <w:t xml:space="preserve"> </w:t>
      </w:r>
    </w:p>
    <w:p w14:paraId="06CB0720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8747123" w14:textId="77777777" w:rsidR="00CF4AEE" w:rsidRDefault="00B22BBC" w:rsidP="006639B4">
      <w:r>
        <w:rPr>
          <w:rFonts w:cs="Arial"/>
        </w:rPr>
        <w:t>Cyclohexanol</w:t>
      </w:r>
      <w:r w:rsidR="00FA7B3C">
        <w:rPr>
          <w:rFonts w:cs="Arial"/>
        </w:rPr>
        <w:t xml:space="preserve"> is manufactured from either cyclohexane or phenol, which may form cyclohexanone as a by-product. It is used in the production of nylon, paints, plastics, degreasers, detergents and insecticides.</w:t>
      </w:r>
      <w:r w:rsidR="00B366FC" w:rsidRPr="00B366FC">
        <w:t xml:space="preserve"> </w:t>
      </w:r>
    </w:p>
    <w:p w14:paraId="067D18BF" w14:textId="77777777" w:rsidR="00CF4AEE" w:rsidRDefault="00FA7B3C" w:rsidP="006639B4">
      <w:r>
        <w:t xml:space="preserve">Critical effects of exposure are eye irritation and depression of the </w:t>
      </w:r>
      <w:r w:rsidR="00CF4AEE">
        <w:t>CNS</w:t>
      </w:r>
      <w:r>
        <w:t xml:space="preserve"> at higher concentrations. </w:t>
      </w:r>
      <w:r w:rsidR="005642E7">
        <w:t xml:space="preserve">Chronic exposure data for both humans and animals are very limited. Based on the available data, irritation effects </w:t>
      </w:r>
      <w:r w:rsidR="008D43A3">
        <w:t xml:space="preserve">in humans </w:t>
      </w:r>
      <w:r w:rsidR="00343112">
        <w:t>may be</w:t>
      </w:r>
      <w:r w:rsidR="005642E7">
        <w:t xml:space="preserve"> prevented at concentrations below 100 ppm (ACG</w:t>
      </w:r>
      <w:r w:rsidR="00343112">
        <w:t>IH, 2018) and bioaccumulation of the substance is unlikely at concentrations below 50 ppm</w:t>
      </w:r>
      <w:r w:rsidR="00D52F30">
        <w:t xml:space="preserve"> based on toxicokinetic </w:t>
      </w:r>
      <w:r w:rsidR="00AF2635">
        <w:t>findings in</w:t>
      </w:r>
      <w:r w:rsidR="00D52F30">
        <w:t xml:space="preserve"> rabbits</w:t>
      </w:r>
      <w:r w:rsidR="00343112">
        <w:t xml:space="preserve"> (DFG, 2010). Narcotic effects in humans have not been investigated in the available studies</w:t>
      </w:r>
      <w:r w:rsidR="00BB60F9">
        <w:t xml:space="preserve">. </w:t>
      </w:r>
      <w:r w:rsidR="0068478B">
        <w:t>A</w:t>
      </w:r>
      <w:r w:rsidR="00BB60F9">
        <w:t xml:space="preserve"> sub-chronic inhalation study reported that </w:t>
      </w:r>
      <w:r w:rsidR="00343112">
        <w:t xml:space="preserve">concentrations of </w:t>
      </w:r>
      <w:r w:rsidR="00C44175">
        <w:t>997</w:t>
      </w:r>
      <w:r w:rsidR="00C52B72">
        <w:t> </w:t>
      </w:r>
      <w:r w:rsidR="00343112">
        <w:t xml:space="preserve">ppm </w:t>
      </w:r>
      <w:r w:rsidR="00BB60F9">
        <w:t xml:space="preserve">caused </w:t>
      </w:r>
      <w:r w:rsidR="008D43A3">
        <w:t xml:space="preserve">narcotic </w:t>
      </w:r>
      <w:r w:rsidR="00343112">
        <w:t>effects</w:t>
      </w:r>
      <w:r w:rsidR="00BB60F9">
        <w:t xml:space="preserve"> in rabbits </w:t>
      </w:r>
      <w:r w:rsidR="00343112">
        <w:t xml:space="preserve">(ACGIH, 2018). </w:t>
      </w:r>
    </w:p>
    <w:p w14:paraId="4BD7CCB6" w14:textId="578943FA" w:rsidR="00343112" w:rsidRPr="004C23F4" w:rsidRDefault="008D43A3" w:rsidP="006639B4">
      <w:pPr>
        <w:rPr>
          <w:rFonts w:cs="Arial"/>
        </w:rPr>
      </w:pPr>
      <w:r>
        <w:t xml:space="preserve">Based on available human and animal studies, a TLV-TWA of 50 ppm is </w:t>
      </w:r>
      <w:r w:rsidR="00404B61">
        <w:t>recommended</w:t>
      </w:r>
      <w:r w:rsidRPr="008D43A3">
        <w:t xml:space="preserve"> </w:t>
      </w:r>
      <w:r>
        <w:t>by the ACGIH</w:t>
      </w:r>
      <w:r w:rsidR="000766E0">
        <w:t>.</w:t>
      </w:r>
      <w:r w:rsidR="00CF4AEE">
        <w:t xml:space="preserve"> </w:t>
      </w:r>
      <w:r w:rsidR="009126A2">
        <w:t>Given the limited chronic exposure data</w:t>
      </w:r>
      <w:r w:rsidR="007864A1">
        <w:t>, t</w:t>
      </w:r>
      <w:r w:rsidR="00925337">
        <w:t xml:space="preserve">he </w:t>
      </w:r>
      <w:r w:rsidR="00753AA9">
        <w:t xml:space="preserve">current </w:t>
      </w:r>
      <w:r w:rsidR="00343112">
        <w:t xml:space="preserve">TWA of 50 ppm </w:t>
      </w:r>
      <w:r w:rsidR="0068478B">
        <w:t xml:space="preserve">by ACGIH (2018) </w:t>
      </w:r>
      <w:r w:rsidR="00343112">
        <w:t>is</w:t>
      </w:r>
      <w:r w:rsidR="00925337">
        <w:t xml:space="preserve"> </w:t>
      </w:r>
      <w:r w:rsidR="00753AA9">
        <w:t>retained</w:t>
      </w:r>
      <w:r w:rsidR="0068478B">
        <w:t xml:space="preserve"> and</w:t>
      </w:r>
      <w:r w:rsidR="007864A1">
        <w:t xml:space="preserve"> is </w:t>
      </w:r>
      <w:r w:rsidR="00C24AAE">
        <w:t xml:space="preserve">considered </w:t>
      </w:r>
      <w:r w:rsidR="007F7FB3">
        <w:t xml:space="preserve">to protect for </w:t>
      </w:r>
      <w:r w:rsidR="00AA25FD">
        <w:t xml:space="preserve">eye </w:t>
      </w:r>
      <w:r w:rsidR="007F7FB3">
        <w:t xml:space="preserve">irritation and potential </w:t>
      </w:r>
      <w:r w:rsidR="00C41558">
        <w:t>narcosis</w:t>
      </w:r>
      <w:r w:rsidR="00AA25FD">
        <w:t>.</w:t>
      </w:r>
    </w:p>
    <w:p w14:paraId="7D210A5F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49A0E9B4" w14:textId="6F3AE84F" w:rsidR="005C067B" w:rsidRPr="005C067B" w:rsidRDefault="005C067B" w:rsidP="005C067B">
      <w:pPr>
        <w:rPr>
          <w:rFonts w:cs="Arial"/>
        </w:rPr>
      </w:pPr>
      <w:r w:rsidRPr="005C067B">
        <w:rPr>
          <w:rFonts w:cs="Arial"/>
        </w:rPr>
        <w:t>Not classified as a carcinogen according to the Globally Harmonized System of Classification and Labelling o</w:t>
      </w:r>
      <w:r w:rsidR="006C341E">
        <w:rPr>
          <w:rFonts w:cs="Arial"/>
        </w:rPr>
        <w:t>f</w:t>
      </w:r>
      <w:r w:rsidRPr="005C067B">
        <w:rPr>
          <w:rFonts w:cs="Arial"/>
        </w:rPr>
        <w:t xml:space="preserve"> Chemicals (GHS). </w:t>
      </w:r>
    </w:p>
    <w:p w14:paraId="5841DCA0" w14:textId="39EB78D0" w:rsidR="00C46BF0" w:rsidRDefault="005C067B" w:rsidP="00C46BF0">
      <w:pPr>
        <w:rPr>
          <w:rFonts w:cs="Arial"/>
        </w:rPr>
      </w:pPr>
      <w:r w:rsidRPr="005C067B">
        <w:rPr>
          <w:rFonts w:cs="Arial"/>
        </w:rPr>
        <w:t>Not classified as a skin</w:t>
      </w:r>
      <w:r w:rsidR="00684D97">
        <w:rPr>
          <w:rFonts w:cs="Arial"/>
        </w:rPr>
        <w:t xml:space="preserve"> sensitiser</w:t>
      </w:r>
      <w:r w:rsidRPr="005C067B">
        <w:rPr>
          <w:rFonts w:cs="Arial"/>
        </w:rPr>
        <w:t xml:space="preserve"> or respiratory </w:t>
      </w:r>
      <w:r w:rsidR="00C46BF0">
        <w:rPr>
          <w:rFonts w:cs="Arial"/>
        </w:rPr>
        <w:t>sensitiser according to the GHS.</w:t>
      </w:r>
    </w:p>
    <w:p w14:paraId="68B1F57D" w14:textId="36874BED" w:rsidR="00C46BF0" w:rsidRPr="004C23F4" w:rsidRDefault="00C46BF0" w:rsidP="00C46BF0">
      <w:pPr>
        <w:rPr>
          <w:rFonts w:cs="Arial"/>
        </w:rPr>
        <w:sectPr w:rsidR="00C46BF0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 w:rsidRPr="00C46BF0">
        <w:rPr>
          <w:rFonts w:cs="Arial"/>
        </w:rPr>
        <w:t xml:space="preserve">A skin notation </w:t>
      </w:r>
      <w:r w:rsidR="00CF4AEE">
        <w:rPr>
          <w:rFonts w:cs="Arial"/>
        </w:rPr>
        <w:t>is</w:t>
      </w:r>
      <w:r w:rsidRPr="00C46BF0">
        <w:rPr>
          <w:rFonts w:cs="Arial"/>
        </w:rPr>
        <w:t xml:space="preserve"> recommended based on evidence suggesting potential dermal absorption and adverse systemic effects in </w:t>
      </w:r>
      <w:r w:rsidR="00DD1DD2">
        <w:rPr>
          <w:rFonts w:cs="Arial"/>
        </w:rPr>
        <w:t>animals</w:t>
      </w:r>
      <w:r w:rsidRPr="00C46BF0">
        <w:rPr>
          <w:rFonts w:cs="Arial"/>
        </w:rPr>
        <w:t>.</w:t>
      </w:r>
      <w:r>
        <w:rPr>
          <w:rFonts w:cs="Arial"/>
        </w:rPr>
        <w:t xml:space="preserve"> </w:t>
      </w:r>
    </w:p>
    <w:p w14:paraId="15552D48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FB6DFFF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3E18607A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5BC265C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50449F8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483A05FB" w14:textId="3B990E73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5C067B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5C067B">
                  <w:t>TWA: 50 ppm (206 mg/m</w:t>
                </w:r>
                <w:r w:rsidR="005C067B" w:rsidRPr="005C067B">
                  <w:rPr>
                    <w:vertAlign w:val="superscript"/>
                  </w:rPr>
                  <w:t>3</w:t>
                </w:r>
                <w:r w:rsidR="005C067B">
                  <w:t>)</w:t>
                </w:r>
              </w:sdtContent>
            </w:sdt>
          </w:p>
        </w:tc>
      </w:tr>
      <w:tr w:rsidR="00C978F0" w:rsidRPr="00DA352E" w14:paraId="6CFE48B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0969C7D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1E3655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23978FD" w14:textId="23291E93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5C067B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5C067B">
                  <w:t>TLV-TWA: 50 ppm (206 mg/m</w:t>
                </w:r>
                <w:r w:rsidR="005C067B" w:rsidRPr="005C067B">
                  <w:rPr>
                    <w:vertAlign w:val="superscript"/>
                  </w:rPr>
                  <w:t>3</w:t>
                </w:r>
                <w:r w:rsidR="005C067B">
                  <w:t>)</w:t>
                </w:r>
              </w:sdtContent>
            </w:sdt>
          </w:p>
        </w:tc>
      </w:tr>
      <w:tr w:rsidR="00C978F0" w:rsidRPr="002C034E" w14:paraId="238C288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B8CCFD2" w14:textId="77777777" w:rsidR="00CF4AEE" w:rsidRDefault="009D392A" w:rsidP="003365A5">
            <w:pPr>
              <w:pStyle w:val="Tabletextprimarysource"/>
            </w:pPr>
            <w:r>
              <w:t xml:space="preserve">TLV-TWA intended to protect for eye irritation and potential narcosis and incoordination. </w:t>
            </w:r>
          </w:p>
          <w:p w14:paraId="67A2B84F" w14:textId="45237002" w:rsidR="00C978F0" w:rsidRDefault="009D392A" w:rsidP="003365A5">
            <w:pPr>
              <w:pStyle w:val="Tabletextprimarysource"/>
            </w:pPr>
            <w:r>
              <w:t>A skin notation is recommended based on dermal application studies with rabbits, which reported systemic effects such as narcosis, tremors, hypothermia and death. Insufficient data to recommend a TLV-STEL or notations for carcinogenicity or sensitisation.</w:t>
            </w:r>
          </w:p>
          <w:p w14:paraId="022FAB05" w14:textId="231311AB" w:rsidR="009D392A" w:rsidRDefault="009D392A" w:rsidP="003365A5">
            <w:pPr>
              <w:pStyle w:val="Tabletextprimarysource"/>
            </w:pPr>
            <w:r>
              <w:t>Summary of data:</w:t>
            </w:r>
          </w:p>
          <w:p w14:paraId="2D999AAC" w14:textId="78DB2B6F" w:rsidR="009D392A" w:rsidRDefault="00B366FC" w:rsidP="003365A5">
            <w:pPr>
              <w:pStyle w:val="Tabletextprimarysource"/>
            </w:pPr>
            <w:r>
              <w:t xml:space="preserve">TLV-TWA is based on </w:t>
            </w:r>
            <w:r w:rsidR="000219C7">
              <w:t xml:space="preserve">limited acute </w:t>
            </w:r>
            <w:r>
              <w:t>human</w:t>
            </w:r>
            <w:r w:rsidR="000219C7">
              <w:t xml:space="preserve"> and sub</w:t>
            </w:r>
            <w:r w:rsidR="008B5AEB">
              <w:t>-</w:t>
            </w:r>
            <w:r w:rsidR="000219C7">
              <w:t>chronic animal</w:t>
            </w:r>
            <w:r>
              <w:t xml:space="preserve"> </w:t>
            </w:r>
            <w:r w:rsidR="000219C7">
              <w:t>studies that cite eye irritation and systemic effects as the critical effects of exposure.</w:t>
            </w:r>
          </w:p>
          <w:p w14:paraId="0F7C1B5E" w14:textId="77777777" w:rsidR="009D392A" w:rsidRDefault="009D392A" w:rsidP="003365A5">
            <w:pPr>
              <w:pStyle w:val="Tabletextprimarysource"/>
            </w:pPr>
            <w:r>
              <w:t>Human data:</w:t>
            </w:r>
          </w:p>
          <w:p w14:paraId="410E3950" w14:textId="1AC85626" w:rsidR="009D392A" w:rsidRDefault="009D392A" w:rsidP="008B0DE8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Odour threshold: 0.15 ppm</w:t>
            </w:r>
          </w:p>
          <w:p w14:paraId="7DBDF0AC" w14:textId="6B360EAE" w:rsidR="000219C7" w:rsidRDefault="000219C7" w:rsidP="008B0DE8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Acceptable concentration for 8</w:t>
            </w:r>
            <w:r w:rsidR="00C44175">
              <w:t xml:space="preserve"> </w:t>
            </w:r>
            <w:r>
              <w:t>h exposure estimated at &lt;100 from volunteer inhalation study (n=10, 3</w:t>
            </w:r>
            <w:r w:rsidR="00C44175">
              <w:t>–</w:t>
            </w:r>
            <w:r>
              <w:t>5 min exposures, test concentrations not specified)</w:t>
            </w:r>
          </w:p>
          <w:p w14:paraId="13DE27F5" w14:textId="4A77293A" w:rsidR="00D52F30" w:rsidRDefault="00D52F30" w:rsidP="008B0DE8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 xml:space="preserve">Non-specific autonomic nervous system disturbances in 114 individuals (n=174 women and 279 men) exposed above a “permitted” concentration (not specified) in a study </w:t>
            </w:r>
            <w:r w:rsidR="00CF4AEE">
              <w:t xml:space="preserve">of individuals exposed over a 2 </w:t>
            </w:r>
            <w:r>
              <w:t>yr period (frequency not specified); compared with 8</w:t>
            </w:r>
            <w:r w:rsidR="00F04A43">
              <w:t xml:space="preserve"> of 100 individuals in an unexposed control group</w:t>
            </w:r>
          </w:p>
          <w:p w14:paraId="27630FE3" w14:textId="6CFABE02" w:rsidR="00684D97" w:rsidRDefault="000219C7" w:rsidP="00CF4AEE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Evidence of erythema or oedema in 48</w:t>
            </w:r>
            <w:r w:rsidR="00C44175">
              <w:t xml:space="preserve"> </w:t>
            </w:r>
            <w:r>
              <w:t>h patch with 4% in petrolatum</w:t>
            </w:r>
            <w:r w:rsidR="00684D97">
              <w:t>.</w:t>
            </w:r>
          </w:p>
          <w:p w14:paraId="688DA93C" w14:textId="77777777" w:rsidR="009D392A" w:rsidRDefault="009D392A" w:rsidP="009D392A">
            <w:pPr>
              <w:pStyle w:val="Tabletextprimarysource"/>
            </w:pPr>
            <w:r>
              <w:t>Animal data:</w:t>
            </w:r>
          </w:p>
          <w:p w14:paraId="31655865" w14:textId="2421234C" w:rsidR="009D392A" w:rsidRDefault="009D392A" w:rsidP="008B0DE8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LD</w:t>
            </w:r>
            <w:r w:rsidRPr="00173D88">
              <w:rPr>
                <w:vertAlign w:val="subscript"/>
              </w:rPr>
              <w:t>50</w:t>
            </w:r>
            <w:r>
              <w:t>: 2</w:t>
            </w:r>
            <w:r w:rsidR="009954DA">
              <w:t>,</w:t>
            </w:r>
            <w:r>
              <w:t>060 mg/k</w:t>
            </w:r>
            <w:r w:rsidR="00B43AFF">
              <w:t>g (rat</w:t>
            </w:r>
            <w:r w:rsidR="001B3A99">
              <w:t>, oral</w:t>
            </w:r>
            <w:r w:rsidR="00B43AFF">
              <w:t>)</w:t>
            </w:r>
          </w:p>
          <w:p w14:paraId="4FE5EC51" w14:textId="75A703F9" w:rsidR="001B3A99" w:rsidRDefault="00B43AFF" w:rsidP="008B0DE8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LD</w:t>
            </w:r>
            <w:r w:rsidRPr="00173D88">
              <w:rPr>
                <w:vertAlign w:val="subscript"/>
              </w:rPr>
              <w:t>50</w:t>
            </w:r>
            <w:r>
              <w:t>: 270 mg/kg (mouse</w:t>
            </w:r>
            <w:r w:rsidR="001B3A99">
              <w:t>, intravenous</w:t>
            </w:r>
            <w:r>
              <w:t>)</w:t>
            </w:r>
          </w:p>
          <w:p w14:paraId="76597B0F" w14:textId="1BD7BFEC" w:rsidR="00B43AFF" w:rsidRDefault="00B43AFF" w:rsidP="008B0DE8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LD</w:t>
            </w:r>
            <w:r w:rsidRPr="00173D88">
              <w:rPr>
                <w:vertAlign w:val="subscript"/>
              </w:rPr>
              <w:t>50</w:t>
            </w:r>
            <w:r>
              <w:t>: 1</w:t>
            </w:r>
            <w:r w:rsidR="009954DA">
              <w:t>,</w:t>
            </w:r>
            <w:r>
              <w:t>000 mg/kg (mouse</w:t>
            </w:r>
            <w:r w:rsidR="001B3A99">
              <w:t>, intramuscular</w:t>
            </w:r>
            <w:r>
              <w:t>)</w:t>
            </w:r>
          </w:p>
          <w:p w14:paraId="61A96E39" w14:textId="427D28AE" w:rsidR="00B43AFF" w:rsidRDefault="00B43AFF" w:rsidP="008B0DE8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Moderate to severe reversible eye irritation in rabbits; slight irritation on skin</w:t>
            </w:r>
          </w:p>
          <w:p w14:paraId="55623856" w14:textId="77777777" w:rsidR="00F04A43" w:rsidRDefault="00F04A43" w:rsidP="00AF2635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Acute dermal application with rabbits results in narcosis, tremors, hypothermia and death at toxic concentrations (not specified, no further information provided)</w:t>
            </w:r>
          </w:p>
          <w:p w14:paraId="0A74509A" w14:textId="4779E7BA" w:rsidR="00F04A43" w:rsidRDefault="00F04A43" w:rsidP="00AF2635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Temporary erythema and sloughing of skin in s</w:t>
            </w:r>
            <w:r w:rsidR="00B43AFF">
              <w:t>ub</w:t>
            </w:r>
            <w:r w:rsidR="000643D1">
              <w:t>-</w:t>
            </w:r>
            <w:r w:rsidR="00B43AFF">
              <w:t>chronic</w:t>
            </w:r>
            <w:r>
              <w:t xml:space="preserve"> repeat/prolonged dermal application study with 15% ointment (rabbits, amount and solvent not specified, 10 d)</w:t>
            </w:r>
          </w:p>
          <w:p w14:paraId="1143D661" w14:textId="7DFF4DB4" w:rsidR="00F04A43" w:rsidRDefault="00654121" w:rsidP="000643D1">
            <w:pPr>
              <w:pStyle w:val="Tabletextprimarysource"/>
              <w:numPr>
                <w:ilvl w:val="1"/>
                <w:numId w:val="1"/>
              </w:numPr>
            </w:pPr>
            <w:r>
              <w:t>d</w:t>
            </w:r>
            <w:r w:rsidR="00F04A43">
              <w:t xml:space="preserve">eath </w:t>
            </w:r>
            <w:r w:rsidR="00CF4AEE">
              <w:t xml:space="preserve">reported </w:t>
            </w:r>
            <w:r w:rsidR="00F04A43">
              <w:t>after 11 d, preceded by narcosis, tremors, and hypothermia</w:t>
            </w:r>
          </w:p>
          <w:p w14:paraId="07B3327A" w14:textId="1480A33C" w:rsidR="00E25280" w:rsidRDefault="00E25280" w:rsidP="008B0DE8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Eye irritation, salivation, narcosis and mild convulsions in sub</w:t>
            </w:r>
            <w:r w:rsidR="008B5AEB">
              <w:t>-</w:t>
            </w:r>
            <w:r>
              <w:t>chronic inhalational stud</w:t>
            </w:r>
            <w:r w:rsidR="00B22BBC">
              <w:t>ies</w:t>
            </w:r>
            <w:r>
              <w:t xml:space="preserve"> at 1</w:t>
            </w:r>
            <w:r w:rsidR="009954DA">
              <w:t>,</w:t>
            </w:r>
            <w:r>
              <w:t xml:space="preserve">229 ppm for 150 h or at 997 ppm for 300 h (rabbits, </w:t>
            </w:r>
            <w:r w:rsidR="008C6241">
              <w:t>6 h/d, 5</w:t>
            </w:r>
            <w:r w:rsidR="00C44175">
              <w:t>–</w:t>
            </w:r>
            <w:r w:rsidR="008C6241">
              <w:t>11 wk)</w:t>
            </w:r>
            <w:r w:rsidR="00F91BEC">
              <w:t>:</w:t>
            </w:r>
            <w:r>
              <w:t xml:space="preserve"> </w:t>
            </w:r>
          </w:p>
          <w:p w14:paraId="3938BC13" w14:textId="51EDA40A" w:rsidR="008C6241" w:rsidRDefault="00684D97" w:rsidP="008B0DE8">
            <w:pPr>
              <w:pStyle w:val="Tabletextprimarysource"/>
              <w:numPr>
                <w:ilvl w:val="1"/>
                <w:numId w:val="1"/>
              </w:numPr>
              <w:tabs>
                <w:tab w:val="left" w:pos="2654"/>
              </w:tabs>
              <w:ind w:left="1094" w:hanging="357"/>
            </w:pPr>
            <w:r>
              <w:t>d</w:t>
            </w:r>
            <w:r w:rsidR="00E25280">
              <w:t xml:space="preserve">eath occurred in 50% of animals </w:t>
            </w:r>
            <w:r w:rsidR="008C6241">
              <w:t xml:space="preserve">and degeneration of the heart, brain, liver and kidneys </w:t>
            </w:r>
            <w:r w:rsidR="00B22BBC">
              <w:t xml:space="preserve">observed </w:t>
            </w:r>
            <w:r w:rsidR="008C6241">
              <w:t>at these concentrations</w:t>
            </w:r>
          </w:p>
          <w:p w14:paraId="638E93EC" w14:textId="108A77C8" w:rsidR="00E25280" w:rsidRDefault="00684D97" w:rsidP="008B0DE8">
            <w:pPr>
              <w:pStyle w:val="Tabletextprimarysource"/>
              <w:numPr>
                <w:ilvl w:val="1"/>
                <w:numId w:val="1"/>
              </w:numPr>
              <w:tabs>
                <w:tab w:val="left" w:pos="2654"/>
              </w:tabs>
              <w:ind w:left="1094" w:hanging="357"/>
            </w:pPr>
            <w:r>
              <w:t>s</w:t>
            </w:r>
            <w:r w:rsidR="008C6241">
              <w:t>light liver and kidney degeneration at 145 ppm</w:t>
            </w:r>
            <w:r w:rsidR="00B22BBC">
              <w:t xml:space="preserve"> in related study</w:t>
            </w:r>
          </w:p>
          <w:p w14:paraId="33E5213D" w14:textId="4EF18902" w:rsidR="008C6241" w:rsidRDefault="008C6241" w:rsidP="008B0DE8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Higher mortality and inhibited growth in developmental study at 1% in diet; treatment range 0.1</w:t>
            </w:r>
            <w:r w:rsidR="00C44175">
              <w:t>–</w:t>
            </w:r>
            <w:r>
              <w:t xml:space="preserve">1% (mice, </w:t>
            </w:r>
            <w:r w:rsidR="00B22BBC">
              <w:t>multiple</w:t>
            </w:r>
            <w:r>
              <w:t xml:space="preserve"> generations and up to 21 d following birth)</w:t>
            </w:r>
            <w:r w:rsidR="00F91BEC">
              <w:t>:</w:t>
            </w:r>
            <w:r>
              <w:t xml:space="preserve"> </w:t>
            </w:r>
          </w:p>
          <w:p w14:paraId="4751ED25" w14:textId="742D4029" w:rsidR="00E25280" w:rsidRDefault="008C6241" w:rsidP="008B0DE8">
            <w:pPr>
              <w:pStyle w:val="Tabletextprimarysource"/>
              <w:numPr>
                <w:ilvl w:val="1"/>
                <w:numId w:val="1"/>
              </w:numPr>
              <w:tabs>
                <w:tab w:val="left" w:pos="2654"/>
              </w:tabs>
              <w:ind w:left="1094" w:hanging="357"/>
            </w:pPr>
            <w:r>
              <w:t>mortality rate increased with successive generations</w:t>
            </w:r>
          </w:p>
          <w:p w14:paraId="09BD8DE8" w14:textId="119E025F" w:rsidR="008C6241" w:rsidRDefault="008C6241" w:rsidP="008B0DE8">
            <w:pPr>
              <w:pStyle w:val="Tabletextprimarysource"/>
              <w:numPr>
                <w:ilvl w:val="1"/>
                <w:numId w:val="1"/>
              </w:numPr>
              <w:tabs>
                <w:tab w:val="left" w:pos="2654"/>
              </w:tabs>
              <w:ind w:left="1094" w:hanging="357"/>
            </w:pPr>
            <w:r>
              <w:t>normal growth resumes when exposure is ceased</w:t>
            </w:r>
          </w:p>
          <w:p w14:paraId="0BE504D5" w14:textId="77777777" w:rsidR="00B43AFF" w:rsidRPr="002C034E" w:rsidRDefault="00B366FC" w:rsidP="008B0DE8">
            <w:pPr>
              <w:pStyle w:val="Tabletextprimarysource"/>
              <w:numPr>
                <w:ilvl w:val="0"/>
                <w:numId w:val="1"/>
              </w:numPr>
              <w:ind w:left="714" w:hanging="357"/>
              <w:rPr>
                <w:lang w:val="it-IT"/>
              </w:rPr>
            </w:pPr>
            <w:r w:rsidRPr="002C034E">
              <w:t>Non-mutagenic</w:t>
            </w:r>
            <w:r w:rsidRPr="002C034E">
              <w:rPr>
                <w:lang w:val="it-IT"/>
              </w:rPr>
              <w:t xml:space="preserve"> </w:t>
            </w:r>
            <w:r w:rsidRPr="002C034E">
              <w:rPr>
                <w:i/>
                <w:lang w:val="it-IT"/>
              </w:rPr>
              <w:t>in vitro</w:t>
            </w:r>
            <w:r w:rsidRPr="002C034E">
              <w:rPr>
                <w:lang w:val="it-IT"/>
              </w:rPr>
              <w:t xml:space="preserve"> and </w:t>
            </w:r>
            <w:r w:rsidRPr="002C034E">
              <w:rPr>
                <w:i/>
                <w:lang w:val="it-IT"/>
              </w:rPr>
              <w:t>in vivo</w:t>
            </w:r>
            <w:r w:rsidR="00B22BBC" w:rsidRPr="002C034E">
              <w:rPr>
                <w:lang w:val="it-IT"/>
              </w:rPr>
              <w:t>.</w:t>
            </w:r>
          </w:p>
          <w:p w14:paraId="2BB395F2" w14:textId="54EFBAFB" w:rsidR="00684D97" w:rsidRPr="002C034E" w:rsidRDefault="00684D97" w:rsidP="008B0DE8">
            <w:pPr>
              <w:pStyle w:val="Tabletextprimarysource"/>
              <w:ind w:left="360"/>
              <w:rPr>
                <w:lang w:val="it-IT"/>
              </w:rPr>
            </w:pPr>
          </w:p>
        </w:tc>
      </w:tr>
      <w:tr w:rsidR="00C978F0" w:rsidRPr="00DA352E" w14:paraId="709475E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2FA8A32" w14:textId="3C5129D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B366FC">
                  <w:t>2010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5C067B">
                  <w:t>MAK:</w:t>
                </w:r>
                <w:r w:rsidR="00B366FC">
                  <w:t xml:space="preserve"> not established</w:t>
                </w:r>
              </w:sdtContent>
            </w:sdt>
          </w:p>
        </w:tc>
      </w:tr>
      <w:tr w:rsidR="00C978F0" w:rsidRPr="00DA352E" w14:paraId="331954C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285AF7B" w14:textId="60C5408E" w:rsidR="000219C7" w:rsidRDefault="000219C7" w:rsidP="003365A5">
            <w:pPr>
              <w:pStyle w:val="Tabletextprimarysource"/>
            </w:pPr>
            <w:r>
              <w:t>Summary of additional data:</w:t>
            </w:r>
          </w:p>
          <w:p w14:paraId="65B6F26A" w14:textId="2DDC5C77" w:rsidR="00C978F0" w:rsidRDefault="00B366FC" w:rsidP="003365A5">
            <w:pPr>
              <w:pStyle w:val="Tabletextprimarysource"/>
            </w:pPr>
            <w:r>
              <w:t>Previous MAK of 50 ppm withdrawn due to insufficient chronic exposure data in humans.</w:t>
            </w:r>
            <w:r w:rsidR="00C133E4">
              <w:t xml:space="preserve"> Several studies presented in the assessment are dismissed due to inadequate experimental documentation.</w:t>
            </w:r>
          </w:p>
          <w:p w14:paraId="6C6453F5" w14:textId="09DD0836" w:rsidR="00A43DCA" w:rsidRDefault="00A43DCA" w:rsidP="003365A5">
            <w:pPr>
              <w:pStyle w:val="Tabletextprimarysource"/>
            </w:pPr>
            <w:r>
              <w:t>Human data:</w:t>
            </w:r>
          </w:p>
          <w:p w14:paraId="2C404988" w14:textId="5459BFC6" w:rsidR="00A268C5" w:rsidRPr="008B0DE8" w:rsidRDefault="009954DA" w:rsidP="008B0DE8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 w:rsidRPr="008B0DE8">
              <w:t>Half-life of 1.5 h in subjects exposed to 57 ppm for 8 h by inhalation; diol metabolites were eliminated with half-life of 14</w:t>
            </w:r>
            <w:r w:rsidR="00C44175" w:rsidRPr="008B0DE8">
              <w:t>–</w:t>
            </w:r>
            <w:r w:rsidRPr="008B0DE8">
              <w:t xml:space="preserve">18 h </w:t>
            </w:r>
          </w:p>
          <w:p w14:paraId="5E976616" w14:textId="5E1BA2B6" w:rsidR="00684D97" w:rsidRDefault="009954DA" w:rsidP="00CF4AEE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Odour threshold of 0.5 ppm and stimulation threshold of 430 ppm from recent volunteer study (n=72) using intranasal instillation (1</w:t>
            </w:r>
            <w:r w:rsidR="00C44175">
              <w:t>–</w:t>
            </w:r>
            <w:r>
              <w:t>2 s</w:t>
            </w:r>
            <w:r w:rsidR="001B3A99">
              <w:t>ec</w:t>
            </w:r>
            <w:r>
              <w:t>)</w:t>
            </w:r>
            <w:r w:rsidR="00684D97">
              <w:t>.</w:t>
            </w:r>
          </w:p>
          <w:p w14:paraId="64811269" w14:textId="11007C7B" w:rsidR="00A43DCA" w:rsidRDefault="00A43DCA" w:rsidP="003365A5">
            <w:pPr>
              <w:pStyle w:val="Tabletextprimarysource"/>
            </w:pPr>
            <w:r>
              <w:t>Animal data:</w:t>
            </w:r>
          </w:p>
          <w:p w14:paraId="6DE530B8" w14:textId="5368690E" w:rsidR="00C133E4" w:rsidRPr="008B0DE8" w:rsidRDefault="009954DA" w:rsidP="008B0DE8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 w:rsidRPr="008B0DE8">
              <w:t>LC</w:t>
            </w:r>
            <w:r w:rsidRPr="008B0DE8">
              <w:rPr>
                <w:vertAlign w:val="subscript"/>
              </w:rPr>
              <w:t>50</w:t>
            </w:r>
            <w:r w:rsidRPr="008B0DE8">
              <w:t>: 6,500 ppm (rat, duration not specified)</w:t>
            </w:r>
            <w:r w:rsidR="00C133E4" w:rsidRPr="008B0DE8">
              <w:t xml:space="preserve">; </w:t>
            </w:r>
            <w:r w:rsidR="00BF4062">
              <w:t xml:space="preserve">no fatalities in </w:t>
            </w:r>
            <w:r w:rsidR="00C133E4" w:rsidRPr="008B0DE8">
              <w:t>r</w:t>
            </w:r>
            <w:r w:rsidRPr="008B0DE8">
              <w:t xml:space="preserve">ats exposed to </w:t>
            </w:r>
            <w:r w:rsidR="00C133E4" w:rsidRPr="008B0DE8">
              <w:t>3,515 ppm for 1 h or 878</w:t>
            </w:r>
            <w:r w:rsidR="00FB4A65">
              <w:t> </w:t>
            </w:r>
            <w:r w:rsidR="00C133E4" w:rsidRPr="008B0DE8">
              <w:t xml:space="preserve">ppm for 3 h </w:t>
            </w:r>
          </w:p>
          <w:p w14:paraId="17103693" w14:textId="0F5C5B0B" w:rsidR="009954DA" w:rsidRPr="008B0DE8" w:rsidRDefault="00C133E4" w:rsidP="008B0DE8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 w:rsidRPr="008B0DE8">
              <w:t>Dermal LD</w:t>
            </w:r>
            <w:r w:rsidRPr="008B0DE8">
              <w:rPr>
                <w:vertAlign w:val="subscript"/>
              </w:rPr>
              <w:t>50</w:t>
            </w:r>
            <w:r w:rsidRPr="008B0DE8">
              <w:t>: 501</w:t>
            </w:r>
            <w:r w:rsidR="00C2352D">
              <w:t>–</w:t>
            </w:r>
            <w:r w:rsidRPr="008B0DE8">
              <w:t>794 mg/kg (rabbits) reported in recent studies; older studies report range of 12,400</w:t>
            </w:r>
            <w:r w:rsidR="00C2352D">
              <w:t>–</w:t>
            </w:r>
            <w:r w:rsidRPr="008B0DE8">
              <w:t>22,700 mg/kg</w:t>
            </w:r>
          </w:p>
          <w:p w14:paraId="06255536" w14:textId="03F6DA84" w:rsidR="000553F7" w:rsidRPr="008B0DE8" w:rsidRDefault="000553F7" w:rsidP="008B0DE8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 w:rsidRPr="008B0DE8">
              <w:t xml:space="preserve">Non-sensitising to guinea pig skin in </w:t>
            </w:r>
            <w:r w:rsidR="002B73DD" w:rsidRPr="008B0DE8">
              <w:t xml:space="preserve">standardised </w:t>
            </w:r>
            <w:r w:rsidRPr="008B0DE8">
              <w:t>maximisation test</w:t>
            </w:r>
          </w:p>
          <w:p w14:paraId="199F6A82" w14:textId="6449E7D7" w:rsidR="00C133E4" w:rsidRPr="008B0DE8" w:rsidRDefault="00C133E4" w:rsidP="008B0DE8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 w:rsidRPr="008B0DE8">
              <w:t>NOAEL &lt;145 ppm from sub</w:t>
            </w:r>
            <w:r w:rsidR="008B5AEB">
              <w:t>-</w:t>
            </w:r>
            <w:r w:rsidRPr="008B0DE8">
              <w:t>chronic inhalation study</w:t>
            </w:r>
            <w:r w:rsidR="0018381D" w:rsidRPr="008B0DE8">
              <w:t>, treatment range: 145</w:t>
            </w:r>
            <w:r w:rsidR="00C44175" w:rsidRPr="008B0DE8">
              <w:t>–</w:t>
            </w:r>
            <w:r w:rsidR="0018381D" w:rsidRPr="008B0DE8">
              <w:t>227 ppm</w:t>
            </w:r>
            <w:r w:rsidRPr="008B0DE8">
              <w:t xml:space="preserve"> (rabbits, </w:t>
            </w:r>
            <w:r w:rsidR="0018381D" w:rsidRPr="008B0DE8">
              <w:t>10</w:t>
            </w:r>
            <w:r w:rsidRPr="008B0DE8">
              <w:t xml:space="preserve"> wk) (also cited in ACGIH, 20</w:t>
            </w:r>
            <w:r w:rsidR="00DD1DD2" w:rsidRPr="008B0DE8">
              <w:t>18</w:t>
            </w:r>
            <w:r w:rsidRPr="008B0DE8">
              <w:t>)</w:t>
            </w:r>
          </w:p>
          <w:p w14:paraId="21065E3C" w14:textId="55F12494" w:rsidR="00A268C5" w:rsidRPr="008B0DE8" w:rsidRDefault="00684D97" w:rsidP="008B0DE8">
            <w:pPr>
              <w:pStyle w:val="Tabletextprimarysource"/>
              <w:numPr>
                <w:ilvl w:val="1"/>
                <w:numId w:val="1"/>
              </w:numPr>
              <w:tabs>
                <w:tab w:val="left" w:pos="2654"/>
              </w:tabs>
              <w:ind w:left="1094" w:hanging="357"/>
            </w:pPr>
            <w:r>
              <w:t>n</w:t>
            </w:r>
            <w:r w:rsidR="00A268C5" w:rsidRPr="008B0DE8">
              <w:t xml:space="preserve">o </w:t>
            </w:r>
            <w:r w:rsidR="00C133E4" w:rsidRPr="001B3A99">
              <w:t>substance</w:t>
            </w:r>
            <w:r w:rsidR="00C133E4" w:rsidRPr="008B0DE8">
              <w:t xml:space="preserve"> </w:t>
            </w:r>
            <w:r w:rsidR="0018381D" w:rsidRPr="008B0DE8">
              <w:t>accumulation observed in rabbits at 145 ppm after 10 wk</w:t>
            </w:r>
          </w:p>
          <w:p w14:paraId="3F27223E" w14:textId="634C2DD8" w:rsidR="0018381D" w:rsidRPr="008B0DE8" w:rsidRDefault="0018381D" w:rsidP="008B0DE8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 w:rsidRPr="008B0DE8">
              <w:t xml:space="preserve">Degenerative changes in testes in daily oral intake study at 25 mg/kg (rabbits, </w:t>
            </w:r>
            <w:r w:rsidR="00C44175" w:rsidRPr="008B0DE8">
              <w:t xml:space="preserve">40 </w:t>
            </w:r>
            <w:r w:rsidRPr="008B0DE8">
              <w:t>d)</w:t>
            </w:r>
          </w:p>
          <w:p w14:paraId="13636325" w14:textId="11602611" w:rsidR="0018381D" w:rsidRPr="008B0DE8" w:rsidRDefault="00CF4AEE" w:rsidP="008B0DE8">
            <w:pPr>
              <w:pStyle w:val="Tabletextprimarysource"/>
              <w:numPr>
                <w:ilvl w:val="1"/>
                <w:numId w:val="1"/>
              </w:numPr>
              <w:tabs>
                <w:tab w:val="left" w:pos="2654"/>
              </w:tabs>
              <w:ind w:left="1094" w:hanging="357"/>
            </w:pPr>
            <w:proofErr w:type="spellStart"/>
            <w:r>
              <w:t>bw</w:t>
            </w:r>
            <w:proofErr w:type="spellEnd"/>
            <w:r w:rsidR="0018381D" w:rsidRPr="008B0DE8">
              <w:t xml:space="preserve"> unchanged over the test period, but adverse blood and serum indicators observed</w:t>
            </w:r>
          </w:p>
          <w:p w14:paraId="3C680E4B" w14:textId="0BF86B22" w:rsidR="0018381D" w:rsidRPr="008B0DE8" w:rsidRDefault="00684D97" w:rsidP="008B0DE8">
            <w:pPr>
              <w:pStyle w:val="Tabletextprimarysource"/>
              <w:numPr>
                <w:ilvl w:val="1"/>
                <w:numId w:val="1"/>
              </w:numPr>
              <w:tabs>
                <w:tab w:val="left" w:pos="2654"/>
              </w:tabs>
              <w:ind w:left="1094" w:hanging="357"/>
            </w:pPr>
            <w:r>
              <w:t>a</w:t>
            </w:r>
            <w:r w:rsidR="0018381D" w:rsidRPr="008B0DE8">
              <w:t xml:space="preserve">dverse </w:t>
            </w:r>
            <w:r w:rsidR="0018381D" w:rsidRPr="001B3A99">
              <w:t>effects</w:t>
            </w:r>
            <w:r w:rsidR="0018381D" w:rsidRPr="008B0DE8">
              <w:t xml:space="preserve"> of exposure, except blood and serum indicators, reversible in </w:t>
            </w:r>
            <w:r w:rsidR="00C44175" w:rsidRPr="008B0DE8">
              <w:t xml:space="preserve">70 </w:t>
            </w:r>
            <w:r w:rsidR="0018381D" w:rsidRPr="008B0DE8">
              <w:t>d</w:t>
            </w:r>
          </w:p>
          <w:p w14:paraId="486621DE" w14:textId="78C16B27" w:rsidR="0018381D" w:rsidRPr="008B0DE8" w:rsidRDefault="002B73DD" w:rsidP="008B0DE8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proofErr w:type="spellStart"/>
            <w:r w:rsidRPr="008B0DE8">
              <w:t>Spermatotoxic</w:t>
            </w:r>
            <w:proofErr w:type="spellEnd"/>
            <w:r w:rsidRPr="008B0DE8">
              <w:t xml:space="preserve"> effects observed in repeat subcutaneous injection study at 15 mg/kg (rats/gerbils, 21/</w:t>
            </w:r>
            <w:r w:rsidR="00C44175" w:rsidRPr="008B0DE8">
              <w:t xml:space="preserve">37 </w:t>
            </w:r>
            <w:r w:rsidRPr="008B0DE8">
              <w:t>d)</w:t>
            </w:r>
          </w:p>
          <w:p w14:paraId="27AA69CE" w14:textId="77777777" w:rsidR="00A268C5" w:rsidRDefault="0044301E" w:rsidP="008B0DE8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No tumour initiating or promoting effects shown for cyclohexanol alone. Only co-application with known tumour promoter caused increase of tumorigenic lesions in liver</w:t>
            </w:r>
            <w:r w:rsidR="00B22BBC">
              <w:t>.</w:t>
            </w:r>
          </w:p>
          <w:p w14:paraId="0A7B3127" w14:textId="09C6B8C1" w:rsidR="00684D97" w:rsidRPr="00DA352E" w:rsidRDefault="00684D97" w:rsidP="008B0DE8">
            <w:pPr>
              <w:pStyle w:val="Tabletextprimarysource"/>
              <w:ind w:left="360"/>
            </w:pPr>
          </w:p>
        </w:tc>
      </w:tr>
      <w:tr w:rsidR="00C978F0" w:rsidRPr="00DA352E" w14:paraId="20FA751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DD50A56" w14:textId="3317399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5C067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5C067B">
                  <w:t>NA</w:t>
                </w:r>
                <w:proofErr w:type="spellEnd"/>
              </w:sdtContent>
            </w:sdt>
          </w:p>
        </w:tc>
      </w:tr>
      <w:tr w:rsidR="00C978F0" w:rsidRPr="00DA352E" w14:paraId="1127311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36B945B" w14:textId="0CB86CCF" w:rsidR="00C978F0" w:rsidRPr="00DA352E" w:rsidRDefault="005C067B" w:rsidP="003365A5">
            <w:pPr>
              <w:pStyle w:val="Tabletextprimarysource"/>
            </w:pPr>
            <w:r>
              <w:t>No report</w:t>
            </w:r>
            <w:r w:rsidR="004B5C83">
              <w:t>.</w:t>
            </w:r>
          </w:p>
        </w:tc>
      </w:tr>
      <w:tr w:rsidR="00DA352E" w:rsidRPr="00DA352E" w14:paraId="4E21088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7930484" w14:textId="506E1B58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5C067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5C067B">
                  <w:t>NA</w:t>
                </w:r>
                <w:proofErr w:type="spellEnd"/>
              </w:sdtContent>
            </w:sdt>
          </w:p>
        </w:tc>
      </w:tr>
      <w:tr w:rsidR="00DA352E" w:rsidRPr="00DA352E" w14:paraId="15AB519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451154F" w14:textId="60AF8714" w:rsidR="00DA352E" w:rsidRPr="00DA352E" w:rsidRDefault="005C067B" w:rsidP="003365A5">
            <w:pPr>
              <w:pStyle w:val="Tabletextprimarysource"/>
            </w:pPr>
            <w:r>
              <w:t>No report</w:t>
            </w:r>
            <w:r w:rsidR="004B5C83">
              <w:t>.</w:t>
            </w:r>
          </w:p>
        </w:tc>
      </w:tr>
      <w:tr w:rsidR="00DA352E" w:rsidRPr="00DA352E" w14:paraId="4AC6DE1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866CCAC" w14:textId="199BE1F6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5C067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5C067B">
                  <w:t>NA</w:t>
                </w:r>
                <w:proofErr w:type="spellEnd"/>
              </w:sdtContent>
            </w:sdt>
          </w:p>
        </w:tc>
      </w:tr>
      <w:tr w:rsidR="00DA352E" w:rsidRPr="00DA352E" w14:paraId="2BE13DB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A43F37F" w14:textId="6D79A28C" w:rsidR="00DA352E" w:rsidRPr="00DA352E" w:rsidRDefault="005C067B" w:rsidP="003365A5">
            <w:pPr>
              <w:pStyle w:val="Tabletextprimarysource"/>
            </w:pPr>
            <w:r>
              <w:t>No report</w:t>
            </w:r>
            <w:r w:rsidR="004B5C83">
              <w:t>.</w:t>
            </w:r>
          </w:p>
        </w:tc>
      </w:tr>
    </w:tbl>
    <w:p w14:paraId="7B0A0CAA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8"/>
        <w:gridCol w:w="422"/>
        <w:gridCol w:w="661"/>
        <w:gridCol w:w="6445"/>
      </w:tblGrid>
      <w:tr w:rsidR="004966BF" w:rsidRPr="00263255" w14:paraId="1C09B3DA" w14:textId="77777777" w:rsidTr="00C86D39">
        <w:trPr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4B94DEE0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293720CD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42F221C1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5" w:type="dxa"/>
            <w:shd w:val="clear" w:color="auto" w:fill="BFBFBF" w:themeFill="background1" w:themeFillShade="BF"/>
            <w:vAlign w:val="center"/>
          </w:tcPr>
          <w:p w14:paraId="5E05B550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40CF95D5" w14:textId="77777777" w:rsidTr="00C86D39">
        <w:trPr>
          <w:cantSplit/>
        </w:trPr>
        <w:tc>
          <w:tcPr>
            <w:tcW w:w="1498" w:type="dxa"/>
          </w:tcPr>
          <w:p w14:paraId="3B457A5A" w14:textId="77777777" w:rsidR="004966BF" w:rsidRPr="004C23F4" w:rsidRDefault="004966BF" w:rsidP="00224EE2">
            <w:pPr>
              <w:pStyle w:val="Tablefont"/>
            </w:pPr>
            <w:r>
              <w:t>HSE</w:t>
            </w:r>
          </w:p>
        </w:tc>
        <w:tc>
          <w:tcPr>
            <w:tcW w:w="422" w:type="dxa"/>
          </w:tcPr>
          <w:p w14:paraId="7373A576" w14:textId="45A26F55" w:rsidR="004966BF" w:rsidRPr="00CE617F" w:rsidRDefault="00F6582B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382551732"/>
                <w:placeholder>
                  <w:docPart w:val="8DD754E365844A4E82EC69A07E229629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DD1DD2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69F86BF" w14:textId="777E58A6" w:rsidR="004966BF" w:rsidRPr="004C23F4" w:rsidRDefault="00DD1DD2" w:rsidP="00717D45">
            <w:pPr>
              <w:pStyle w:val="Tablefont"/>
            </w:pPr>
            <w:r>
              <w:t>2002</w:t>
            </w:r>
          </w:p>
        </w:tc>
        <w:tc>
          <w:tcPr>
            <w:tcW w:w="6445" w:type="dxa"/>
          </w:tcPr>
          <w:p w14:paraId="21011000" w14:textId="65375BC3" w:rsidR="004966BF" w:rsidRPr="00976FFE" w:rsidRDefault="00976FFE" w:rsidP="008B0DE8">
            <w:pPr>
              <w:pStyle w:val="Tablefont"/>
              <w:numPr>
                <w:ilvl w:val="0"/>
                <w:numId w:val="3"/>
              </w:numPr>
              <w:spacing w:before="60" w:after="60"/>
              <w:ind w:left="714" w:hanging="357"/>
            </w:pPr>
            <w:r>
              <w:t>8</w:t>
            </w:r>
            <w:r w:rsidR="00684D97">
              <w:t xml:space="preserve"> </w:t>
            </w:r>
            <w:r>
              <w:t>h TWA: 50 ppm (208 mg/m</w:t>
            </w:r>
            <w:r>
              <w:rPr>
                <w:vertAlign w:val="superscript"/>
              </w:rPr>
              <w:t>3</w:t>
            </w:r>
            <w:r>
              <w:t>)</w:t>
            </w:r>
            <w:r w:rsidR="003E2ADA">
              <w:t>.</w:t>
            </w:r>
          </w:p>
        </w:tc>
      </w:tr>
      <w:tr w:rsidR="004966BF" w:rsidRPr="004C23F4" w14:paraId="1389C0A9" w14:textId="77777777" w:rsidTr="00C86D39">
        <w:trPr>
          <w:cantSplit/>
        </w:trPr>
        <w:tc>
          <w:tcPr>
            <w:tcW w:w="1498" w:type="dxa"/>
          </w:tcPr>
          <w:p w14:paraId="291D5407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2" w:type="dxa"/>
          </w:tcPr>
          <w:p w14:paraId="652D5327" w14:textId="347069B6" w:rsidR="004966BF" w:rsidRDefault="00F6582B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76FFE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6DBEB5E" w14:textId="181EF68A" w:rsidR="004966BF" w:rsidRPr="004C23F4" w:rsidRDefault="00976FFE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45" w:type="dxa"/>
          </w:tcPr>
          <w:p w14:paraId="0DE133B8" w14:textId="53B9D5A2" w:rsidR="004966BF" w:rsidRPr="004C23F4" w:rsidRDefault="00976FFE" w:rsidP="008B0DE8">
            <w:pPr>
              <w:pStyle w:val="Tablefont"/>
              <w:numPr>
                <w:ilvl w:val="0"/>
                <w:numId w:val="3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 w:rsidRPr="00976FFE">
              <w:rPr>
                <w:rStyle w:val="checkbox"/>
                <w:rFonts w:ascii="Arial" w:hAnsi="Arial" w:cs="Arial"/>
              </w:rPr>
              <w:t>IDLH based on acute oral toxicity data in animals</w:t>
            </w:r>
            <w:r w:rsidR="003E2ADA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674E64BC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AF116BB" w14:textId="77777777" w:rsidTr="00A43DCA">
        <w:trPr>
          <w:trHeight w:val="454"/>
          <w:tblHeader/>
        </w:trPr>
        <w:tc>
          <w:tcPr>
            <w:tcW w:w="6603" w:type="dxa"/>
            <w:vAlign w:val="center"/>
          </w:tcPr>
          <w:p w14:paraId="457B5BEF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882BF49" w14:textId="7EEBB1CC" w:rsidR="002E0D61" w:rsidRDefault="00A43DCA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108C8796" w14:textId="77777777" w:rsidTr="00A43DCA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703C495E" w14:textId="07EB5DCF" w:rsidR="008A36CF" w:rsidRPr="006901A2" w:rsidRDefault="00A43DCA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53D7956E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2E5DE176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511AC4F7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629F36A5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1003C6C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1FBBE161" w14:textId="77777777" w:rsidTr="00812887">
        <w:trPr>
          <w:cantSplit/>
        </w:trPr>
        <w:tc>
          <w:tcPr>
            <w:tcW w:w="3227" w:type="dxa"/>
          </w:tcPr>
          <w:p w14:paraId="0B030762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0E3EF14D" w14:textId="227D2C33" w:rsidR="00687890" w:rsidRPr="00DD2F9B" w:rsidRDefault="001E76D1" w:rsidP="00DD2F9B">
            <w:pPr>
              <w:pStyle w:val="Tablefont"/>
            </w:pPr>
            <w:r w:rsidRPr="001E76D1">
              <w:t>Skin</w:t>
            </w:r>
          </w:p>
        </w:tc>
      </w:tr>
      <w:tr w:rsidR="007925F0" w:rsidRPr="004C23F4" w14:paraId="5D02E5E4" w14:textId="77777777" w:rsidTr="00812887">
        <w:trPr>
          <w:cantSplit/>
        </w:trPr>
        <w:tc>
          <w:tcPr>
            <w:tcW w:w="3227" w:type="dxa"/>
          </w:tcPr>
          <w:p w14:paraId="05C207E1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7FB4FAB5" w14:textId="7481D646" w:rsidR="007925F0" w:rsidRPr="00DD2F9B" w:rsidRDefault="00A43DCA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26C0C086" w14:textId="77777777" w:rsidTr="00812887">
        <w:trPr>
          <w:cantSplit/>
        </w:trPr>
        <w:tc>
          <w:tcPr>
            <w:tcW w:w="3227" w:type="dxa"/>
          </w:tcPr>
          <w:p w14:paraId="533A4AA5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7E4E8E94" w14:textId="53A19471" w:rsidR="00AF483F" w:rsidRPr="00DD2F9B" w:rsidRDefault="001E76D1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2D02D002" w14:textId="77777777" w:rsidTr="00812887">
        <w:trPr>
          <w:cantSplit/>
        </w:trPr>
        <w:tc>
          <w:tcPr>
            <w:tcW w:w="3227" w:type="dxa"/>
          </w:tcPr>
          <w:p w14:paraId="4BA698CA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405B7E" w14:textId="2EBF6392" w:rsidR="00687890" w:rsidRPr="00DD2F9B" w:rsidRDefault="00A43DCA" w:rsidP="00DD2F9B">
            <w:pPr>
              <w:pStyle w:val="Tablefont"/>
            </w:pPr>
            <w:r>
              <w:t>—</w:t>
            </w:r>
          </w:p>
        </w:tc>
      </w:tr>
      <w:tr w:rsidR="00E41A26" w:rsidRPr="004C23F4" w14:paraId="2E636744" w14:textId="77777777" w:rsidTr="00812887">
        <w:trPr>
          <w:cantSplit/>
        </w:trPr>
        <w:tc>
          <w:tcPr>
            <w:tcW w:w="3227" w:type="dxa"/>
          </w:tcPr>
          <w:p w14:paraId="5FF2B165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C8C5345" w14:textId="3025A59D" w:rsidR="00E41A26" w:rsidRPr="00DD2F9B" w:rsidRDefault="001E76D1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31F6CB3" w14:textId="77777777" w:rsidTr="00812887">
        <w:trPr>
          <w:cantSplit/>
        </w:trPr>
        <w:tc>
          <w:tcPr>
            <w:tcW w:w="3227" w:type="dxa"/>
          </w:tcPr>
          <w:p w14:paraId="367D7671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0635A59F" w14:textId="701647C9" w:rsidR="002E0D61" w:rsidRPr="00DD2F9B" w:rsidRDefault="001E76D1" w:rsidP="00DD2F9B">
            <w:pPr>
              <w:pStyle w:val="Tablefont"/>
            </w:pPr>
            <w:r w:rsidRPr="001E76D1">
              <w:t>Skin</w:t>
            </w:r>
          </w:p>
        </w:tc>
      </w:tr>
      <w:tr w:rsidR="002E0D61" w:rsidRPr="004C23F4" w14:paraId="0618FDA5" w14:textId="77777777" w:rsidTr="00812887">
        <w:trPr>
          <w:cantSplit/>
        </w:trPr>
        <w:tc>
          <w:tcPr>
            <w:tcW w:w="3227" w:type="dxa"/>
          </w:tcPr>
          <w:p w14:paraId="7799E1BF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65764A9B" w14:textId="2FBECA74" w:rsidR="002E0D61" w:rsidRPr="00DD2F9B" w:rsidRDefault="001E76D1" w:rsidP="00DD2F9B">
            <w:pPr>
              <w:pStyle w:val="Tablefont"/>
            </w:pPr>
            <w:r w:rsidRPr="001E76D1">
              <w:t>H (skin)</w:t>
            </w:r>
          </w:p>
        </w:tc>
      </w:tr>
      <w:tr w:rsidR="002E0D61" w:rsidRPr="004C23F4" w14:paraId="68190E9E" w14:textId="77777777" w:rsidTr="00812887">
        <w:trPr>
          <w:cantSplit/>
        </w:trPr>
        <w:tc>
          <w:tcPr>
            <w:tcW w:w="3227" w:type="dxa"/>
          </w:tcPr>
          <w:p w14:paraId="07C7548C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05033BC8" w14:textId="58CDCD86" w:rsidR="002E0D61" w:rsidRPr="00DD2F9B" w:rsidRDefault="001E76D1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A1B0167" w14:textId="77777777" w:rsidTr="00812887">
        <w:trPr>
          <w:cantSplit/>
        </w:trPr>
        <w:tc>
          <w:tcPr>
            <w:tcW w:w="3227" w:type="dxa"/>
          </w:tcPr>
          <w:p w14:paraId="2452AE9F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1301E0D5" w14:textId="62857CE6" w:rsidR="002E0D61" w:rsidRPr="0044301E" w:rsidRDefault="001E76D1" w:rsidP="00DD2F9B">
            <w:pPr>
              <w:pStyle w:val="Tablefont"/>
            </w:pPr>
            <w:r w:rsidRPr="0044301E">
              <w:t>NA</w:t>
            </w:r>
          </w:p>
        </w:tc>
      </w:tr>
      <w:tr w:rsidR="00386093" w:rsidRPr="004C23F4" w14:paraId="2272F4C6" w14:textId="77777777" w:rsidTr="00812887">
        <w:trPr>
          <w:cantSplit/>
        </w:trPr>
        <w:tc>
          <w:tcPr>
            <w:tcW w:w="3227" w:type="dxa"/>
          </w:tcPr>
          <w:p w14:paraId="0911A4D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4ED661C" w14:textId="483EF435" w:rsidR="00386093" w:rsidRPr="00DD2F9B" w:rsidRDefault="001E76D1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C1060E3" w14:textId="77777777" w:rsidTr="00812887">
        <w:trPr>
          <w:cantSplit/>
        </w:trPr>
        <w:tc>
          <w:tcPr>
            <w:tcW w:w="3227" w:type="dxa"/>
          </w:tcPr>
          <w:p w14:paraId="2F25170A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3CF19C92" w14:textId="23C704E3" w:rsidR="00386093" w:rsidRPr="00DD2F9B" w:rsidRDefault="001E76D1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3B61A1C2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B875948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757985DE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278F5C7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056CEEF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3856"/>
              <w:gridCol w:w="851"/>
              <w:gridCol w:w="992"/>
              <w:gridCol w:w="3111"/>
            </w:tblGrid>
            <w:tr w:rsidR="00343112" w:rsidRPr="00976FFE" w14:paraId="0086BB2B" w14:textId="77777777" w:rsidTr="00343112">
              <w:trPr>
                <w:trHeight w:val="120"/>
              </w:trPr>
              <w:tc>
                <w:tcPr>
                  <w:tcW w:w="38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678AF3" w14:textId="77777777" w:rsidR="00976FFE" w:rsidRPr="00976FFE" w:rsidRDefault="00976FFE" w:rsidP="00976FF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76F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4A5AA7" w14:textId="77777777" w:rsidR="00976FFE" w:rsidRPr="00976FFE" w:rsidRDefault="00976FFE" w:rsidP="00976FF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76F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84925C" w14:textId="77777777" w:rsidR="00976FFE" w:rsidRPr="00976FFE" w:rsidRDefault="00976FFE" w:rsidP="00976FF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76FF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EF9729" w14:textId="77777777" w:rsidR="00976FFE" w:rsidRPr="00976FFE" w:rsidRDefault="00976FFE" w:rsidP="00976FF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76F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76FFE" w:rsidRPr="00976FFE" w14:paraId="20FC3F7F" w14:textId="77777777" w:rsidTr="00343112">
              <w:trPr>
                <w:trHeight w:val="120"/>
              </w:trPr>
              <w:tc>
                <w:tcPr>
                  <w:tcW w:w="38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C707BC" w14:textId="77777777" w:rsidR="00976FFE" w:rsidRPr="00976FFE" w:rsidRDefault="00976FFE" w:rsidP="00976FF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76F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976F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976F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2D808A18" w14:textId="77777777" w:rsidR="00976FFE" w:rsidRPr="00976FFE" w:rsidRDefault="00976FFE" w:rsidP="00976FF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976FFE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3E9502" w14:textId="77777777" w:rsidR="00976FFE" w:rsidRPr="00976FFE" w:rsidRDefault="00976FFE" w:rsidP="00976FF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76FF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E742D8" w14:textId="77777777" w:rsidR="00976FFE" w:rsidRPr="00976FFE" w:rsidRDefault="00976FFE" w:rsidP="00976FF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76F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76FFE" w:rsidRPr="00976FFE" w14:paraId="2969630C" w14:textId="77777777" w:rsidTr="00343112">
              <w:trPr>
                <w:trHeight w:val="120"/>
              </w:trPr>
              <w:tc>
                <w:tcPr>
                  <w:tcW w:w="38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1CBBB0" w14:textId="77777777" w:rsidR="00976FFE" w:rsidRPr="00976FFE" w:rsidRDefault="00976FFE" w:rsidP="00976FF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76F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590C87" w14:textId="77777777" w:rsidR="00976FFE" w:rsidRPr="00976FFE" w:rsidRDefault="00976FFE" w:rsidP="00976FF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76F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427CB8" w14:textId="77777777" w:rsidR="00976FFE" w:rsidRPr="00976FFE" w:rsidRDefault="00976FFE" w:rsidP="00976FF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76FF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B78B56" w14:textId="77777777" w:rsidR="00976FFE" w:rsidRPr="00976FFE" w:rsidRDefault="00976FFE" w:rsidP="00976FF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76F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76FFE" w:rsidRPr="00976FFE" w14:paraId="3D86BF2A" w14:textId="77777777" w:rsidTr="00343112">
              <w:trPr>
                <w:trHeight w:val="120"/>
              </w:trPr>
              <w:tc>
                <w:tcPr>
                  <w:tcW w:w="38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098020" w14:textId="77777777" w:rsidR="00976FFE" w:rsidRPr="00976FFE" w:rsidRDefault="00976FFE" w:rsidP="00976FF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76F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976F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976F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976F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976F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853161" w14:textId="77777777" w:rsidR="00976FFE" w:rsidRPr="00976FFE" w:rsidRDefault="00976FFE" w:rsidP="00976FF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76F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C42356" w14:textId="77777777" w:rsidR="00976FFE" w:rsidRPr="00976FFE" w:rsidRDefault="00976FFE" w:rsidP="00976FF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76FF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8C96EC" w14:textId="77777777" w:rsidR="00976FFE" w:rsidRPr="00976FFE" w:rsidRDefault="00976FFE" w:rsidP="00976FF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76F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76FFE" w:rsidRPr="00976FFE" w14:paraId="1EBBE003" w14:textId="77777777" w:rsidTr="00343112">
              <w:trPr>
                <w:trHeight w:val="120"/>
              </w:trPr>
              <w:tc>
                <w:tcPr>
                  <w:tcW w:w="38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608984" w14:textId="77777777" w:rsidR="00976FFE" w:rsidRPr="00976FFE" w:rsidRDefault="00976FFE" w:rsidP="00976FF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976FFE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976F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88964D" w14:textId="77777777" w:rsidR="00976FFE" w:rsidRPr="00976FFE" w:rsidRDefault="00976FFE" w:rsidP="00976FF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76F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FAB97F" w14:textId="77777777" w:rsidR="00976FFE" w:rsidRPr="00976FFE" w:rsidRDefault="00976FFE" w:rsidP="00976FF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76FF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AB3FD0" w14:textId="77777777" w:rsidR="00976FFE" w:rsidRPr="00976FFE" w:rsidRDefault="00976FFE" w:rsidP="00976FF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76F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76FFE" w:rsidRPr="00976FFE" w14:paraId="40427AD7" w14:textId="77777777" w:rsidTr="00343112">
              <w:trPr>
                <w:trHeight w:val="120"/>
              </w:trPr>
              <w:tc>
                <w:tcPr>
                  <w:tcW w:w="38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8D9793" w14:textId="77777777" w:rsidR="00976FFE" w:rsidRPr="00976FFE" w:rsidRDefault="00976FFE" w:rsidP="00976FF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76F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FCBCFD" w14:textId="77777777" w:rsidR="00976FFE" w:rsidRPr="00976FFE" w:rsidRDefault="00976FFE" w:rsidP="00976FF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76F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EB26E7" w14:textId="77777777" w:rsidR="00976FFE" w:rsidRPr="00976FFE" w:rsidRDefault="00976FFE" w:rsidP="00976FF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76FF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404276" w14:textId="77777777" w:rsidR="00976FFE" w:rsidRPr="00976FFE" w:rsidRDefault="00976FFE" w:rsidP="00976FF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76F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76FFE" w:rsidRPr="00976FFE" w14:paraId="4D007165" w14:textId="77777777" w:rsidTr="00343112">
              <w:trPr>
                <w:trHeight w:val="120"/>
              </w:trPr>
              <w:tc>
                <w:tcPr>
                  <w:tcW w:w="38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6F5901" w14:textId="77777777" w:rsidR="00976FFE" w:rsidRPr="00976FFE" w:rsidRDefault="00976FFE" w:rsidP="00976FF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76F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B65F78" w14:textId="77777777" w:rsidR="00976FFE" w:rsidRPr="00976FFE" w:rsidRDefault="00976FFE" w:rsidP="00976FF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76FF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794BD8" w14:textId="77777777" w:rsidR="00976FFE" w:rsidRPr="00976FFE" w:rsidRDefault="00976FFE" w:rsidP="00976FF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76FF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5F81B9" w14:textId="77777777" w:rsidR="00976FFE" w:rsidRPr="00976FFE" w:rsidRDefault="00976FFE" w:rsidP="00976FFE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976FFE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521186CB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3F175B2F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17145D6F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7E11E66C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FC1C0F6" w14:textId="0CB8A328" w:rsidR="00EB3D1B" w:rsidRDefault="001E76D1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3512A6B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44FEA409" w14:textId="77777777" w:rsidTr="004A2346">
        <w:trPr>
          <w:tblHeader/>
        </w:trPr>
        <w:tc>
          <w:tcPr>
            <w:tcW w:w="4077" w:type="dxa"/>
            <w:vAlign w:val="center"/>
          </w:tcPr>
          <w:p w14:paraId="5BD4FC19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4D831E4" w14:textId="36782882" w:rsidR="001B79E5" w:rsidRDefault="001E76D1" w:rsidP="001B79E5">
                <w:pPr>
                  <w:pStyle w:val="Tablefont"/>
                </w:pPr>
                <w:r w:rsidRPr="001E76D1">
                  <w:t>100.16</w:t>
                </w:r>
              </w:p>
            </w:tc>
          </w:sdtContent>
        </w:sdt>
      </w:tr>
      <w:tr w:rsidR="00A31D99" w:rsidRPr="004C23F4" w14:paraId="3E5B2075" w14:textId="77777777" w:rsidTr="00CF4AEE">
        <w:trPr>
          <w:cantSplit/>
        </w:trPr>
        <w:tc>
          <w:tcPr>
            <w:tcW w:w="4077" w:type="dxa"/>
            <w:vAlign w:val="center"/>
          </w:tcPr>
          <w:p w14:paraId="77E7CD8D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2C583BA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588A53E1" w14:textId="77777777" w:rsidTr="00CF4AEE">
        <w:trPr>
          <w:cantSplit/>
        </w:trPr>
        <w:tc>
          <w:tcPr>
            <w:tcW w:w="4077" w:type="dxa"/>
            <w:vAlign w:val="center"/>
          </w:tcPr>
          <w:p w14:paraId="48F8F096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1327A4B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2BFCFA6" w14:textId="77777777" w:rsidTr="00CF4AEE">
        <w:trPr>
          <w:cantSplit/>
        </w:trPr>
        <w:tc>
          <w:tcPr>
            <w:tcW w:w="4077" w:type="dxa"/>
            <w:vAlign w:val="center"/>
          </w:tcPr>
          <w:p w14:paraId="4DC0C743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7A93E16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57D2993" w14:textId="77777777" w:rsidTr="00CF4AEE">
        <w:trPr>
          <w:cantSplit/>
        </w:trPr>
        <w:tc>
          <w:tcPr>
            <w:tcW w:w="4077" w:type="dxa"/>
            <w:vAlign w:val="center"/>
          </w:tcPr>
          <w:p w14:paraId="038DDE50" w14:textId="77777777" w:rsidR="00687890" w:rsidRPr="00263255" w:rsidRDefault="00687890" w:rsidP="00263255">
            <w:pPr>
              <w:pStyle w:val="Tablefont"/>
            </w:pPr>
            <w:r w:rsidRPr="00263255">
              <w:lastRenderedPageBreak/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4964FB8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53C56D2" w14:textId="77777777" w:rsidTr="00CF4AEE">
        <w:trPr>
          <w:cantSplit/>
        </w:trPr>
        <w:tc>
          <w:tcPr>
            <w:tcW w:w="4077" w:type="dxa"/>
            <w:vAlign w:val="center"/>
          </w:tcPr>
          <w:p w14:paraId="6DB0BD3F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305919B7" w14:textId="77777777" w:rsidR="00E06F40" w:rsidRPr="00A006A0" w:rsidRDefault="00F6582B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6DBB23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44E66081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550F8D1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E664809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7B6571BE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55110988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9A789FD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DC9871F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3751AF44" w14:textId="790F2ABC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55E76AE7" w14:textId="78157015" w:rsidR="001E76D1" w:rsidRDefault="001E76D1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</w:t>
      </w:r>
      <w:r w:rsidR="00B22BBC">
        <w:t>10</w:t>
      </w:r>
      <w:r>
        <w:t xml:space="preserve">) </w:t>
      </w:r>
      <w:r w:rsidRPr="001E76D1">
        <w:t>Cyclohexanol</w:t>
      </w:r>
      <w:r>
        <w:t xml:space="preserve"> – MAK value documentation</w:t>
      </w:r>
      <w:r w:rsidR="00B22BBC">
        <w:t>, German language edition</w:t>
      </w:r>
      <w:r>
        <w:t>.</w:t>
      </w:r>
    </w:p>
    <w:p w14:paraId="6B750C8A" w14:textId="6F1DB328" w:rsidR="00DD1DD2" w:rsidRDefault="00DD1DD2" w:rsidP="00084859">
      <w:r w:rsidRPr="00D86E03">
        <w:t>UK Health and Safety Executive</w:t>
      </w:r>
      <w:r>
        <w:t xml:space="preserve"> (HSE) (2002) </w:t>
      </w:r>
      <w:r w:rsidRPr="00485AE6">
        <w:t>EH40/2005 Workplace exposure limits</w:t>
      </w:r>
      <w:r>
        <w:t>.</w:t>
      </w:r>
    </w:p>
    <w:p w14:paraId="7F4A8C4C" w14:textId="5C2549B5" w:rsidR="00DD1DD2" w:rsidRPr="00351FE0" w:rsidRDefault="00DD1DD2" w:rsidP="00084859">
      <w:r w:rsidRPr="00D86E03">
        <w:t>US National Institute for Occupational Safety and Health (</w:t>
      </w:r>
      <w:r w:rsidRPr="001B3A99">
        <w:t>NIOSH) (</w:t>
      </w:r>
      <w:sdt>
        <w:sdtPr>
          <w:id w:val="-1194999823"/>
          <w:placeholder>
            <w:docPart w:val="6E9E48AE3E7C4A138A2E641B749618A6"/>
          </w:placeholder>
          <w:temporary/>
          <w:showingPlcHdr/>
        </w:sdtPr>
        <w:sdtEndPr/>
        <w:sdtContent>
          <w:r w:rsidRPr="001B3A99">
            <w:t>1994</w:t>
          </w:r>
        </w:sdtContent>
      </w:sdt>
      <w:r w:rsidRPr="001B3A99">
        <w:t>) Immediately dangerous to life or health concentrations – cyclohexanol.</w:t>
      </w:r>
    </w:p>
    <w:sectPr w:rsidR="00DD1DD2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6FFB1" w14:textId="77777777" w:rsidR="009C7F4B" w:rsidRDefault="009C7F4B" w:rsidP="00F43AD5">
      <w:pPr>
        <w:spacing w:after="0" w:line="240" w:lineRule="auto"/>
      </w:pPr>
      <w:r>
        <w:separator/>
      </w:r>
    </w:p>
  </w:endnote>
  <w:endnote w:type="continuationSeparator" w:id="0">
    <w:p w14:paraId="66FD9467" w14:textId="77777777" w:rsidR="009C7F4B" w:rsidRDefault="009C7F4B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D0C6B" w14:textId="77777777" w:rsidR="00E760D9" w:rsidRDefault="00E760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01588450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9183059" w14:textId="6402BF5C" w:rsidR="00E760D9" w:rsidRDefault="00E760D9" w:rsidP="0034744C">
        <w:pPr>
          <w:pStyle w:val="Footer"/>
          <w:rPr>
            <w:sz w:val="18"/>
            <w:szCs w:val="18"/>
          </w:rPr>
        </w:pPr>
        <w:r w:rsidRPr="00B72E91">
          <w:rPr>
            <w:b/>
            <w:sz w:val="18"/>
            <w:szCs w:val="18"/>
          </w:rPr>
          <w:t>Cyclohexanol</w:t>
        </w:r>
        <w:r>
          <w:rPr>
            <w:b/>
            <w:sz w:val="18"/>
            <w:szCs w:val="18"/>
          </w:rPr>
          <w:t xml:space="preserve"> (</w:t>
        </w:r>
        <w:r w:rsidRPr="00B72E91">
          <w:rPr>
            <w:b/>
            <w:sz w:val="18"/>
            <w:szCs w:val="18"/>
          </w:rPr>
          <w:t>108-93-0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20037E02" w14:textId="1AABCC3A" w:rsidR="00E760D9" w:rsidRPr="00F43AD5" w:rsidRDefault="00E760D9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4A2346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08F33" w14:textId="77777777" w:rsidR="00E760D9" w:rsidRDefault="00E760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8CD1DD" w14:textId="77777777" w:rsidR="009C7F4B" w:rsidRDefault="009C7F4B" w:rsidP="00F43AD5">
      <w:pPr>
        <w:spacing w:after="0" w:line="240" w:lineRule="auto"/>
      </w:pPr>
      <w:r>
        <w:separator/>
      </w:r>
    </w:p>
  </w:footnote>
  <w:footnote w:type="continuationSeparator" w:id="0">
    <w:p w14:paraId="037AF071" w14:textId="77777777" w:rsidR="009C7F4B" w:rsidRDefault="009C7F4B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036EF2" w14:textId="11B8C064" w:rsidR="00E760D9" w:rsidRDefault="00E760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87C2C" w14:textId="77B97306" w:rsidR="00E760D9" w:rsidRDefault="00E760D9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CEA67" w14:textId="5E7D8DE0" w:rsidR="00E760D9" w:rsidRDefault="00E760D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A4E55" w14:textId="347E34FE" w:rsidR="004A2346" w:rsidRDefault="004A2346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536EE" w14:textId="68C3B336" w:rsidR="00E760D9" w:rsidRDefault="00E760D9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DBB2F" w14:textId="207E9DF3" w:rsidR="004A2346" w:rsidRDefault="004A23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CA4DA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43369B6"/>
    <w:multiLevelType w:val="hybridMultilevel"/>
    <w:tmpl w:val="203A9672"/>
    <w:lvl w:ilvl="0" w:tplc="F6105304">
      <w:start w:val="161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AA84D3D"/>
    <w:multiLevelType w:val="hybridMultilevel"/>
    <w:tmpl w:val="C6C039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0489526">
    <w:abstractNumId w:val="1"/>
  </w:num>
  <w:num w:numId="2" w16cid:durableId="915624844">
    <w:abstractNumId w:val="0"/>
  </w:num>
  <w:num w:numId="3" w16cid:durableId="10960983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19C7"/>
    <w:rsid w:val="00032B88"/>
    <w:rsid w:val="00046DF5"/>
    <w:rsid w:val="00052060"/>
    <w:rsid w:val="000553F7"/>
    <w:rsid w:val="0005574A"/>
    <w:rsid w:val="00055FE1"/>
    <w:rsid w:val="00056EC2"/>
    <w:rsid w:val="00060B48"/>
    <w:rsid w:val="000643D1"/>
    <w:rsid w:val="00067F32"/>
    <w:rsid w:val="00071807"/>
    <w:rsid w:val="000766E0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3D88"/>
    <w:rsid w:val="00177CA1"/>
    <w:rsid w:val="0018381D"/>
    <w:rsid w:val="00183823"/>
    <w:rsid w:val="00183942"/>
    <w:rsid w:val="001A009E"/>
    <w:rsid w:val="001A1287"/>
    <w:rsid w:val="001A3859"/>
    <w:rsid w:val="001A3C9D"/>
    <w:rsid w:val="001A43F8"/>
    <w:rsid w:val="001B3A99"/>
    <w:rsid w:val="001B79E5"/>
    <w:rsid w:val="001D56F0"/>
    <w:rsid w:val="001D663B"/>
    <w:rsid w:val="001D7B41"/>
    <w:rsid w:val="001E46DA"/>
    <w:rsid w:val="001E76D1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B73DD"/>
    <w:rsid w:val="002C034E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3112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87584"/>
    <w:rsid w:val="003904A4"/>
    <w:rsid w:val="00391841"/>
    <w:rsid w:val="00391B6D"/>
    <w:rsid w:val="00394922"/>
    <w:rsid w:val="00395B0D"/>
    <w:rsid w:val="003A0E32"/>
    <w:rsid w:val="003A2B94"/>
    <w:rsid w:val="003B387D"/>
    <w:rsid w:val="003C0D58"/>
    <w:rsid w:val="003D4FA3"/>
    <w:rsid w:val="003E0807"/>
    <w:rsid w:val="003E2ADA"/>
    <w:rsid w:val="003E51FB"/>
    <w:rsid w:val="003E6B39"/>
    <w:rsid w:val="003F07E1"/>
    <w:rsid w:val="004030BC"/>
    <w:rsid w:val="00403F7D"/>
    <w:rsid w:val="00404B61"/>
    <w:rsid w:val="00406785"/>
    <w:rsid w:val="004079B4"/>
    <w:rsid w:val="00417A56"/>
    <w:rsid w:val="00420957"/>
    <w:rsid w:val="00422A10"/>
    <w:rsid w:val="00430179"/>
    <w:rsid w:val="004414B5"/>
    <w:rsid w:val="0044301E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0923"/>
    <w:rsid w:val="00485BFD"/>
    <w:rsid w:val="004867A2"/>
    <w:rsid w:val="004873F2"/>
    <w:rsid w:val="00490D4C"/>
    <w:rsid w:val="00493A35"/>
    <w:rsid w:val="0049527A"/>
    <w:rsid w:val="004966BF"/>
    <w:rsid w:val="00497984"/>
    <w:rsid w:val="004A2346"/>
    <w:rsid w:val="004A5088"/>
    <w:rsid w:val="004B31F1"/>
    <w:rsid w:val="004B5C83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642E7"/>
    <w:rsid w:val="00581055"/>
    <w:rsid w:val="00591E38"/>
    <w:rsid w:val="005A19C5"/>
    <w:rsid w:val="005A3034"/>
    <w:rsid w:val="005A462D"/>
    <w:rsid w:val="005B253B"/>
    <w:rsid w:val="005B771D"/>
    <w:rsid w:val="005C067B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121"/>
    <w:rsid w:val="006549F2"/>
    <w:rsid w:val="006567B7"/>
    <w:rsid w:val="00657BFB"/>
    <w:rsid w:val="0066333C"/>
    <w:rsid w:val="006639B4"/>
    <w:rsid w:val="006650FE"/>
    <w:rsid w:val="0067305D"/>
    <w:rsid w:val="00677D9B"/>
    <w:rsid w:val="0068478B"/>
    <w:rsid w:val="00684D97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C341E"/>
    <w:rsid w:val="006C6822"/>
    <w:rsid w:val="006D79EA"/>
    <w:rsid w:val="006E5D05"/>
    <w:rsid w:val="006F4134"/>
    <w:rsid w:val="00701053"/>
    <w:rsid w:val="00701507"/>
    <w:rsid w:val="00706904"/>
    <w:rsid w:val="00714021"/>
    <w:rsid w:val="00716A0F"/>
    <w:rsid w:val="00717D45"/>
    <w:rsid w:val="007208F7"/>
    <w:rsid w:val="007218AF"/>
    <w:rsid w:val="007365D1"/>
    <w:rsid w:val="00740E0E"/>
    <w:rsid w:val="00750212"/>
    <w:rsid w:val="00753AA9"/>
    <w:rsid w:val="00754779"/>
    <w:rsid w:val="0075716D"/>
    <w:rsid w:val="00765F14"/>
    <w:rsid w:val="00770E31"/>
    <w:rsid w:val="007770F1"/>
    <w:rsid w:val="00783FB1"/>
    <w:rsid w:val="00785CDD"/>
    <w:rsid w:val="007864A1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7F7FB3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0DE8"/>
    <w:rsid w:val="008B403C"/>
    <w:rsid w:val="008B5AEB"/>
    <w:rsid w:val="008B7983"/>
    <w:rsid w:val="008C2511"/>
    <w:rsid w:val="008C6241"/>
    <w:rsid w:val="008D026D"/>
    <w:rsid w:val="008D23AB"/>
    <w:rsid w:val="008D43A3"/>
    <w:rsid w:val="008D4B8B"/>
    <w:rsid w:val="008D5A78"/>
    <w:rsid w:val="008E7B64"/>
    <w:rsid w:val="008F5DCD"/>
    <w:rsid w:val="00900951"/>
    <w:rsid w:val="009118A6"/>
    <w:rsid w:val="009126A2"/>
    <w:rsid w:val="00916909"/>
    <w:rsid w:val="00916EC0"/>
    <w:rsid w:val="00920467"/>
    <w:rsid w:val="00921DE7"/>
    <w:rsid w:val="0092533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6FFE"/>
    <w:rsid w:val="00977524"/>
    <w:rsid w:val="00977E88"/>
    <w:rsid w:val="0098102B"/>
    <w:rsid w:val="00984920"/>
    <w:rsid w:val="0099303A"/>
    <w:rsid w:val="009954DA"/>
    <w:rsid w:val="009971C2"/>
    <w:rsid w:val="009979B9"/>
    <w:rsid w:val="009A1254"/>
    <w:rsid w:val="009B2FF2"/>
    <w:rsid w:val="009B380C"/>
    <w:rsid w:val="009B4843"/>
    <w:rsid w:val="009B6543"/>
    <w:rsid w:val="009C199D"/>
    <w:rsid w:val="009C278F"/>
    <w:rsid w:val="009C2B94"/>
    <w:rsid w:val="009C3F9E"/>
    <w:rsid w:val="009C5874"/>
    <w:rsid w:val="009C7F4B"/>
    <w:rsid w:val="009D392A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68C5"/>
    <w:rsid w:val="00A27E2D"/>
    <w:rsid w:val="00A31D99"/>
    <w:rsid w:val="00A357BA"/>
    <w:rsid w:val="00A35ADC"/>
    <w:rsid w:val="00A402A3"/>
    <w:rsid w:val="00A43DCA"/>
    <w:rsid w:val="00A53681"/>
    <w:rsid w:val="00A633D4"/>
    <w:rsid w:val="00A6461A"/>
    <w:rsid w:val="00A84504"/>
    <w:rsid w:val="00A86277"/>
    <w:rsid w:val="00A8672F"/>
    <w:rsid w:val="00A93057"/>
    <w:rsid w:val="00A968B0"/>
    <w:rsid w:val="00AA25FD"/>
    <w:rsid w:val="00AB2672"/>
    <w:rsid w:val="00AB2817"/>
    <w:rsid w:val="00AB43C4"/>
    <w:rsid w:val="00AC32E7"/>
    <w:rsid w:val="00AC3A9F"/>
    <w:rsid w:val="00AC6D2F"/>
    <w:rsid w:val="00AD4837"/>
    <w:rsid w:val="00AE2745"/>
    <w:rsid w:val="00AE2F64"/>
    <w:rsid w:val="00AF2635"/>
    <w:rsid w:val="00AF42CB"/>
    <w:rsid w:val="00AF483F"/>
    <w:rsid w:val="00AF5E07"/>
    <w:rsid w:val="00AF5F06"/>
    <w:rsid w:val="00B00A25"/>
    <w:rsid w:val="00B10185"/>
    <w:rsid w:val="00B1422A"/>
    <w:rsid w:val="00B1765C"/>
    <w:rsid w:val="00B213C4"/>
    <w:rsid w:val="00B22BBC"/>
    <w:rsid w:val="00B366FC"/>
    <w:rsid w:val="00B40C60"/>
    <w:rsid w:val="00B43AFF"/>
    <w:rsid w:val="00B479A9"/>
    <w:rsid w:val="00B52EDF"/>
    <w:rsid w:val="00B71188"/>
    <w:rsid w:val="00B72E91"/>
    <w:rsid w:val="00B76A41"/>
    <w:rsid w:val="00B83D5A"/>
    <w:rsid w:val="00B87D4C"/>
    <w:rsid w:val="00B93646"/>
    <w:rsid w:val="00BA0B38"/>
    <w:rsid w:val="00BA1DBB"/>
    <w:rsid w:val="00BA4510"/>
    <w:rsid w:val="00BA529A"/>
    <w:rsid w:val="00BB60F9"/>
    <w:rsid w:val="00BB612A"/>
    <w:rsid w:val="00BD499F"/>
    <w:rsid w:val="00BD56DE"/>
    <w:rsid w:val="00BF2406"/>
    <w:rsid w:val="00BF4062"/>
    <w:rsid w:val="00C06E43"/>
    <w:rsid w:val="00C133E4"/>
    <w:rsid w:val="00C16315"/>
    <w:rsid w:val="00C2352D"/>
    <w:rsid w:val="00C24AAE"/>
    <w:rsid w:val="00C3091E"/>
    <w:rsid w:val="00C40FF1"/>
    <w:rsid w:val="00C41558"/>
    <w:rsid w:val="00C419E2"/>
    <w:rsid w:val="00C44175"/>
    <w:rsid w:val="00C46BF0"/>
    <w:rsid w:val="00C5020E"/>
    <w:rsid w:val="00C52B72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86D39"/>
    <w:rsid w:val="00C978F0"/>
    <w:rsid w:val="00CA56C3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623F"/>
    <w:rsid w:val="00CE78EF"/>
    <w:rsid w:val="00CF4AEE"/>
    <w:rsid w:val="00D048F7"/>
    <w:rsid w:val="00D0517E"/>
    <w:rsid w:val="00D05D72"/>
    <w:rsid w:val="00D140FC"/>
    <w:rsid w:val="00D21D8C"/>
    <w:rsid w:val="00D31357"/>
    <w:rsid w:val="00D33220"/>
    <w:rsid w:val="00D334D1"/>
    <w:rsid w:val="00D40309"/>
    <w:rsid w:val="00D44C89"/>
    <w:rsid w:val="00D516CD"/>
    <w:rsid w:val="00D52F30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1DD2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5280"/>
    <w:rsid w:val="00E26A07"/>
    <w:rsid w:val="00E32595"/>
    <w:rsid w:val="00E3606D"/>
    <w:rsid w:val="00E37CFD"/>
    <w:rsid w:val="00E41A26"/>
    <w:rsid w:val="00E46BCB"/>
    <w:rsid w:val="00E51CAF"/>
    <w:rsid w:val="00E60557"/>
    <w:rsid w:val="00E60F04"/>
    <w:rsid w:val="00E62AAC"/>
    <w:rsid w:val="00E67C2F"/>
    <w:rsid w:val="00E67EF5"/>
    <w:rsid w:val="00E760D9"/>
    <w:rsid w:val="00E80265"/>
    <w:rsid w:val="00E804EA"/>
    <w:rsid w:val="00E80A71"/>
    <w:rsid w:val="00E82337"/>
    <w:rsid w:val="00E92499"/>
    <w:rsid w:val="00E949AF"/>
    <w:rsid w:val="00E96077"/>
    <w:rsid w:val="00E96E4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9C4"/>
    <w:rsid w:val="00EF7F78"/>
    <w:rsid w:val="00F01B08"/>
    <w:rsid w:val="00F01C4D"/>
    <w:rsid w:val="00F04A43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582B"/>
    <w:rsid w:val="00F67BBB"/>
    <w:rsid w:val="00F81714"/>
    <w:rsid w:val="00F87D92"/>
    <w:rsid w:val="00F90AA7"/>
    <w:rsid w:val="00F91BEC"/>
    <w:rsid w:val="00F92498"/>
    <w:rsid w:val="00F9496B"/>
    <w:rsid w:val="00F970C9"/>
    <w:rsid w:val="00FA06A8"/>
    <w:rsid w:val="00FA3DF5"/>
    <w:rsid w:val="00FA741F"/>
    <w:rsid w:val="00FA7B3C"/>
    <w:rsid w:val="00FB4A65"/>
    <w:rsid w:val="00FB4E07"/>
    <w:rsid w:val="00FB755A"/>
    <w:rsid w:val="00FC60A2"/>
    <w:rsid w:val="00FD1871"/>
    <w:rsid w:val="00FD3110"/>
    <w:rsid w:val="00FE7DE2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9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C441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417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4175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41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4175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684D97"/>
    <w:p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90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8DD754E365844A4E82EC69A07E2296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4DDB53-9FC4-45A7-A37C-FDECC7AE23CB}"/>
      </w:docPartPr>
      <w:docPartBody>
        <w:p w:rsidR="00D21A9F" w:rsidRDefault="00D21A9F">
          <w:pPr>
            <w:pStyle w:val="8DD754E365844A4E82EC69A07E229629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6E9E48AE3E7C4A138A2E641B749618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CEDE91-B2C0-4B14-BFE7-AC878C91F3D3}"/>
      </w:docPartPr>
      <w:docPartBody>
        <w:p w:rsidR="006311C4" w:rsidRDefault="00A83143" w:rsidP="00A83143">
          <w:pPr>
            <w:pStyle w:val="6E9E48AE3E7C4A138A2E641B749618A6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122D60D8A16E46D9A9DD42F18E9242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9BA31E-4199-45C6-9051-C49DB1132E49}"/>
      </w:docPartPr>
      <w:docPartBody>
        <w:p w:rsidR="000A022B" w:rsidRDefault="00374EE3" w:rsidP="00374EE3">
          <w:pPr>
            <w:pStyle w:val="122D60D8A16E46D9A9DD42F18E9242DF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A022B"/>
    <w:rsid w:val="0032294A"/>
    <w:rsid w:val="00374EE3"/>
    <w:rsid w:val="00480923"/>
    <w:rsid w:val="004E436F"/>
    <w:rsid w:val="0060220E"/>
    <w:rsid w:val="006311C4"/>
    <w:rsid w:val="00A83143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74EE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6E9E48AE3E7C4A138A2E641B749618A6">
    <w:name w:val="6E9E48AE3E7C4A138A2E641B749618A6"/>
    <w:rsid w:val="00A83143"/>
  </w:style>
  <w:style w:type="paragraph" w:customStyle="1" w:styleId="122D60D8A16E46D9A9DD42F18E9242DF">
    <w:name w:val="122D60D8A16E46D9A9DD42F18E9242DF"/>
    <w:rsid w:val="00374E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68871C-2E2C-4958-AB34-77929DCB3E01}">
  <ds:schemaRefs>
    <ds:schemaRef ds:uri="http://purl.org/dc/dcmitype/"/>
    <ds:schemaRef ds:uri="bf54d604-3e62-4e70-ba33-9e9084b96a66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A1A99EA-0ADA-41EE-99AA-00392154BD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4A0E49-91A4-43A7-BAB2-B7C8F193A9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CB016F-DC23-4AC3-A6C9-B0D86BBC11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1260</Words>
  <Characters>7183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2019-10-07T23:51:00Z</dcterms:created>
  <dcterms:modified xsi:type="dcterms:W3CDTF">2025-12-22T03:46:00Z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2025-12-22T03:46:27Z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dc3573c5-eec4-428d-90d1-0be9df1eafa9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