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cs="Arial"/>
          <w:color w:val="000000"/>
          <w:szCs w:val="20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2921696" w14:textId="77777777" w:rsidR="00BD499F" w:rsidRPr="004C23F4" w:rsidRDefault="003064FA" w:rsidP="00B40C60">
          <w:pPr>
            <w:pStyle w:val="Heading1"/>
            <w:jc w:val="center"/>
            <w:rPr>
              <w:rFonts w:ascii="Arial" w:hAnsi="Arial" w:cs="Arial"/>
            </w:rPr>
          </w:pPr>
          <w:r w:rsidRPr="003064FA">
            <w:rPr>
              <w:rFonts w:cs="Arial"/>
              <w:color w:val="000000"/>
              <w:szCs w:val="20"/>
            </w:rPr>
            <w:t>Cyclohexane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6"/>
        <w:gridCol w:w="5050"/>
      </w:tblGrid>
      <w:tr w:rsidR="00F43AD5" w:rsidRPr="004C23F4" w14:paraId="36CD7F77" w14:textId="77777777" w:rsidTr="00B76A41">
        <w:trPr>
          <w:cantSplit/>
          <w:tblHeader/>
        </w:trPr>
        <w:tc>
          <w:tcPr>
            <w:tcW w:w="4077" w:type="dxa"/>
          </w:tcPr>
          <w:p w14:paraId="597942A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BFF9395" w14:textId="77777777" w:rsidR="00F43AD5" w:rsidRPr="00717D45" w:rsidRDefault="003064FA" w:rsidP="00B76A41">
            <w:pPr>
              <w:pStyle w:val="Tablefont"/>
            </w:pPr>
            <w:r w:rsidRPr="003064FA">
              <w:t>110-82-7</w:t>
            </w:r>
          </w:p>
        </w:tc>
      </w:tr>
      <w:tr w:rsidR="00F43AD5" w:rsidRPr="004C23F4" w14:paraId="3A6CFA40" w14:textId="77777777" w:rsidTr="00B76A41">
        <w:trPr>
          <w:cantSplit/>
        </w:trPr>
        <w:tc>
          <w:tcPr>
            <w:tcW w:w="4077" w:type="dxa"/>
          </w:tcPr>
          <w:p w14:paraId="049FC4E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050E4FA" w14:textId="77777777" w:rsidR="00F43AD5" w:rsidRPr="00717D45" w:rsidRDefault="00641013" w:rsidP="00B76A41">
            <w:pPr>
              <w:pStyle w:val="Tablefont"/>
            </w:pPr>
            <w:r>
              <w:t>Hexahydrobenzene, hexamethylene, hexanaphthalene</w:t>
            </w:r>
          </w:p>
        </w:tc>
      </w:tr>
      <w:tr w:rsidR="00F43AD5" w:rsidRPr="004C23F4" w14:paraId="19AC8F4F" w14:textId="77777777" w:rsidTr="00B76A41">
        <w:trPr>
          <w:cantSplit/>
        </w:trPr>
        <w:tc>
          <w:tcPr>
            <w:tcW w:w="4077" w:type="dxa"/>
          </w:tcPr>
          <w:p w14:paraId="01C9424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1000AD7" w14:textId="77777777" w:rsidR="00F43AD5" w:rsidRPr="00717D45" w:rsidRDefault="003477E3" w:rsidP="00B76A41">
            <w:pPr>
              <w:pStyle w:val="Tablefont"/>
            </w:pPr>
            <w:r>
              <w:t>C</w:t>
            </w:r>
            <w:r w:rsidRPr="003477E3">
              <w:rPr>
                <w:vertAlign w:val="subscript"/>
              </w:rPr>
              <w:t>6</w:t>
            </w:r>
            <w:r>
              <w:t>H</w:t>
            </w:r>
            <w:r w:rsidRPr="003477E3">
              <w:rPr>
                <w:vertAlign w:val="subscript"/>
              </w:rPr>
              <w:t>12</w:t>
            </w:r>
          </w:p>
        </w:tc>
      </w:tr>
      <w:tr w:rsidR="00F43AD5" w:rsidRPr="004C23F4" w14:paraId="5D43989B" w14:textId="77777777" w:rsidTr="00B76A41">
        <w:trPr>
          <w:cantSplit/>
        </w:trPr>
        <w:tc>
          <w:tcPr>
            <w:tcW w:w="4077" w:type="dxa"/>
          </w:tcPr>
          <w:p w14:paraId="0C0292D5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9C7B3A5" w14:textId="77777777" w:rsidR="00F43AD5" w:rsidRPr="00B40C60" w:rsidRDefault="004934F7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05426015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934F7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3493BE47" w14:textId="77777777" w:rsidTr="006B049C">
        <w:trPr>
          <w:cantSplit/>
          <w:tblHeader/>
        </w:trPr>
        <w:tc>
          <w:tcPr>
            <w:tcW w:w="4005" w:type="dxa"/>
            <w:vAlign w:val="center"/>
          </w:tcPr>
          <w:p w14:paraId="5E6CBD1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C9E6BA1" w14:textId="77777777" w:rsidR="002C7AFE" w:rsidRPr="00EB3D1B" w:rsidRDefault="004934F7" w:rsidP="00017C82">
            <w:pPr>
              <w:pStyle w:val="Tablefont"/>
              <w:rPr>
                <w:b/>
              </w:rPr>
            </w:pPr>
            <w:r w:rsidRPr="004934F7">
              <w:rPr>
                <w:b/>
              </w:rPr>
              <w:t>100 ppm (350 mg/m</w:t>
            </w:r>
            <w:r w:rsidRPr="004934F7">
              <w:rPr>
                <w:b/>
                <w:vertAlign w:val="superscript"/>
              </w:rPr>
              <w:t>3</w:t>
            </w:r>
            <w:r w:rsidRPr="004934F7">
              <w:rPr>
                <w:b/>
              </w:rPr>
              <w:t>)</w:t>
            </w:r>
          </w:p>
        </w:tc>
      </w:tr>
      <w:tr w:rsidR="002C7AFE" w:rsidRPr="004C23F4" w14:paraId="4879010B" w14:textId="77777777" w:rsidTr="006B049C">
        <w:trPr>
          <w:cantSplit/>
        </w:trPr>
        <w:tc>
          <w:tcPr>
            <w:tcW w:w="4005" w:type="dxa"/>
            <w:vAlign w:val="center"/>
          </w:tcPr>
          <w:p w14:paraId="22F78BE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0DBDE14D" w14:textId="77777777" w:rsidR="002C7AFE" w:rsidRPr="00BD1471" w:rsidRDefault="004934F7" w:rsidP="00017C82">
            <w:pPr>
              <w:pStyle w:val="Tablefont"/>
            </w:pPr>
            <w:r w:rsidRPr="00BD1471">
              <w:t>—</w:t>
            </w:r>
          </w:p>
        </w:tc>
      </w:tr>
      <w:tr w:rsidR="002C7AFE" w:rsidRPr="004C23F4" w14:paraId="373889B1" w14:textId="77777777" w:rsidTr="006B049C">
        <w:trPr>
          <w:cantSplit/>
        </w:trPr>
        <w:tc>
          <w:tcPr>
            <w:tcW w:w="4005" w:type="dxa"/>
            <w:vAlign w:val="center"/>
          </w:tcPr>
          <w:p w14:paraId="6529D411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10B97E8C" w14:textId="77777777" w:rsidR="002C7AFE" w:rsidRPr="00BD1471" w:rsidRDefault="004934F7" w:rsidP="00017C82">
            <w:pPr>
              <w:pStyle w:val="Tablefont"/>
            </w:pPr>
            <w:r w:rsidRPr="00BD1471">
              <w:t>—</w:t>
            </w:r>
          </w:p>
        </w:tc>
      </w:tr>
      <w:tr w:rsidR="002C7AFE" w:rsidRPr="004C23F4" w14:paraId="1C01FB12" w14:textId="77777777" w:rsidTr="006B049C">
        <w:trPr>
          <w:cantSplit/>
        </w:trPr>
        <w:tc>
          <w:tcPr>
            <w:tcW w:w="4005" w:type="dxa"/>
          </w:tcPr>
          <w:p w14:paraId="0F07140F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1D99453D" w14:textId="77777777" w:rsidR="002C7AFE" w:rsidRPr="00BD1471" w:rsidRDefault="004934F7" w:rsidP="008A36CF">
            <w:pPr>
              <w:pStyle w:val="Tablefont"/>
            </w:pPr>
            <w:r w:rsidRPr="00BD1471">
              <w:t>—</w:t>
            </w:r>
          </w:p>
        </w:tc>
      </w:tr>
      <w:tr w:rsidR="006B049C" w:rsidRPr="004C23F4" w14:paraId="6DA430A9" w14:textId="77777777" w:rsidTr="00BD1471">
        <w:trPr>
          <w:cantSplit/>
        </w:trPr>
        <w:tc>
          <w:tcPr>
            <w:tcW w:w="4005" w:type="dxa"/>
            <w:vAlign w:val="center"/>
          </w:tcPr>
          <w:p w14:paraId="1309A713" w14:textId="77777777" w:rsidR="006B049C" w:rsidRPr="002C58FF" w:rsidRDefault="006B049C" w:rsidP="006B049C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  <w:vAlign w:val="center"/>
          </w:tcPr>
          <w:p w14:paraId="745B4CF4" w14:textId="7FEF25E8" w:rsidR="006B049C" w:rsidRPr="00BD1471" w:rsidRDefault="00BA0605" w:rsidP="00BD1471">
            <w:pPr>
              <w:pStyle w:val="Tablefont"/>
              <w:rPr>
                <w:b/>
              </w:rPr>
            </w:pPr>
            <w:r>
              <w:rPr>
                <w:b/>
              </w:rPr>
              <w:t>1,300 ppm</w:t>
            </w:r>
            <w:r w:rsidR="00D66480">
              <w:rPr>
                <w:b/>
              </w:rPr>
              <w:t xml:space="preserve"> (LEL)</w:t>
            </w:r>
          </w:p>
        </w:tc>
      </w:tr>
      <w:tr w:rsidR="00463FD8" w:rsidRPr="004C23F4" w14:paraId="583689D0" w14:textId="77777777" w:rsidTr="00A305C8">
        <w:trPr>
          <w:cantSplit/>
        </w:trPr>
        <w:tc>
          <w:tcPr>
            <w:tcW w:w="9026" w:type="dxa"/>
            <w:gridSpan w:val="2"/>
            <w:vAlign w:val="center"/>
          </w:tcPr>
          <w:p w14:paraId="460C12B5" w14:textId="5E90B715" w:rsidR="00463FD8" w:rsidRDefault="00463FD8" w:rsidP="006B049C">
            <w:r w:rsidRPr="00545BC3">
              <w:rPr>
                <w:b/>
              </w:rPr>
              <w:t>Sampling and analysis</w:t>
            </w:r>
            <w:r>
              <w:t>:</w:t>
            </w:r>
            <w:r w:rsidRPr="00545BC3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BE1C84D5E02649BFB0A71301D10A4DBA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545BC3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F51C52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F056C25" w14:textId="784B315E" w:rsidR="004934F7" w:rsidRDefault="004934F7" w:rsidP="004934F7">
      <w:pPr>
        <w:rPr>
          <w:rFonts w:cs="Arial"/>
        </w:rPr>
      </w:pPr>
      <w:r w:rsidRPr="007B14D6">
        <w:rPr>
          <w:rFonts w:cs="Arial"/>
        </w:rPr>
        <w:t xml:space="preserve">A TWA of </w:t>
      </w:r>
      <w:r w:rsidR="00B25E40" w:rsidRPr="00B25E40">
        <w:rPr>
          <w:rFonts w:cs="Arial"/>
        </w:rPr>
        <w:t>100 ppm (350 mg/m</w:t>
      </w:r>
      <w:r w:rsidR="00B25E40" w:rsidRPr="00B25E40">
        <w:rPr>
          <w:rFonts w:cs="Arial"/>
          <w:vertAlign w:val="superscript"/>
        </w:rPr>
        <w:t>3</w:t>
      </w:r>
      <w:r w:rsidR="00B25E40" w:rsidRPr="00B25E40">
        <w:rPr>
          <w:rFonts w:cs="Arial"/>
        </w:rPr>
        <w:t>)</w:t>
      </w:r>
      <w:r w:rsidR="00B25E40">
        <w:rPr>
          <w:rFonts w:cs="Arial"/>
        </w:rPr>
        <w:t xml:space="preserve"> </w:t>
      </w:r>
      <w:r w:rsidRPr="007B14D6">
        <w:rPr>
          <w:rFonts w:cs="Arial"/>
        </w:rPr>
        <w:t xml:space="preserve">is </w:t>
      </w:r>
      <w:r w:rsidR="009D15D0">
        <w:rPr>
          <w:rFonts w:cs="Arial"/>
        </w:rPr>
        <w:t>recommended</w:t>
      </w:r>
      <w:r w:rsidR="009D15D0" w:rsidRPr="007B14D6">
        <w:rPr>
          <w:rFonts w:cs="Arial"/>
        </w:rPr>
        <w:t xml:space="preserve"> </w:t>
      </w:r>
      <w:r w:rsidRPr="007B14D6">
        <w:rPr>
          <w:rFonts w:cs="Arial"/>
        </w:rPr>
        <w:t xml:space="preserve">to protect </w:t>
      </w:r>
      <w:r w:rsidRPr="00F37E07">
        <w:rPr>
          <w:rFonts w:cs="Arial"/>
        </w:rPr>
        <w:t xml:space="preserve">for </w:t>
      </w:r>
      <w:r w:rsidR="00B25E40">
        <w:t>depression of the central nervous system</w:t>
      </w:r>
      <w:r w:rsidR="00D66480">
        <w:t xml:space="preserve"> (CNS)</w:t>
      </w:r>
      <w:r w:rsidR="00B25E40">
        <w:t xml:space="preserve">, headache, dizziness, </w:t>
      </w:r>
      <w:r w:rsidR="00625E3C">
        <w:t xml:space="preserve">and </w:t>
      </w:r>
      <w:r w:rsidR="00B25E40">
        <w:t xml:space="preserve">narcosis in </w:t>
      </w:r>
      <w:r>
        <w:rPr>
          <w:rFonts w:cs="Arial"/>
        </w:rPr>
        <w:t xml:space="preserve">exposed </w:t>
      </w:r>
      <w:r w:rsidRPr="00F37E07">
        <w:rPr>
          <w:rFonts w:cs="Arial"/>
        </w:rPr>
        <w:t>workers</w:t>
      </w:r>
      <w:r>
        <w:rPr>
          <w:rFonts w:cs="Arial"/>
        </w:rPr>
        <w:t>.</w:t>
      </w:r>
    </w:p>
    <w:p w14:paraId="7A990C99" w14:textId="77777777" w:rsidR="00462845" w:rsidRPr="004C23F4" w:rsidRDefault="00462845" w:rsidP="00462845">
      <w:pPr>
        <w:rPr>
          <w:rFonts w:cs="Arial"/>
        </w:rPr>
      </w:pPr>
      <w:r>
        <w:rPr>
          <w:rFonts w:cs="Arial"/>
        </w:rPr>
        <w:t>It is recommended that t</w:t>
      </w:r>
      <w:r w:rsidRPr="00B14474">
        <w:rPr>
          <w:rFonts w:cs="Arial"/>
        </w:rPr>
        <w:t xml:space="preserve">he previous STEL of </w:t>
      </w:r>
      <w:r>
        <w:rPr>
          <w:rFonts w:cs="Arial"/>
        </w:rPr>
        <w:t>300 ppm (1,050 mg/m</w:t>
      </w:r>
      <w:r w:rsidRPr="00B14474">
        <w:rPr>
          <w:rFonts w:cs="Arial"/>
          <w:vertAlign w:val="superscript"/>
        </w:rPr>
        <w:t>3</w:t>
      </w:r>
      <w:r w:rsidRPr="00B14474">
        <w:rPr>
          <w:rFonts w:cs="Arial"/>
        </w:rPr>
        <w:t xml:space="preserve">) is withdrawn </w:t>
      </w:r>
      <w:r>
        <w:rPr>
          <w:rFonts w:cs="Arial"/>
        </w:rPr>
        <w:t>as there is no evidence of acute adverse effects evident within ten times of the recommended TWA.</w:t>
      </w:r>
    </w:p>
    <w:p w14:paraId="38EDB96B" w14:textId="77777777" w:rsidR="00C7155E" w:rsidRPr="004C23F4" w:rsidRDefault="00F10C97" w:rsidP="00B14474">
      <w:pPr>
        <w:pStyle w:val="Heading2"/>
      </w:pPr>
      <w:r>
        <w:t>Discussion and conclusions</w:t>
      </w:r>
    </w:p>
    <w:p w14:paraId="12EF19F6" w14:textId="5DBE5EEB" w:rsidR="006639B4" w:rsidRDefault="00A32CFA" w:rsidP="00B14474">
      <w:pPr>
        <w:rPr>
          <w:rFonts w:cs="Arial"/>
        </w:rPr>
      </w:pPr>
      <w:r w:rsidRPr="00A32CFA">
        <w:rPr>
          <w:rFonts w:cs="Arial"/>
        </w:rPr>
        <w:t>Cy</w:t>
      </w:r>
      <w:r>
        <w:rPr>
          <w:rFonts w:cs="Arial"/>
        </w:rPr>
        <w:t>clohexane</w:t>
      </w:r>
      <w:r w:rsidRPr="00A32CFA">
        <w:rPr>
          <w:rFonts w:cs="Arial"/>
        </w:rPr>
        <w:t xml:space="preserve"> is used </w:t>
      </w:r>
      <w:r>
        <w:rPr>
          <w:rFonts w:cs="Arial"/>
        </w:rPr>
        <w:t>as a solvent,</w:t>
      </w:r>
      <w:r w:rsidR="006C2FB2">
        <w:rPr>
          <w:rFonts w:cs="Arial"/>
        </w:rPr>
        <w:t xml:space="preserve"> in</w:t>
      </w:r>
      <w:r>
        <w:rPr>
          <w:rFonts w:cs="Arial"/>
        </w:rPr>
        <w:t xml:space="preserve"> perfume manufacture, surface coating and removal, in extraction of essential oils, in molecular weight determination and in the manufacturing of various chemical</w:t>
      </w:r>
      <w:r w:rsidR="006C2FB2">
        <w:rPr>
          <w:rFonts w:cs="Arial"/>
        </w:rPr>
        <w:t>s</w:t>
      </w:r>
      <w:r w:rsidRPr="00A32CFA">
        <w:rPr>
          <w:rFonts w:cs="Arial"/>
        </w:rPr>
        <w:t>.</w:t>
      </w:r>
      <w:r w:rsidR="00625E3C">
        <w:rPr>
          <w:rFonts w:cs="Arial"/>
        </w:rPr>
        <w:t xml:space="preserve"> The critical effects are sedation, neurobehavioural effects and systemic toxicity. </w:t>
      </w:r>
    </w:p>
    <w:p w14:paraId="79C3AEE8" w14:textId="450BF6E4" w:rsidR="007700C1" w:rsidRDefault="006C2FB2" w:rsidP="00857773">
      <w:pPr>
        <w:keepNext/>
        <w:keepLines/>
        <w:widowControl w:val="0"/>
        <w:rPr>
          <w:rFonts w:cs="Arial"/>
        </w:rPr>
      </w:pPr>
      <w:r>
        <w:rPr>
          <w:rFonts w:cs="Arial"/>
        </w:rPr>
        <w:t>A</w:t>
      </w:r>
      <w:r w:rsidR="00A32CFA">
        <w:rPr>
          <w:rFonts w:cs="Arial"/>
        </w:rPr>
        <w:t xml:space="preserve"> combination of occupational and experimental studies on human exposure to </w:t>
      </w:r>
      <w:r w:rsidR="007700C1">
        <w:rPr>
          <w:rFonts w:cs="Arial"/>
        </w:rPr>
        <w:t>95</w:t>
      </w:r>
      <w:r>
        <w:rPr>
          <w:rFonts w:cs="Arial"/>
        </w:rPr>
        <w:t>–</w:t>
      </w:r>
      <w:r w:rsidR="007700C1">
        <w:rPr>
          <w:rFonts w:cs="Arial"/>
        </w:rPr>
        <w:t>274</w:t>
      </w:r>
      <w:r w:rsidR="00857773">
        <w:rPr>
          <w:rFonts w:cs="Arial"/>
        </w:rPr>
        <w:t> </w:t>
      </w:r>
      <w:r w:rsidR="007700C1">
        <w:rPr>
          <w:rFonts w:cs="Arial"/>
        </w:rPr>
        <w:t xml:space="preserve">ppm produced no subjective, behavioural or systematic symptoms. In chronic </w:t>
      </w:r>
      <w:r w:rsidR="00DE461A">
        <w:rPr>
          <w:rFonts w:cs="Arial"/>
        </w:rPr>
        <w:t xml:space="preserve">inhalation </w:t>
      </w:r>
      <w:r w:rsidR="007700C1">
        <w:rPr>
          <w:rFonts w:cs="Arial"/>
        </w:rPr>
        <w:t xml:space="preserve">animal studies </w:t>
      </w:r>
      <w:r w:rsidR="007700C1" w:rsidRPr="00D66480">
        <w:rPr>
          <w:rFonts w:cs="Arial"/>
        </w:rPr>
        <w:t>NO</w:t>
      </w:r>
      <w:r w:rsidR="00D66480">
        <w:rPr>
          <w:rFonts w:cs="Arial"/>
        </w:rPr>
        <w:t>A</w:t>
      </w:r>
      <w:r w:rsidR="007700C1" w:rsidRPr="00D66480">
        <w:rPr>
          <w:rFonts w:cs="Arial"/>
        </w:rPr>
        <w:t>E</w:t>
      </w:r>
      <w:r w:rsidR="00D66480">
        <w:rPr>
          <w:rFonts w:cs="Arial"/>
        </w:rPr>
        <w:t>C and NOAE</w:t>
      </w:r>
      <w:r w:rsidR="007700C1" w:rsidRPr="00D66480">
        <w:rPr>
          <w:rFonts w:cs="Arial"/>
        </w:rPr>
        <w:t>L</w:t>
      </w:r>
      <w:r w:rsidR="00DE461A" w:rsidRPr="00D66480">
        <w:rPr>
          <w:rFonts w:cs="Arial"/>
        </w:rPr>
        <w:t>s</w:t>
      </w:r>
      <w:r w:rsidR="007700C1" w:rsidRPr="00D66480">
        <w:rPr>
          <w:rFonts w:cs="Arial"/>
        </w:rPr>
        <w:t xml:space="preserve"> of </w:t>
      </w:r>
      <w:r w:rsidR="007700C1">
        <w:rPr>
          <w:rFonts w:cs="Arial"/>
        </w:rPr>
        <w:t>434 ppm or above was reported, including a reproductive study</w:t>
      </w:r>
      <w:r w:rsidR="0044761D">
        <w:rPr>
          <w:rFonts w:cs="Arial"/>
        </w:rPr>
        <w:t xml:space="preserve"> (ACGIH</w:t>
      </w:r>
      <w:r w:rsidR="00BD634E">
        <w:rPr>
          <w:rFonts w:cs="Arial"/>
        </w:rPr>
        <w:t>,</w:t>
      </w:r>
      <w:r w:rsidR="0044761D">
        <w:rPr>
          <w:rFonts w:cs="Arial"/>
        </w:rPr>
        <w:t xml:space="preserve"> 2018)</w:t>
      </w:r>
      <w:r w:rsidR="007700C1">
        <w:rPr>
          <w:rFonts w:cs="Arial"/>
        </w:rPr>
        <w:t>.</w:t>
      </w:r>
    </w:p>
    <w:p w14:paraId="6319F17E" w14:textId="0F6EF2C3" w:rsidR="00A32CFA" w:rsidRDefault="00FC282F" w:rsidP="00A32CFA">
      <w:pPr>
        <w:rPr>
          <w:rFonts w:cs="Arial"/>
        </w:rPr>
      </w:pPr>
      <w:r w:rsidRPr="00FC282F">
        <w:t xml:space="preserve">Based on the evidence presented in humans and </w:t>
      </w:r>
      <w:r>
        <w:t>animals</w:t>
      </w:r>
      <w:r w:rsidR="000E29A6">
        <w:t>,</w:t>
      </w:r>
      <w:r w:rsidRPr="00FC282F">
        <w:t xml:space="preserve"> the </w:t>
      </w:r>
      <w:r w:rsidR="00BB4D50">
        <w:t xml:space="preserve">current </w:t>
      </w:r>
      <w:r w:rsidRPr="00FC282F">
        <w:t xml:space="preserve">TWA </w:t>
      </w:r>
      <w:r w:rsidR="006D61CB">
        <w:t xml:space="preserve">of 100 ppm (rounded from 95 ppm) </w:t>
      </w:r>
      <w:r w:rsidRPr="00FC282F">
        <w:t xml:space="preserve">is </w:t>
      </w:r>
      <w:r w:rsidR="00330D4D">
        <w:t xml:space="preserve">retained and </w:t>
      </w:r>
      <w:r w:rsidRPr="00FC282F">
        <w:t>considered to be protective of</w:t>
      </w:r>
      <w:r w:rsidR="00A32CFA" w:rsidRPr="00A32CFA">
        <w:t xml:space="preserve"> depression of the </w:t>
      </w:r>
      <w:r w:rsidR="00D66480">
        <w:t>CNS</w:t>
      </w:r>
      <w:r w:rsidR="00A32CFA" w:rsidRPr="00A32CFA">
        <w:t xml:space="preserve">, headache dizziness, </w:t>
      </w:r>
      <w:r w:rsidR="00625E3C">
        <w:t xml:space="preserve">and </w:t>
      </w:r>
      <w:r w:rsidR="00A32CFA" w:rsidRPr="00A32CFA">
        <w:t>narcosis</w:t>
      </w:r>
      <w:r w:rsidR="00A32CFA">
        <w:rPr>
          <w:rFonts w:cs="Arial"/>
        </w:rPr>
        <w:t>.</w:t>
      </w:r>
    </w:p>
    <w:p w14:paraId="669E49C6" w14:textId="5E0CF8EF" w:rsidR="00330D4D" w:rsidRPr="00545BC3" w:rsidRDefault="00330D4D" w:rsidP="00A32CFA">
      <w:r w:rsidRPr="00545BC3">
        <w:rPr>
          <w:rFonts w:cs="Arial"/>
        </w:rPr>
        <w:t xml:space="preserve">As there is insufficient data to suggest an immediately acute effect at concentrations within ten times the recommended TWA, </w:t>
      </w:r>
      <w:r w:rsidR="00462845" w:rsidRPr="00545BC3">
        <w:rPr>
          <w:rFonts w:cs="Arial"/>
        </w:rPr>
        <w:t xml:space="preserve">it is recommended that the </w:t>
      </w:r>
      <w:r w:rsidRPr="00545BC3">
        <w:rPr>
          <w:rFonts w:cs="Arial"/>
        </w:rPr>
        <w:t>STEL</w:t>
      </w:r>
      <w:r w:rsidR="00545BC3" w:rsidRPr="00545BC3">
        <w:rPr>
          <w:rFonts w:cs="Arial"/>
        </w:rPr>
        <w:t xml:space="preserve"> </w:t>
      </w:r>
      <w:r w:rsidR="00462845" w:rsidRPr="00545BC3">
        <w:rPr>
          <w:rFonts w:cs="Arial"/>
        </w:rPr>
        <w:t>be</w:t>
      </w:r>
      <w:r w:rsidRPr="00545BC3">
        <w:rPr>
          <w:rFonts w:cs="Arial"/>
        </w:rPr>
        <w:t xml:space="preserve"> withdrawn</w:t>
      </w:r>
      <w:r w:rsidR="00F81584" w:rsidRPr="00545BC3">
        <w:rPr>
          <w:rFonts w:cs="Arial"/>
        </w:rPr>
        <w:t>.</w:t>
      </w:r>
    </w:p>
    <w:p w14:paraId="7552484F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0AD0139" w14:textId="2BD0E6BF" w:rsidR="004934F7" w:rsidRPr="00E04BA9" w:rsidRDefault="004934F7" w:rsidP="004934F7">
      <w:pPr>
        <w:rPr>
          <w:rFonts w:cs="Arial"/>
        </w:rPr>
      </w:pPr>
      <w:r w:rsidRPr="00E04BA9">
        <w:rPr>
          <w:rFonts w:cs="Arial"/>
        </w:rPr>
        <w:t>Not classified as a carcinogen according to the Globally Harmonized System of Classification and Labelling o</w:t>
      </w:r>
      <w:r w:rsidR="00997DF3">
        <w:rPr>
          <w:rFonts w:cs="Arial"/>
        </w:rPr>
        <w:t>f</w:t>
      </w:r>
      <w:r w:rsidRPr="00E04BA9">
        <w:rPr>
          <w:rFonts w:cs="Arial"/>
        </w:rPr>
        <w:t xml:space="preserve"> Chemicals (GHS). </w:t>
      </w:r>
    </w:p>
    <w:p w14:paraId="3814D1BB" w14:textId="69A8209F" w:rsidR="004934F7" w:rsidRPr="00E04BA9" w:rsidRDefault="004934F7" w:rsidP="004934F7">
      <w:pPr>
        <w:rPr>
          <w:rFonts w:cs="Arial"/>
        </w:rPr>
      </w:pPr>
      <w:r w:rsidRPr="00E04BA9">
        <w:rPr>
          <w:rFonts w:cs="Arial"/>
        </w:rPr>
        <w:lastRenderedPageBreak/>
        <w:t>Not classified as a skin</w:t>
      </w:r>
      <w:r w:rsidR="00BC1663">
        <w:rPr>
          <w:rFonts w:cs="Arial"/>
        </w:rPr>
        <w:t xml:space="preserve"> sensitiser</w:t>
      </w:r>
      <w:r w:rsidRPr="00E04BA9">
        <w:rPr>
          <w:rFonts w:cs="Arial"/>
        </w:rPr>
        <w:t xml:space="preserve"> or respiratory sensitiser according to the GHS.</w:t>
      </w:r>
    </w:p>
    <w:p w14:paraId="11BECDAD" w14:textId="66E9BB9E" w:rsidR="0025734A" w:rsidRPr="004C23F4" w:rsidRDefault="004934F7" w:rsidP="004934F7">
      <w:pPr>
        <w:rPr>
          <w:rFonts w:cs="Arial"/>
        </w:rPr>
      </w:pPr>
      <w:r w:rsidRPr="00625291">
        <w:rPr>
          <w:rFonts w:cs="Arial"/>
        </w:rPr>
        <w:t xml:space="preserve">A skin notation is not </w:t>
      </w:r>
      <w:r w:rsidR="00D66480">
        <w:rPr>
          <w:rFonts w:cs="Arial"/>
        </w:rPr>
        <w:t>recommended</w:t>
      </w:r>
      <w:r w:rsidRPr="00625291">
        <w:rPr>
          <w:rFonts w:cs="Arial"/>
        </w:rPr>
        <w:t xml:space="preserve"> based on the available evidence</w:t>
      </w:r>
      <w:r w:rsidRPr="00E04BA9">
        <w:rPr>
          <w:rFonts w:cs="Arial"/>
        </w:rPr>
        <w:t>.</w:t>
      </w:r>
    </w:p>
    <w:p w14:paraId="5FE5180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2D8790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5A7ADE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2C01343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CC73EC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BCA989E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DAFC94E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064FA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1615974170"/>
                    <w:placeholder>
                      <w:docPart w:val="5A18D5A93A5F43488E84992923013CDE"/>
                    </w:placeholder>
                  </w:sdtPr>
                  <w:sdtEndPr/>
                  <w:sdtContent>
                    <w:r w:rsidR="003064FA">
                      <w:t xml:space="preserve">TWA: </w:t>
                    </w:r>
                    <w:r w:rsidR="004E4D69">
                      <w:t>100</w:t>
                    </w:r>
                    <w:r w:rsidR="003064FA">
                      <w:t xml:space="preserve"> ppm (</w:t>
                    </w:r>
                    <w:r w:rsidR="004E4D69">
                      <w:t>350</w:t>
                    </w:r>
                    <w:r w:rsidR="003064FA">
                      <w:t xml:space="preserve"> mg/m</w:t>
                    </w:r>
                    <w:r w:rsidR="003064FA">
                      <w:rPr>
                        <w:vertAlign w:val="superscript"/>
                      </w:rPr>
                      <w:t>3</w:t>
                    </w:r>
                    <w:r w:rsidR="003064FA">
                      <w:t>)</w:t>
                    </w:r>
                  </w:sdtContent>
                </w:sdt>
                <w:r w:rsidR="004E4D69">
                  <w:t>; STEL: 300 ppm (1</w:t>
                </w:r>
                <w:r w:rsidR="00BD5FC4">
                  <w:t>,</w:t>
                </w:r>
                <w:r w:rsidR="004E4D69">
                  <w:t>050 mg/m</w:t>
                </w:r>
                <w:r w:rsidR="004E4D69" w:rsidRPr="00127595">
                  <w:rPr>
                    <w:vertAlign w:val="superscript"/>
                  </w:rPr>
                  <w:t>3</w:t>
                </w:r>
                <w:r w:rsidR="004E4D69">
                  <w:t>)</w:t>
                </w:r>
              </w:sdtContent>
            </w:sdt>
          </w:p>
        </w:tc>
      </w:tr>
      <w:tr w:rsidR="00C978F0" w:rsidRPr="00DA352E" w14:paraId="4DCE4E6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64DB2B9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7984DE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EA3A90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E4D69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E4D69" w:rsidRPr="004E4D69">
                  <w:t>TWA: 100 ppm (350 mg/m</w:t>
                </w:r>
                <w:r w:rsidR="004E4D69" w:rsidRPr="00463FD8">
                  <w:rPr>
                    <w:vertAlign w:val="superscript"/>
                  </w:rPr>
                  <w:t>3</w:t>
                </w:r>
                <w:r w:rsidR="004E4D69" w:rsidRPr="004E4D69">
                  <w:t>)</w:t>
                </w:r>
              </w:sdtContent>
            </w:sdt>
          </w:p>
        </w:tc>
      </w:tr>
      <w:tr w:rsidR="00C978F0" w:rsidRPr="00DA352E" w14:paraId="5F78F63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8F27BF3" w14:textId="77777777" w:rsidR="00020139" w:rsidRDefault="00020139" w:rsidP="00020139">
            <w:pPr>
              <w:pStyle w:val="Tabletextprimarysource"/>
            </w:pPr>
            <w:r>
              <w:t xml:space="preserve">TLV-TWA recommended to minimise </w:t>
            </w:r>
            <w:r w:rsidR="00B25E40" w:rsidRPr="00C91D05">
              <w:t xml:space="preserve">the potential for </w:t>
            </w:r>
            <w:r w:rsidR="00B25E40">
              <w:t>depression of the central nervous system, headache, dizziness, narcosis and death.</w:t>
            </w:r>
          </w:p>
          <w:p w14:paraId="698A06F8" w14:textId="77777777" w:rsidR="00020139" w:rsidRDefault="00020139" w:rsidP="00020139">
            <w:pPr>
              <w:pStyle w:val="Tabletextprimarysource"/>
            </w:pPr>
            <w:r>
              <w:t>Summary of data:</w:t>
            </w:r>
          </w:p>
          <w:p w14:paraId="2BE73275" w14:textId="77777777" w:rsidR="00020139" w:rsidRDefault="00020139" w:rsidP="00BD1471">
            <w:pPr>
              <w:pStyle w:val="Tabletextprimarysource"/>
            </w:pPr>
            <w:r>
              <w:t>Human data:</w:t>
            </w:r>
          </w:p>
          <w:p w14:paraId="5F877111" w14:textId="23272651" w:rsidR="00020139" w:rsidRDefault="008A3D10" w:rsidP="00463FD8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 xml:space="preserve">Physiologically based pharmacokinetic model based on </w:t>
            </w:r>
            <w:r w:rsidR="009F1BA8">
              <w:t>a rat and human study predicted a NOE</w:t>
            </w:r>
            <w:r w:rsidR="00D66480">
              <w:t>C</w:t>
            </w:r>
            <w:r w:rsidR="009F1BA8">
              <w:t xml:space="preserve"> </w:t>
            </w:r>
            <w:r w:rsidR="00BD1471">
              <w:t xml:space="preserve">at </w:t>
            </w:r>
            <w:r w:rsidR="009F1BA8">
              <w:t>1,200 ppm (inhalation)</w:t>
            </w:r>
            <w:r w:rsidR="00BD1471">
              <w:t xml:space="preserve"> with sedation at 3,900</w:t>
            </w:r>
            <w:r w:rsidR="001C58EC">
              <w:t xml:space="preserve"> </w:t>
            </w:r>
            <w:r w:rsidR="00BD1471">
              <w:t>ppm</w:t>
            </w:r>
          </w:p>
          <w:p w14:paraId="6A098CB7" w14:textId="7FEF693D" w:rsidR="009F1BA8" w:rsidRDefault="00A711C1" w:rsidP="00463FD8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12 subjects exposed at 25</w:t>
            </w:r>
            <w:r w:rsidR="00CF1E42">
              <w:t xml:space="preserve"> ppm</w:t>
            </w:r>
            <w:r>
              <w:t xml:space="preserve"> and 250 ppm for 4 h</w:t>
            </w:r>
            <w:r w:rsidR="006C2FB2">
              <w:t>;</w:t>
            </w:r>
            <w:r>
              <w:t xml:space="preserve"> no change was recorded in any of the neurobehavioral parameters measured </w:t>
            </w:r>
          </w:p>
          <w:p w14:paraId="0B6825C5" w14:textId="071564F8" w:rsidR="009F1BA8" w:rsidRDefault="00D073A5" w:rsidP="00463FD8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 xml:space="preserve">33 </w:t>
            </w:r>
            <w:r w:rsidR="006C2FB2">
              <w:t>w</w:t>
            </w:r>
            <w:r>
              <w:t>omen exposed up to 274 ppm whilst applying glue solvent over a measured work shift produced no symptoms. Parameter included h</w:t>
            </w:r>
            <w:r w:rsidRPr="00D073A5">
              <w:t>aematological</w:t>
            </w:r>
            <w:r>
              <w:t>, serum biochemical, liver function, kidney function, sister chromatid exchange rates and other subjective symptoms</w:t>
            </w:r>
          </w:p>
          <w:p w14:paraId="357DAF83" w14:textId="4568E575" w:rsidR="00D073A5" w:rsidRDefault="00A711C1" w:rsidP="00463FD8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 xml:space="preserve">18 </w:t>
            </w:r>
            <w:r w:rsidR="006C2FB2">
              <w:t xml:space="preserve">women </w:t>
            </w:r>
            <w:r>
              <w:t xml:space="preserve">exposed up to 95 ppm whilst using adhesive in a luggage factory produced no symptoms. Parameter included peripheral nerve condition and </w:t>
            </w:r>
            <w:r w:rsidR="00434F17">
              <w:t>other subjective symptoms</w:t>
            </w:r>
            <w:r w:rsidR="00D866CF">
              <w:t>.</w:t>
            </w:r>
          </w:p>
          <w:p w14:paraId="74809516" w14:textId="77777777" w:rsidR="006132F6" w:rsidRDefault="006132F6" w:rsidP="00BD1471">
            <w:pPr>
              <w:pStyle w:val="Tabletextprimarysource"/>
            </w:pPr>
          </w:p>
          <w:p w14:paraId="31C3103A" w14:textId="46A9A089" w:rsidR="00020139" w:rsidRDefault="00020139" w:rsidP="00BD1471">
            <w:pPr>
              <w:pStyle w:val="Tabletextprimarysource"/>
            </w:pPr>
            <w:r>
              <w:t>Animal data:</w:t>
            </w:r>
          </w:p>
          <w:p w14:paraId="23526088" w14:textId="5BE985F9" w:rsidR="00020139" w:rsidRDefault="00AD1931" w:rsidP="00463FD8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LD</w:t>
            </w:r>
            <w:r w:rsidRPr="00974668">
              <w:rPr>
                <w:vertAlign w:val="subscript"/>
              </w:rPr>
              <w:t>50</w:t>
            </w:r>
            <w:r>
              <w:t>: 6,200</w:t>
            </w:r>
            <w:r w:rsidR="006C2FB2">
              <w:t>–</w:t>
            </w:r>
            <w:r>
              <w:t>30,400 mg/kg (rats, 14</w:t>
            </w:r>
            <w:r w:rsidR="006C2FB2">
              <w:t xml:space="preserve"> </w:t>
            </w:r>
            <w:r>
              <w:t>d, oral), age dependant</w:t>
            </w:r>
          </w:p>
          <w:p w14:paraId="2A4E049E" w14:textId="79D1D616" w:rsidR="00AD1931" w:rsidRDefault="00AD1931" w:rsidP="00463FD8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NOE</w:t>
            </w:r>
            <w:r w:rsidR="00D66480">
              <w:t>C</w:t>
            </w:r>
            <w:r>
              <w:t>: 2</w:t>
            </w:r>
            <w:r w:rsidR="00BD634E">
              <w:t>,</w:t>
            </w:r>
            <w:r>
              <w:t>000 ppm (rats, 6</w:t>
            </w:r>
            <w:r w:rsidR="006C2FB2">
              <w:t xml:space="preserve"> </w:t>
            </w:r>
            <w:r w:rsidR="00C6795C">
              <w:t>h, inhalation</w:t>
            </w:r>
            <w:r>
              <w:t>), based on behavioural effects</w:t>
            </w:r>
          </w:p>
          <w:p w14:paraId="0E13F89E" w14:textId="77777777" w:rsidR="00AD1931" w:rsidRDefault="00C6795C" w:rsidP="00463FD8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 xml:space="preserve">Inhalation exposure </w:t>
            </w:r>
            <w:r w:rsidR="00832F2A">
              <w:t>to 434, 786 and</w:t>
            </w:r>
            <w:r>
              <w:t xml:space="preserve"> 3</w:t>
            </w:r>
            <w:r w:rsidR="00832F2A">
              <w:t>,</w:t>
            </w:r>
            <w:r>
              <w:t>355 ppm over 10</w:t>
            </w:r>
            <w:r w:rsidR="006C2FB2">
              <w:t xml:space="preserve"> </w:t>
            </w:r>
            <w:r>
              <w:t>wk (rabbits, 6</w:t>
            </w:r>
            <w:r w:rsidR="006C2FB2">
              <w:t xml:space="preserve"> </w:t>
            </w:r>
            <w:r>
              <w:t>h/d)</w:t>
            </w:r>
          </w:p>
          <w:p w14:paraId="2F35895C" w14:textId="48F68746" w:rsidR="00832F2A" w:rsidRDefault="00D866CF" w:rsidP="00463FD8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n</w:t>
            </w:r>
            <w:r w:rsidR="00832F2A">
              <w:t>o clinical signs of toxicity at any level</w:t>
            </w:r>
          </w:p>
          <w:p w14:paraId="33E35E99" w14:textId="5EBDF7BE" w:rsidR="00B85D1D" w:rsidRDefault="00B85D1D" w:rsidP="00463FD8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microscopic changes in liver and kidney</w:t>
            </w:r>
            <w:r w:rsidR="00763DFB">
              <w:t xml:space="preserve"> at 786 ppm</w:t>
            </w:r>
          </w:p>
          <w:p w14:paraId="34B0D4B2" w14:textId="5E1599E7" w:rsidR="00832F2A" w:rsidRDefault="00D866CF" w:rsidP="00463FD8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h</w:t>
            </w:r>
            <w:r w:rsidR="00832F2A">
              <w:t>istopathological effects NOE</w:t>
            </w:r>
            <w:r w:rsidR="00D66480">
              <w:t>C</w:t>
            </w:r>
            <w:r w:rsidR="00763DFB">
              <w:t xml:space="preserve"> of </w:t>
            </w:r>
            <w:r w:rsidR="00832F2A">
              <w:t>434 ppm</w:t>
            </w:r>
          </w:p>
          <w:p w14:paraId="7EDC8495" w14:textId="6E54DB9F" w:rsidR="00832F2A" w:rsidRDefault="00832F2A" w:rsidP="00463FD8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Inhalation exposure to 0, 500, 2,000 and 7,000 ppm over 1</w:t>
            </w:r>
            <w:r w:rsidR="00B85D1D">
              <w:t>4</w:t>
            </w:r>
            <w:r w:rsidR="006C2FB2">
              <w:t xml:space="preserve"> </w:t>
            </w:r>
            <w:r>
              <w:t>wk (</w:t>
            </w:r>
            <w:r w:rsidR="00B85D1D">
              <w:t>mice</w:t>
            </w:r>
            <w:r>
              <w:t>, 6</w:t>
            </w:r>
            <w:r w:rsidR="006C2FB2">
              <w:t xml:space="preserve"> </w:t>
            </w:r>
            <w:r>
              <w:t>h/d</w:t>
            </w:r>
            <w:r w:rsidR="00B85D1D">
              <w:t>, 5</w:t>
            </w:r>
            <w:r w:rsidR="006C2FB2">
              <w:t xml:space="preserve"> </w:t>
            </w:r>
            <w:r w:rsidR="00B85D1D">
              <w:t>d/wk</w:t>
            </w:r>
            <w:r>
              <w:t>)</w:t>
            </w:r>
          </w:p>
          <w:p w14:paraId="6CD732C0" w14:textId="129CB26E" w:rsidR="00832F2A" w:rsidRDefault="00B85D1D" w:rsidP="00463FD8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 xml:space="preserve">7,000 ppm: increased liver weight, </w:t>
            </w:r>
            <w:r w:rsidR="00763DFB">
              <w:t>reversible</w:t>
            </w:r>
            <w:r>
              <w:t xml:space="preserve"> after 1 mo</w:t>
            </w:r>
            <w:r w:rsidR="00E62F10">
              <w:t xml:space="preserve">, increase in </w:t>
            </w:r>
            <w:r w:rsidR="00E62F10" w:rsidRPr="00E62F10">
              <w:t>erythrocyte</w:t>
            </w:r>
            <w:r w:rsidR="00E62F10">
              <w:t xml:space="preserve"> mass and plasma protein concentration</w:t>
            </w:r>
          </w:p>
          <w:p w14:paraId="16C2DBE0" w14:textId="41B25537" w:rsidR="00B85D1D" w:rsidRDefault="00B85D1D" w:rsidP="00463FD8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2,000</w:t>
            </w:r>
            <w:r w:rsidR="00CF1E42">
              <w:t xml:space="preserve"> ppm</w:t>
            </w:r>
            <w:r>
              <w:t xml:space="preserve"> and 7,000 ppm: stimulus response and behavioural changes</w:t>
            </w:r>
          </w:p>
          <w:p w14:paraId="4C79D80C" w14:textId="5F61FD72" w:rsidR="00B85D1D" w:rsidRDefault="00B85D1D" w:rsidP="00463FD8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NOE</w:t>
            </w:r>
            <w:r w:rsidR="00D66480">
              <w:t>C</w:t>
            </w:r>
            <w:r>
              <w:t xml:space="preserve"> for reversible behavioural changes and sedation was 500 ppm</w:t>
            </w:r>
          </w:p>
          <w:p w14:paraId="79621C9F" w14:textId="1596FB61" w:rsidR="00B85D1D" w:rsidRDefault="00BF6C29" w:rsidP="00463FD8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 xml:space="preserve">Based on several reproductive </w:t>
            </w:r>
            <w:r w:rsidR="006C2FB2">
              <w:t>studies</w:t>
            </w:r>
            <w:r>
              <w:t>, systematic toxicity</w:t>
            </w:r>
            <w:r w:rsidR="00BD1471">
              <w:t>:</w:t>
            </w:r>
            <w:r>
              <w:t xml:space="preserve"> </w:t>
            </w:r>
            <w:r w:rsidR="00763DFB">
              <w:t>NOEC</w:t>
            </w:r>
            <w:r w:rsidR="006173B0">
              <w:t>:</w:t>
            </w:r>
            <w:r>
              <w:t xml:space="preserve"> 500 ppm</w:t>
            </w:r>
            <w:r w:rsidR="006173B0">
              <w:t>, reproductive toxicity NOEL: 7,000 ppm.</w:t>
            </w:r>
          </w:p>
          <w:p w14:paraId="7F0346BF" w14:textId="77777777" w:rsidR="00974668" w:rsidRDefault="00974668" w:rsidP="00463FD8">
            <w:pPr>
              <w:pStyle w:val="ListBullet"/>
              <w:ind w:left="1080"/>
            </w:pPr>
          </w:p>
          <w:p w14:paraId="43F0FEEA" w14:textId="77777777" w:rsidR="00C978F0" w:rsidRDefault="008A3D10" w:rsidP="00BD1471">
            <w:pPr>
              <w:pStyle w:val="ListBullet"/>
            </w:pPr>
            <w:r>
              <w:t>Negative results in mutagenicity assays</w:t>
            </w:r>
          </w:p>
          <w:p w14:paraId="3D48752A" w14:textId="77777777" w:rsidR="00A6555D" w:rsidRDefault="00A6555D" w:rsidP="00BD1471">
            <w:pPr>
              <w:pStyle w:val="ListBullet"/>
            </w:pPr>
            <w:r>
              <w:t>Insufficient data available to assign a carcinogen notation.</w:t>
            </w:r>
          </w:p>
          <w:p w14:paraId="0F703A4B" w14:textId="58F800ED" w:rsidR="001F4095" w:rsidRPr="00DA352E" w:rsidRDefault="001F4095" w:rsidP="00463FD8">
            <w:pPr>
              <w:pStyle w:val="ListBullet"/>
              <w:ind w:left="360"/>
            </w:pPr>
          </w:p>
        </w:tc>
      </w:tr>
      <w:tr w:rsidR="00C978F0" w:rsidRPr="00DA352E" w14:paraId="57F2316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E8A3A7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6555D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6555D">
                  <w:t>MAK: 200 ppm (700 mg/m</w:t>
                </w:r>
                <w:r w:rsidR="00A6555D" w:rsidRPr="00A6555D">
                  <w:rPr>
                    <w:vertAlign w:val="superscript"/>
                  </w:rPr>
                  <w:t>3</w:t>
                </w:r>
                <w:r w:rsidR="00A6555D">
                  <w:t>)</w:t>
                </w:r>
              </w:sdtContent>
            </w:sdt>
          </w:p>
        </w:tc>
      </w:tr>
      <w:tr w:rsidR="00C978F0" w:rsidRPr="00DA352E" w14:paraId="5C6E4E2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15D7F5B" w14:textId="6B910C4B" w:rsidR="00C978F0" w:rsidRDefault="00A6555D" w:rsidP="003365A5">
            <w:pPr>
              <w:pStyle w:val="Tabletextprimarysource"/>
            </w:pPr>
            <w:r w:rsidRPr="00A6555D">
              <w:t>A provisional MAK value established. Further studies are required to confirm this MAK value.</w:t>
            </w:r>
          </w:p>
          <w:p w14:paraId="7AEB781C" w14:textId="77777777" w:rsidR="009C12BF" w:rsidRDefault="009C12BF" w:rsidP="009C12BF">
            <w:pPr>
              <w:pStyle w:val="Tabletextprimarysource"/>
            </w:pPr>
            <w:r>
              <w:t>Summary of additional data:</w:t>
            </w:r>
          </w:p>
          <w:p w14:paraId="513FDF78" w14:textId="358B7D7E" w:rsidR="001C58EC" w:rsidRDefault="007D68D1" w:rsidP="00463FD8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7D68D1">
              <w:t>25 mg/kg</w:t>
            </w:r>
            <w:r>
              <w:t>/d</w:t>
            </w:r>
            <w:r w:rsidR="00A6555D">
              <w:t xml:space="preserve"> cyclohexanol</w:t>
            </w:r>
            <w:r>
              <w:t xml:space="preserve"> </w:t>
            </w:r>
            <w:r w:rsidRPr="007D68D1">
              <w:t>result</w:t>
            </w:r>
            <w:r>
              <w:t>ed</w:t>
            </w:r>
            <w:r w:rsidRPr="007D68D1">
              <w:t xml:space="preserve"> in inhibition of spermatogenesis in the spermatocyte and spermatid stage </w:t>
            </w:r>
            <w:r w:rsidR="00763DFB">
              <w:t>(</w:t>
            </w:r>
            <w:r w:rsidR="00763DFB" w:rsidRPr="007D68D1">
              <w:t>rabbits</w:t>
            </w:r>
            <w:r w:rsidR="00763DFB">
              <w:t xml:space="preserve">, </w:t>
            </w:r>
            <w:r w:rsidR="00763DFB" w:rsidRPr="007D68D1">
              <w:t>40</w:t>
            </w:r>
            <w:r w:rsidR="00763DFB">
              <w:t xml:space="preserve"> </w:t>
            </w:r>
            <w:r w:rsidR="00763DFB" w:rsidRPr="007D68D1">
              <w:t>d</w:t>
            </w:r>
            <w:r w:rsidR="00763DFB">
              <w:t xml:space="preserve">, </w:t>
            </w:r>
            <w:r w:rsidR="00763DFB" w:rsidRPr="007D68D1">
              <w:t>gavage</w:t>
            </w:r>
            <w:r w:rsidR="00763DFB">
              <w:t>)</w:t>
            </w:r>
          </w:p>
          <w:p w14:paraId="366BB0E7" w14:textId="5F0F623A" w:rsidR="007D68D1" w:rsidRPr="00DA352E" w:rsidRDefault="00A6555D" w:rsidP="00463FD8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T</w:t>
            </w:r>
            <w:r w:rsidRPr="00A6555D">
              <w:t xml:space="preserve">he spermatotoxic effect seen in the rabbit is not to be expected in </w:t>
            </w:r>
            <w:r w:rsidR="00BD1471">
              <w:t>human</w:t>
            </w:r>
            <w:r w:rsidR="001C58EC">
              <w:t>s</w:t>
            </w:r>
            <w:r w:rsidR="00BD1471" w:rsidRPr="00A6555D">
              <w:t xml:space="preserve"> </w:t>
            </w:r>
            <w:r w:rsidRPr="00A6555D">
              <w:t>exposed to a cyclohexane concentration of 200 m</w:t>
            </w:r>
            <w:r w:rsidR="00BD1471">
              <w:t>L</w:t>
            </w:r>
            <w:r w:rsidRPr="00A6555D">
              <w:t>/m</w:t>
            </w:r>
            <w:r w:rsidRPr="001C58EC">
              <w:rPr>
                <w:vertAlign w:val="superscript"/>
              </w:rPr>
              <w:t>3</w:t>
            </w:r>
            <w:r w:rsidR="00A211FA">
              <w:t>.</w:t>
            </w:r>
          </w:p>
        </w:tc>
      </w:tr>
      <w:tr w:rsidR="00C978F0" w:rsidRPr="00DA352E" w14:paraId="4CCAC79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EB83B6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C12BF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9C12BF">
                  <w:t xml:space="preserve">TWA: </w:t>
                </w:r>
                <w:r w:rsidR="009C12BF" w:rsidRPr="009C12BF">
                  <w:t>200 ppm (700 mg/m</w:t>
                </w:r>
                <w:r w:rsidR="009C12BF" w:rsidRPr="00463FD8">
                  <w:rPr>
                    <w:vertAlign w:val="superscript"/>
                  </w:rPr>
                  <w:t>3</w:t>
                </w:r>
                <w:r w:rsidR="009C12BF" w:rsidRPr="009C12BF">
                  <w:t>)</w:t>
                </w:r>
                <w:r w:rsidR="009C12BF">
                  <w:t xml:space="preserve"> </w:t>
                </w:r>
              </w:sdtContent>
            </w:sdt>
          </w:p>
        </w:tc>
      </w:tr>
      <w:tr w:rsidR="00C978F0" w:rsidRPr="00DA352E" w14:paraId="1303199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A57AD0C" w14:textId="77777777" w:rsidR="00BD1883" w:rsidRDefault="00BD1883" w:rsidP="00BD1883">
            <w:pPr>
              <w:pStyle w:val="Tabletextprimarysource"/>
            </w:pPr>
            <w:r>
              <w:t>Summary of additional data:</w:t>
            </w:r>
          </w:p>
          <w:p w14:paraId="309659E3" w14:textId="36F84B7F" w:rsidR="00A211FA" w:rsidRPr="00DA352E" w:rsidRDefault="00BD1883" w:rsidP="00564232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BD1883">
              <w:t>Cyclohexane was not found to be a skin sensitiser when tested by the modified Buhler method</w:t>
            </w:r>
            <w:r w:rsidR="006C2FB2">
              <w:t>.</w:t>
            </w:r>
          </w:p>
        </w:tc>
      </w:tr>
      <w:tr w:rsidR="00BD1883" w:rsidRPr="00DA352E" w14:paraId="2D128A9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8FA155D" w14:textId="77777777" w:rsidR="00BD1883" w:rsidRPr="00DA352E" w:rsidRDefault="00BD1883" w:rsidP="00BD188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936748013"/>
                <w:placeholder>
                  <w:docPart w:val="26D309957DF74E1186143CF0CB02A95B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EC6612F1928F459A9F57962F3EB83778"/>
                </w:placeholder>
              </w:sdtPr>
              <w:sdtEndPr/>
              <w:sdtContent>
                <w:r>
                  <w:t>NA</w:t>
                </w:r>
              </w:sdtContent>
            </w:sdt>
          </w:p>
        </w:tc>
      </w:tr>
      <w:tr w:rsidR="00BD1883" w:rsidRPr="00DA352E" w14:paraId="6EDAC38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B5CB6BA" w14:textId="0F4239BC" w:rsidR="00BD1883" w:rsidRPr="00DA352E" w:rsidRDefault="00BD1883" w:rsidP="00BD1883">
            <w:pPr>
              <w:pStyle w:val="Tabletextprimarysource"/>
            </w:pPr>
            <w:r>
              <w:t>No report</w:t>
            </w:r>
            <w:r w:rsidR="00134B35">
              <w:t>.</w:t>
            </w:r>
          </w:p>
        </w:tc>
      </w:tr>
      <w:tr w:rsidR="00BD1883" w:rsidRPr="00DA352E" w14:paraId="0E23965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98CEB16" w14:textId="77777777" w:rsidR="00BD1883" w:rsidRPr="00DA352E" w:rsidRDefault="00BD1883" w:rsidP="00BD188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1153984025"/>
                <w:placeholder>
                  <w:docPart w:val="3AD54B49E01344BB836423A1F9C5E4DA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COEL WES equivalent"/>
                <w:tag w:val="SCOEL WES equivalent"/>
                <w:id w:val="-1893719918"/>
                <w:placeholder>
                  <w:docPart w:val="DFCDCD5D44FE4E8EAA67DBDE7B5673E7"/>
                </w:placeholder>
              </w:sdtPr>
              <w:sdtEndPr/>
              <w:sdtContent>
                <w:r>
                  <w:t>NA</w:t>
                </w:r>
              </w:sdtContent>
            </w:sdt>
          </w:p>
        </w:tc>
      </w:tr>
      <w:tr w:rsidR="00BD1883" w:rsidRPr="00DA352E" w14:paraId="3910E38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64C52CB" w14:textId="76D2ECB1" w:rsidR="00BD1883" w:rsidRPr="00DA352E" w:rsidRDefault="00BD1883" w:rsidP="00BD1883">
            <w:pPr>
              <w:pStyle w:val="Tabletextprimarysource"/>
            </w:pPr>
            <w:r>
              <w:t>No report</w:t>
            </w:r>
            <w:r w:rsidR="00134B35">
              <w:t>.</w:t>
            </w:r>
          </w:p>
        </w:tc>
      </w:tr>
    </w:tbl>
    <w:p w14:paraId="57F58B35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0BDE8B60" w14:textId="77777777" w:rsidTr="006C7BCC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01EA4FF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1509824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8D8B53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1CABF4E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C5A94F6" w14:textId="77777777" w:rsidTr="006C7BCC">
        <w:trPr>
          <w:cantSplit/>
        </w:trPr>
        <w:tc>
          <w:tcPr>
            <w:tcW w:w="1497" w:type="dxa"/>
          </w:tcPr>
          <w:p w14:paraId="73958C5B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4B367EE3" w14:textId="77777777" w:rsidR="004966BF" w:rsidRPr="00CE617F" w:rsidRDefault="001633A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41D9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4AE9FD0" w14:textId="77777777" w:rsidR="004966BF" w:rsidRPr="004C23F4" w:rsidRDefault="006C7BC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44" w:type="dxa"/>
          </w:tcPr>
          <w:p w14:paraId="3A359DC5" w14:textId="77777777" w:rsidR="004966BF" w:rsidRDefault="00A25D15" w:rsidP="00463FD8">
            <w:pPr>
              <w:pStyle w:val="Tablefont"/>
              <w:numPr>
                <w:ilvl w:val="0"/>
                <w:numId w:val="10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A25D15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2,000 mg/kg (rats, dermal)</w:t>
            </w:r>
          </w:p>
          <w:p w14:paraId="35F252AD" w14:textId="4DDE1644" w:rsidR="00A25D15" w:rsidRPr="004C23F4" w:rsidRDefault="00A25D15" w:rsidP="00463FD8">
            <w:pPr>
              <w:pStyle w:val="Tablefont"/>
              <w:numPr>
                <w:ilvl w:val="0"/>
                <w:numId w:val="10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LC</w:t>
            </w:r>
            <w:r w:rsidRPr="00A25D15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9,500 ppm (rats, 4</w:t>
            </w:r>
            <w:r w:rsidR="006C2FB2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h)</w:t>
            </w:r>
            <w:r w:rsidR="00134B35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8301F2" w:rsidRPr="004C23F4" w14:paraId="15DCED7C" w14:textId="77777777" w:rsidTr="006C7BCC">
        <w:trPr>
          <w:cantSplit/>
        </w:trPr>
        <w:tc>
          <w:tcPr>
            <w:tcW w:w="1497" w:type="dxa"/>
          </w:tcPr>
          <w:p w14:paraId="2A115A3D" w14:textId="77777777" w:rsidR="008301F2" w:rsidRPr="004C23F4" w:rsidRDefault="008301F2" w:rsidP="008301F2">
            <w:pPr>
              <w:pStyle w:val="Tablefont"/>
            </w:pPr>
            <w:r>
              <w:t>US EPA</w:t>
            </w:r>
          </w:p>
        </w:tc>
        <w:tc>
          <w:tcPr>
            <w:tcW w:w="424" w:type="dxa"/>
          </w:tcPr>
          <w:p w14:paraId="76BFAAD3" w14:textId="77777777" w:rsidR="008301F2" w:rsidRPr="00CE617F" w:rsidRDefault="001633A1" w:rsidP="008301F2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932423100"/>
                <w:placeholder>
                  <w:docPart w:val="056B2EC68B9F47D295695ADD43E0D492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301F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2096A99" w14:textId="77777777" w:rsidR="008301F2" w:rsidRPr="004C23F4" w:rsidRDefault="008301F2" w:rsidP="008301F2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2003</w:t>
            </w:r>
          </w:p>
        </w:tc>
        <w:tc>
          <w:tcPr>
            <w:tcW w:w="6444" w:type="dxa"/>
          </w:tcPr>
          <w:p w14:paraId="2E4B327F" w14:textId="03D14F1A" w:rsidR="008301F2" w:rsidRPr="004C23F4" w:rsidRDefault="008301F2" w:rsidP="00463FD8">
            <w:pPr>
              <w:pStyle w:val="Tablefont"/>
              <w:numPr>
                <w:ilvl w:val="0"/>
                <w:numId w:val="1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information</w:t>
            </w:r>
            <w:r w:rsidR="00134B35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31CE2CAA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3234487" w14:textId="77777777" w:rsidTr="00BD1883">
        <w:trPr>
          <w:trHeight w:val="454"/>
          <w:tblHeader/>
        </w:trPr>
        <w:tc>
          <w:tcPr>
            <w:tcW w:w="6603" w:type="dxa"/>
            <w:vAlign w:val="center"/>
          </w:tcPr>
          <w:p w14:paraId="4D9444F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C26449E" w14:textId="77777777" w:rsidR="002E0D61" w:rsidRDefault="00BD188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468A4AD" w14:textId="77777777" w:rsidTr="00BD188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B08D4CC" w14:textId="77777777" w:rsidR="008A36CF" w:rsidRPr="006901A2" w:rsidRDefault="00BD188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CD8635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1D825C0A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B0024A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D11A148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865231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C254615" w14:textId="77777777" w:rsidTr="00812887">
        <w:trPr>
          <w:cantSplit/>
        </w:trPr>
        <w:tc>
          <w:tcPr>
            <w:tcW w:w="3227" w:type="dxa"/>
          </w:tcPr>
          <w:p w14:paraId="4F8C4D0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473DE55" w14:textId="77777777" w:rsidR="00687890" w:rsidRPr="00DD2F9B" w:rsidRDefault="00BD5FC4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245346A" w14:textId="77777777" w:rsidTr="00812887">
        <w:trPr>
          <w:cantSplit/>
        </w:trPr>
        <w:tc>
          <w:tcPr>
            <w:tcW w:w="3227" w:type="dxa"/>
          </w:tcPr>
          <w:p w14:paraId="3CFE805A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A8EC5C1" w14:textId="77777777" w:rsidR="007925F0" w:rsidRPr="00DD2F9B" w:rsidRDefault="00BD5FC4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82620E4" w14:textId="77777777" w:rsidTr="00812887">
        <w:trPr>
          <w:cantSplit/>
        </w:trPr>
        <w:tc>
          <w:tcPr>
            <w:tcW w:w="3227" w:type="dxa"/>
          </w:tcPr>
          <w:p w14:paraId="53F87BE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EB746DA" w14:textId="77777777" w:rsidR="00AF483F" w:rsidRPr="00DD2F9B" w:rsidRDefault="009B6A9A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1EB28C3" w14:textId="77777777" w:rsidTr="00812887">
        <w:trPr>
          <w:cantSplit/>
        </w:trPr>
        <w:tc>
          <w:tcPr>
            <w:tcW w:w="3227" w:type="dxa"/>
          </w:tcPr>
          <w:p w14:paraId="49C8A2D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11D08E6" w14:textId="77777777" w:rsidR="00687890" w:rsidRPr="00DD2F9B" w:rsidRDefault="000409B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2ADB5A3" w14:textId="77777777" w:rsidTr="00812887">
        <w:trPr>
          <w:cantSplit/>
        </w:trPr>
        <w:tc>
          <w:tcPr>
            <w:tcW w:w="3227" w:type="dxa"/>
          </w:tcPr>
          <w:p w14:paraId="7587861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B2F5A72" w14:textId="77777777" w:rsidR="00E41A26" w:rsidRPr="00DD2F9B" w:rsidRDefault="00927B9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3D7ACAEA" w14:textId="77777777" w:rsidTr="00812887">
        <w:trPr>
          <w:cantSplit/>
        </w:trPr>
        <w:tc>
          <w:tcPr>
            <w:tcW w:w="3227" w:type="dxa"/>
          </w:tcPr>
          <w:p w14:paraId="2D1DE92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F87880A" w14:textId="77777777" w:rsidR="002E0D61" w:rsidRPr="00DD2F9B" w:rsidRDefault="002568E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14A6E68" w14:textId="77777777" w:rsidTr="00812887">
        <w:trPr>
          <w:cantSplit/>
        </w:trPr>
        <w:tc>
          <w:tcPr>
            <w:tcW w:w="3227" w:type="dxa"/>
          </w:tcPr>
          <w:p w14:paraId="2AC7406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8FEC7F9" w14:textId="77777777" w:rsidR="002E0D61" w:rsidRPr="00DD2F9B" w:rsidRDefault="002568E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67C136E" w14:textId="77777777" w:rsidTr="00812887">
        <w:trPr>
          <w:cantSplit/>
        </w:trPr>
        <w:tc>
          <w:tcPr>
            <w:tcW w:w="3227" w:type="dxa"/>
          </w:tcPr>
          <w:p w14:paraId="3F7A422E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049B39B" w14:textId="77777777" w:rsidR="002E0D61" w:rsidRPr="00DD2F9B" w:rsidRDefault="00DD24A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06D2E75" w14:textId="77777777" w:rsidTr="00812887">
        <w:trPr>
          <w:cantSplit/>
        </w:trPr>
        <w:tc>
          <w:tcPr>
            <w:tcW w:w="3227" w:type="dxa"/>
          </w:tcPr>
          <w:p w14:paraId="51023FC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E5650F8" w14:textId="77777777" w:rsidR="002E0D61" w:rsidRPr="00DD2F9B" w:rsidRDefault="001332C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1653F0C" w14:textId="77777777" w:rsidTr="00812887">
        <w:trPr>
          <w:cantSplit/>
        </w:trPr>
        <w:tc>
          <w:tcPr>
            <w:tcW w:w="3227" w:type="dxa"/>
          </w:tcPr>
          <w:p w14:paraId="679C1BB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AE013D2" w14:textId="77777777" w:rsidR="00386093" w:rsidRPr="00DD2F9B" w:rsidRDefault="001332C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515B50B" w14:textId="77777777" w:rsidTr="00812887">
        <w:trPr>
          <w:cantSplit/>
        </w:trPr>
        <w:tc>
          <w:tcPr>
            <w:tcW w:w="3227" w:type="dxa"/>
          </w:tcPr>
          <w:p w14:paraId="14308E99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5DB31E4" w14:textId="77777777" w:rsidR="00386093" w:rsidRPr="00DD2F9B" w:rsidRDefault="00C1564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CCF503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84468E8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D5EE95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3793E7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1F87F0B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855"/>
              <w:gridCol w:w="990"/>
              <w:gridCol w:w="900"/>
              <w:gridCol w:w="3065"/>
            </w:tblGrid>
            <w:tr w:rsidR="004934F7" w:rsidRPr="004934F7" w14:paraId="51E11F90" w14:textId="77777777" w:rsidTr="004934F7">
              <w:trPr>
                <w:trHeight w:val="342"/>
              </w:trPr>
              <w:tc>
                <w:tcPr>
                  <w:tcW w:w="3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2ACE0D" w14:textId="77777777" w:rsidR="004934F7" w:rsidRPr="004934F7" w:rsidRDefault="004934F7" w:rsidP="004934F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2FB6F1" w14:textId="77777777" w:rsidR="004934F7" w:rsidRPr="004934F7" w:rsidRDefault="004934F7" w:rsidP="004934F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8A1CCF" w14:textId="77777777" w:rsidR="004934F7" w:rsidRPr="004934F7" w:rsidRDefault="004934F7" w:rsidP="004934F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800233" w14:textId="77777777" w:rsidR="004934F7" w:rsidRPr="004934F7" w:rsidRDefault="004934F7" w:rsidP="004934F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934F7" w:rsidRPr="004934F7" w14:paraId="21EDAA00" w14:textId="77777777" w:rsidTr="004934F7">
              <w:trPr>
                <w:trHeight w:val="342"/>
              </w:trPr>
              <w:tc>
                <w:tcPr>
                  <w:tcW w:w="3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84CAA1" w14:textId="77777777" w:rsidR="004934F7" w:rsidRPr="004934F7" w:rsidRDefault="004934F7" w:rsidP="004934F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5E4ADF" w14:textId="77777777" w:rsidR="004934F7" w:rsidRPr="004934F7" w:rsidRDefault="004934F7" w:rsidP="004934F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6B1251" w14:textId="77777777" w:rsidR="004934F7" w:rsidRPr="004934F7" w:rsidRDefault="004934F7" w:rsidP="004934F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AAAE4E" w14:textId="77777777" w:rsidR="004934F7" w:rsidRPr="004934F7" w:rsidRDefault="004934F7" w:rsidP="004934F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934F7" w:rsidRPr="004934F7" w14:paraId="34F08E6F" w14:textId="77777777" w:rsidTr="004934F7">
              <w:trPr>
                <w:trHeight w:val="342"/>
              </w:trPr>
              <w:tc>
                <w:tcPr>
                  <w:tcW w:w="3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9F764D" w14:textId="77777777" w:rsidR="004934F7" w:rsidRPr="004934F7" w:rsidRDefault="004934F7" w:rsidP="004934F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8A3992" w14:textId="77777777" w:rsidR="004934F7" w:rsidRPr="004934F7" w:rsidRDefault="004934F7" w:rsidP="004934F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CF6875" w14:textId="77777777" w:rsidR="004934F7" w:rsidRPr="004934F7" w:rsidRDefault="004934F7" w:rsidP="004934F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E74937" w14:textId="77777777" w:rsidR="004934F7" w:rsidRPr="004934F7" w:rsidRDefault="004934F7" w:rsidP="004934F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934F7" w:rsidRPr="004934F7" w14:paraId="2F512D75" w14:textId="77777777" w:rsidTr="004934F7">
              <w:trPr>
                <w:trHeight w:val="342"/>
              </w:trPr>
              <w:tc>
                <w:tcPr>
                  <w:tcW w:w="3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950ECC" w14:textId="77777777" w:rsidR="004934F7" w:rsidRPr="004934F7" w:rsidRDefault="004934F7" w:rsidP="004934F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654CBF" w14:textId="77777777" w:rsidR="004934F7" w:rsidRPr="004934F7" w:rsidRDefault="004934F7" w:rsidP="004934F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3E34C4" w14:textId="77777777" w:rsidR="004934F7" w:rsidRPr="004934F7" w:rsidRDefault="004934F7" w:rsidP="004934F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7B4D4B" w14:textId="77777777" w:rsidR="004934F7" w:rsidRPr="004934F7" w:rsidRDefault="004934F7" w:rsidP="004934F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934F7" w:rsidRPr="004934F7" w14:paraId="14C274C6" w14:textId="77777777" w:rsidTr="004934F7">
              <w:trPr>
                <w:trHeight w:val="342"/>
              </w:trPr>
              <w:tc>
                <w:tcPr>
                  <w:tcW w:w="3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49BAF8" w14:textId="77777777" w:rsidR="004934F7" w:rsidRPr="004934F7" w:rsidRDefault="004934F7" w:rsidP="004934F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96914A" w14:textId="77777777" w:rsidR="004934F7" w:rsidRPr="004934F7" w:rsidRDefault="004934F7" w:rsidP="004934F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508B83" w14:textId="77777777" w:rsidR="004934F7" w:rsidRPr="004934F7" w:rsidRDefault="004934F7" w:rsidP="004934F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05134F" w14:textId="77777777" w:rsidR="004934F7" w:rsidRPr="004934F7" w:rsidRDefault="004934F7" w:rsidP="004934F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934F7" w:rsidRPr="004934F7" w14:paraId="50B0CB78" w14:textId="77777777" w:rsidTr="004934F7">
              <w:trPr>
                <w:trHeight w:val="342"/>
              </w:trPr>
              <w:tc>
                <w:tcPr>
                  <w:tcW w:w="3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0696D1" w14:textId="77777777" w:rsidR="004934F7" w:rsidRPr="004934F7" w:rsidRDefault="004934F7" w:rsidP="004934F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D47CF6" w14:textId="77777777" w:rsidR="004934F7" w:rsidRPr="004934F7" w:rsidRDefault="004934F7" w:rsidP="004934F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CAA337" w14:textId="77777777" w:rsidR="004934F7" w:rsidRPr="004934F7" w:rsidRDefault="004934F7" w:rsidP="004934F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E44828" w14:textId="77777777" w:rsidR="004934F7" w:rsidRPr="004934F7" w:rsidRDefault="004934F7" w:rsidP="004934F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934F7" w:rsidRPr="004934F7" w14:paraId="3BA87C08" w14:textId="77777777" w:rsidTr="004934F7">
              <w:trPr>
                <w:trHeight w:val="342"/>
              </w:trPr>
              <w:tc>
                <w:tcPr>
                  <w:tcW w:w="3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7AA97E" w14:textId="77777777" w:rsidR="004934F7" w:rsidRPr="004934F7" w:rsidRDefault="004934F7" w:rsidP="004934F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C4FF1E" w14:textId="77777777" w:rsidR="004934F7" w:rsidRPr="004934F7" w:rsidRDefault="004934F7" w:rsidP="004934F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7C1284" w14:textId="77777777" w:rsidR="004934F7" w:rsidRPr="004934F7" w:rsidRDefault="004934F7" w:rsidP="004934F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DF2C03" w14:textId="77777777" w:rsidR="004934F7" w:rsidRPr="004934F7" w:rsidRDefault="004934F7" w:rsidP="004934F7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4934F7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49AB0C02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52EAC6C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73DD737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A99ACD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489570E" w14:textId="77777777" w:rsidR="00EB3D1B" w:rsidRDefault="00BA0605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11A3DC6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2ECF8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64BF1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A817186" w14:textId="77777777" w:rsidR="001B79E5" w:rsidRDefault="002568E7" w:rsidP="001B79E5">
                <w:pPr>
                  <w:pStyle w:val="Tablefont"/>
                </w:pPr>
                <w:r>
                  <w:t>84.16</w:t>
                </w:r>
              </w:p>
            </w:tc>
          </w:sdtContent>
        </w:sdt>
      </w:tr>
      <w:tr w:rsidR="00A31D99" w:rsidRPr="004C23F4" w14:paraId="6D31C5E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81273A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6EB553C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A84828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981DFF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67B1293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8E806CE" w14:textId="77777777" w:rsidTr="00EA6243">
        <w:trPr>
          <w:cantSplit/>
        </w:trPr>
        <w:tc>
          <w:tcPr>
            <w:tcW w:w="4077" w:type="dxa"/>
            <w:vAlign w:val="center"/>
          </w:tcPr>
          <w:p w14:paraId="7890F31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BCBEA4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4FAE172" w14:textId="77777777" w:rsidTr="00EA6243">
        <w:trPr>
          <w:cantSplit/>
        </w:trPr>
        <w:tc>
          <w:tcPr>
            <w:tcW w:w="4077" w:type="dxa"/>
            <w:vAlign w:val="center"/>
          </w:tcPr>
          <w:p w14:paraId="4859D24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8E56FB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7EC789D" w14:textId="77777777" w:rsidTr="00EA6243">
        <w:trPr>
          <w:cantSplit/>
        </w:trPr>
        <w:tc>
          <w:tcPr>
            <w:tcW w:w="4077" w:type="dxa"/>
            <w:vAlign w:val="center"/>
          </w:tcPr>
          <w:p w14:paraId="37A7ADD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6C46892" w14:textId="77777777" w:rsidR="00E06F40" w:rsidRPr="00A006A0" w:rsidRDefault="001633A1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568E7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5DBF521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9A06DD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257C18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BA7A63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AD6CE6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AA28D1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90CCB0F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DB8F1A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B1A678F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F03AA05" w14:textId="77777777" w:rsidR="00AA7F7C" w:rsidRDefault="00AA7F7C" w:rsidP="00084859">
      <w:r w:rsidRPr="002022B6">
        <w:t>Deutsche Forschungsgemeinschaft (DFG)</w:t>
      </w:r>
      <w:r>
        <w:t xml:space="preserve"> (</w:t>
      </w:r>
      <w:r w:rsidR="00CB1C9F">
        <w:t>1999</w:t>
      </w:r>
      <w:r>
        <w:t xml:space="preserve">) </w:t>
      </w:r>
      <w:r w:rsidR="00CB1C9F">
        <w:t>Cyclohexane</w:t>
      </w:r>
      <w:r>
        <w:t xml:space="preserve"> – MAK value documentation.</w:t>
      </w:r>
    </w:p>
    <w:p w14:paraId="5A9E702F" w14:textId="77777777" w:rsidR="001A38F2" w:rsidRDefault="001A38F2" w:rsidP="00084859">
      <w:r w:rsidRPr="002022B6">
        <w:t>EU Scientific Committee on Occupational Exposure Limits (SCOEL)</w:t>
      </w:r>
      <w:r>
        <w:t xml:space="preserve"> (2001) Recommendation from the Scientific Committee on Occupational Exposure Limits for cyclohexane. SCOEL/SUM/13.</w:t>
      </w:r>
    </w:p>
    <w:p w14:paraId="178AE1D3" w14:textId="77777777" w:rsidR="00040E26" w:rsidRDefault="00040E26" w:rsidP="00084859">
      <w:r w:rsidRPr="00040E26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46061D70" w14:textId="77777777" w:rsidR="008301F2" w:rsidRDefault="008301F2" w:rsidP="008301F2">
      <w:r w:rsidRPr="00D86E03">
        <w:t>US Environmental Protection Agency (US EPA)</w:t>
      </w:r>
      <w:r>
        <w:t xml:space="preserve"> </w:t>
      </w:r>
      <w:r w:rsidRPr="002F365B">
        <w:t>(</w:t>
      </w:r>
      <w:r>
        <w:t>2003</w:t>
      </w:r>
      <w:r w:rsidRPr="002F365B">
        <w:t xml:space="preserve">) </w:t>
      </w:r>
      <w:r w:rsidR="008F7A70" w:rsidRPr="008F7A70">
        <w:t xml:space="preserve">Toxicological Review </w:t>
      </w:r>
      <w:r w:rsidR="008F7A70">
        <w:t>of</w:t>
      </w:r>
      <w:r>
        <w:t xml:space="preserve"> </w:t>
      </w:r>
      <w:r w:rsidR="008F7A70">
        <w:t>Cyclohexane</w:t>
      </w:r>
      <w:r w:rsidRPr="002F365B">
        <w:t>.</w:t>
      </w:r>
    </w:p>
    <w:p w14:paraId="73A43DF5" w14:textId="77777777" w:rsidR="00B803BA" w:rsidRPr="00351FE0" w:rsidRDefault="00B803BA" w:rsidP="008301F2">
      <w:r w:rsidRPr="00D86E03">
        <w:lastRenderedPageBreak/>
        <w:t>US National Institute for Occupational Safety and Health (</w:t>
      </w:r>
      <w:r w:rsidRPr="00BD1471">
        <w:t>NIOSH) (</w:t>
      </w:r>
      <w:sdt>
        <w:sdtPr>
          <w:id w:val="-1194999823"/>
          <w:placeholder>
            <w:docPart w:val="FACA8241A3A34A5588D3899FA4620B37"/>
          </w:placeholder>
          <w:temporary/>
          <w:showingPlcHdr/>
        </w:sdtPr>
        <w:sdtEndPr/>
        <w:sdtContent>
          <w:r w:rsidRPr="00BD1471">
            <w:t>1994</w:t>
          </w:r>
        </w:sdtContent>
      </w:sdt>
      <w:r w:rsidRPr="00BD1471">
        <w:t xml:space="preserve">) Immediately </w:t>
      </w:r>
      <w:r>
        <w:t xml:space="preserve">dangerous to life or health concentrations – </w:t>
      </w:r>
      <w:r w:rsidR="00786E00">
        <w:t>cyclohexane</w:t>
      </w:r>
      <w:r>
        <w:t>.</w:t>
      </w:r>
    </w:p>
    <w:sectPr w:rsidR="00B803BA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2980C" w14:textId="77777777" w:rsidR="004E6E5F" w:rsidRDefault="004E6E5F" w:rsidP="00F43AD5">
      <w:pPr>
        <w:spacing w:after="0" w:line="240" w:lineRule="auto"/>
      </w:pPr>
      <w:r>
        <w:separator/>
      </w:r>
    </w:p>
  </w:endnote>
  <w:endnote w:type="continuationSeparator" w:id="0">
    <w:p w14:paraId="54AB8F44" w14:textId="77777777" w:rsidR="004E6E5F" w:rsidRDefault="004E6E5F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EA04B" w14:textId="77777777" w:rsidR="001D4827" w:rsidRDefault="001D48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0343150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5C58A8B" w14:textId="77777777" w:rsidR="008A36CF" w:rsidRDefault="009627DB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Cyclohexane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110-82-7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660D522" w14:textId="1B48ECF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A4396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1A04E" w14:textId="77777777" w:rsidR="001D4827" w:rsidRDefault="001D4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6597B" w14:textId="77777777" w:rsidR="004E6E5F" w:rsidRDefault="004E6E5F" w:rsidP="00F43AD5">
      <w:pPr>
        <w:spacing w:after="0" w:line="240" w:lineRule="auto"/>
      </w:pPr>
      <w:r>
        <w:separator/>
      </w:r>
    </w:p>
  </w:footnote>
  <w:footnote w:type="continuationSeparator" w:id="0">
    <w:p w14:paraId="42F1C092" w14:textId="77777777" w:rsidR="004E6E5F" w:rsidRDefault="004E6E5F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DBF64" w14:textId="3B1FC73E" w:rsidR="001D4827" w:rsidRDefault="001D48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8DF9" w14:textId="4D2B5656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800B6B6" wp14:editId="0E6E2A67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0993C" w14:textId="2DB95C89" w:rsidR="001D4827" w:rsidRDefault="001D482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FEBCB" w14:textId="05AB7E6A" w:rsidR="00DA4396" w:rsidRDefault="00DA439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C1767" w14:textId="1F1D6CB2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10D73" w14:textId="129BFFA8" w:rsidR="00DA4396" w:rsidRDefault="00DA43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1ACE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373602"/>
    <w:multiLevelType w:val="hybridMultilevel"/>
    <w:tmpl w:val="5DBEB1A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2A6B93"/>
    <w:multiLevelType w:val="hybridMultilevel"/>
    <w:tmpl w:val="7BB2D8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BF21DB"/>
    <w:multiLevelType w:val="hybridMultilevel"/>
    <w:tmpl w:val="10BEAC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04CA8"/>
    <w:multiLevelType w:val="hybridMultilevel"/>
    <w:tmpl w:val="33742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956777">
    <w:abstractNumId w:val="0"/>
  </w:num>
  <w:num w:numId="2" w16cid:durableId="588080087">
    <w:abstractNumId w:val="0"/>
  </w:num>
  <w:num w:numId="3" w16cid:durableId="1037704183">
    <w:abstractNumId w:val="1"/>
  </w:num>
  <w:num w:numId="4" w16cid:durableId="1397438361">
    <w:abstractNumId w:val="4"/>
  </w:num>
  <w:num w:numId="5" w16cid:durableId="1318263442">
    <w:abstractNumId w:val="0"/>
  </w:num>
  <w:num w:numId="6" w16cid:durableId="1250115936">
    <w:abstractNumId w:val="0"/>
  </w:num>
  <w:num w:numId="7" w16cid:durableId="1447118587">
    <w:abstractNumId w:val="0"/>
  </w:num>
  <w:num w:numId="8" w16cid:durableId="1903902521">
    <w:abstractNumId w:val="0"/>
  </w:num>
  <w:num w:numId="9" w16cid:durableId="1627199291">
    <w:abstractNumId w:val="0"/>
  </w:num>
  <w:num w:numId="10" w16cid:durableId="1334261268">
    <w:abstractNumId w:val="3"/>
  </w:num>
  <w:num w:numId="11" w16cid:durableId="108211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0139"/>
    <w:rsid w:val="00032B88"/>
    <w:rsid w:val="000409B0"/>
    <w:rsid w:val="00040E26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29A6"/>
    <w:rsid w:val="000E5A54"/>
    <w:rsid w:val="000E63D3"/>
    <w:rsid w:val="000E67CF"/>
    <w:rsid w:val="000F00B5"/>
    <w:rsid w:val="000F6BC3"/>
    <w:rsid w:val="0010461E"/>
    <w:rsid w:val="00106FAA"/>
    <w:rsid w:val="00113443"/>
    <w:rsid w:val="001268B8"/>
    <w:rsid w:val="001269A7"/>
    <w:rsid w:val="00131092"/>
    <w:rsid w:val="001332CD"/>
    <w:rsid w:val="00134B35"/>
    <w:rsid w:val="00140E6A"/>
    <w:rsid w:val="00146545"/>
    <w:rsid w:val="00146B75"/>
    <w:rsid w:val="0015266D"/>
    <w:rsid w:val="0015288A"/>
    <w:rsid w:val="00160F47"/>
    <w:rsid w:val="001633A1"/>
    <w:rsid w:val="00177CA1"/>
    <w:rsid w:val="00183823"/>
    <w:rsid w:val="00183942"/>
    <w:rsid w:val="001A009E"/>
    <w:rsid w:val="001A1287"/>
    <w:rsid w:val="001A3859"/>
    <w:rsid w:val="001A38F2"/>
    <w:rsid w:val="001A3C9D"/>
    <w:rsid w:val="001A43F8"/>
    <w:rsid w:val="001B79E5"/>
    <w:rsid w:val="001C58EC"/>
    <w:rsid w:val="001D4827"/>
    <w:rsid w:val="001D56F0"/>
    <w:rsid w:val="001D663B"/>
    <w:rsid w:val="001D7B41"/>
    <w:rsid w:val="001E46DA"/>
    <w:rsid w:val="001E7D80"/>
    <w:rsid w:val="001F4095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2CC0"/>
    <w:rsid w:val="00244AD1"/>
    <w:rsid w:val="002463BC"/>
    <w:rsid w:val="002465CE"/>
    <w:rsid w:val="002568E7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2F0DE7"/>
    <w:rsid w:val="003064FA"/>
    <w:rsid w:val="0030740C"/>
    <w:rsid w:val="00315833"/>
    <w:rsid w:val="003215EE"/>
    <w:rsid w:val="003224BF"/>
    <w:rsid w:val="003241A8"/>
    <w:rsid w:val="003253F0"/>
    <w:rsid w:val="00327F60"/>
    <w:rsid w:val="00330D4D"/>
    <w:rsid w:val="003337DA"/>
    <w:rsid w:val="00334EFB"/>
    <w:rsid w:val="00335CDE"/>
    <w:rsid w:val="003365A5"/>
    <w:rsid w:val="00347192"/>
    <w:rsid w:val="0034744C"/>
    <w:rsid w:val="003477E3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1736"/>
    <w:rsid w:val="00422A10"/>
    <w:rsid w:val="00430179"/>
    <w:rsid w:val="00434F17"/>
    <w:rsid w:val="004414B5"/>
    <w:rsid w:val="00444482"/>
    <w:rsid w:val="00444B42"/>
    <w:rsid w:val="00445E44"/>
    <w:rsid w:val="0044761D"/>
    <w:rsid w:val="004509E2"/>
    <w:rsid w:val="004515EE"/>
    <w:rsid w:val="004529F0"/>
    <w:rsid w:val="00460A03"/>
    <w:rsid w:val="00462845"/>
    <w:rsid w:val="00463FD8"/>
    <w:rsid w:val="00472A11"/>
    <w:rsid w:val="00472AAD"/>
    <w:rsid w:val="00474E33"/>
    <w:rsid w:val="00476803"/>
    <w:rsid w:val="00485BFD"/>
    <w:rsid w:val="004867A2"/>
    <w:rsid w:val="004873F2"/>
    <w:rsid w:val="00490D4C"/>
    <w:rsid w:val="004934F7"/>
    <w:rsid w:val="00493A35"/>
    <w:rsid w:val="0049527A"/>
    <w:rsid w:val="004966BF"/>
    <w:rsid w:val="00497984"/>
    <w:rsid w:val="004A5088"/>
    <w:rsid w:val="004A7F39"/>
    <w:rsid w:val="004C1E3F"/>
    <w:rsid w:val="004C23F4"/>
    <w:rsid w:val="004C3475"/>
    <w:rsid w:val="004C58B6"/>
    <w:rsid w:val="004D16A3"/>
    <w:rsid w:val="004D4AA1"/>
    <w:rsid w:val="004D6D68"/>
    <w:rsid w:val="004E4D69"/>
    <w:rsid w:val="004E5EDD"/>
    <w:rsid w:val="004E6E5F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45BC3"/>
    <w:rsid w:val="00551BD8"/>
    <w:rsid w:val="00564232"/>
    <w:rsid w:val="00565A97"/>
    <w:rsid w:val="00581055"/>
    <w:rsid w:val="00591E38"/>
    <w:rsid w:val="005A19C5"/>
    <w:rsid w:val="005A3034"/>
    <w:rsid w:val="005A462D"/>
    <w:rsid w:val="005B253B"/>
    <w:rsid w:val="005B771D"/>
    <w:rsid w:val="005C5D16"/>
    <w:rsid w:val="005D0E17"/>
    <w:rsid w:val="005D3193"/>
    <w:rsid w:val="005D434B"/>
    <w:rsid w:val="005D4A6E"/>
    <w:rsid w:val="005E6979"/>
    <w:rsid w:val="005E6D6F"/>
    <w:rsid w:val="005E75CB"/>
    <w:rsid w:val="006013C1"/>
    <w:rsid w:val="0060669E"/>
    <w:rsid w:val="00610F2E"/>
    <w:rsid w:val="00611399"/>
    <w:rsid w:val="006132F6"/>
    <w:rsid w:val="006173B0"/>
    <w:rsid w:val="00624C4E"/>
    <w:rsid w:val="00625200"/>
    <w:rsid w:val="00625E3C"/>
    <w:rsid w:val="006363A8"/>
    <w:rsid w:val="0063643B"/>
    <w:rsid w:val="00636DB7"/>
    <w:rsid w:val="00641013"/>
    <w:rsid w:val="00641D94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12EE"/>
    <w:rsid w:val="006959E7"/>
    <w:rsid w:val="00695B72"/>
    <w:rsid w:val="006B049C"/>
    <w:rsid w:val="006B11E6"/>
    <w:rsid w:val="006B160A"/>
    <w:rsid w:val="006B4E6C"/>
    <w:rsid w:val="006B50B6"/>
    <w:rsid w:val="006C193E"/>
    <w:rsid w:val="006C2FB2"/>
    <w:rsid w:val="006C7BCC"/>
    <w:rsid w:val="006D61CB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3DFB"/>
    <w:rsid w:val="00765F14"/>
    <w:rsid w:val="007700C1"/>
    <w:rsid w:val="00770E31"/>
    <w:rsid w:val="007770F1"/>
    <w:rsid w:val="00783FB1"/>
    <w:rsid w:val="00785CDD"/>
    <w:rsid w:val="00786E00"/>
    <w:rsid w:val="00791847"/>
    <w:rsid w:val="007925F0"/>
    <w:rsid w:val="007939B3"/>
    <w:rsid w:val="0079509C"/>
    <w:rsid w:val="00796708"/>
    <w:rsid w:val="007B1B42"/>
    <w:rsid w:val="007C30EB"/>
    <w:rsid w:val="007D68D1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01F2"/>
    <w:rsid w:val="00832F2A"/>
    <w:rsid w:val="00834CC8"/>
    <w:rsid w:val="00835E00"/>
    <w:rsid w:val="00837113"/>
    <w:rsid w:val="008414E4"/>
    <w:rsid w:val="00843E21"/>
    <w:rsid w:val="0084508E"/>
    <w:rsid w:val="00857773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6884"/>
    <w:rsid w:val="008A36CF"/>
    <w:rsid w:val="008A3BC4"/>
    <w:rsid w:val="008A3D10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8F7A70"/>
    <w:rsid w:val="00900951"/>
    <w:rsid w:val="009118A6"/>
    <w:rsid w:val="00916909"/>
    <w:rsid w:val="00916EC0"/>
    <w:rsid w:val="00920467"/>
    <w:rsid w:val="00921DE7"/>
    <w:rsid w:val="00927B95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14EB"/>
    <w:rsid w:val="0095260E"/>
    <w:rsid w:val="009578DD"/>
    <w:rsid w:val="00961124"/>
    <w:rsid w:val="009621B6"/>
    <w:rsid w:val="009627DB"/>
    <w:rsid w:val="00974668"/>
    <w:rsid w:val="00974F2D"/>
    <w:rsid w:val="00977524"/>
    <w:rsid w:val="00977E88"/>
    <w:rsid w:val="00984920"/>
    <w:rsid w:val="0099303A"/>
    <w:rsid w:val="009971C2"/>
    <w:rsid w:val="00997DF3"/>
    <w:rsid w:val="009A1254"/>
    <w:rsid w:val="009B2FF2"/>
    <w:rsid w:val="009B380C"/>
    <w:rsid w:val="009B4843"/>
    <w:rsid w:val="009B6543"/>
    <w:rsid w:val="009B6A9A"/>
    <w:rsid w:val="009C12BF"/>
    <w:rsid w:val="009C199D"/>
    <w:rsid w:val="009C278F"/>
    <w:rsid w:val="009C2B94"/>
    <w:rsid w:val="009C5874"/>
    <w:rsid w:val="009D15D0"/>
    <w:rsid w:val="009D3B5A"/>
    <w:rsid w:val="009D76CE"/>
    <w:rsid w:val="009E0C05"/>
    <w:rsid w:val="009E0D1C"/>
    <w:rsid w:val="009E2214"/>
    <w:rsid w:val="009E355A"/>
    <w:rsid w:val="009E63E2"/>
    <w:rsid w:val="009F05CF"/>
    <w:rsid w:val="009F0F3A"/>
    <w:rsid w:val="009F1BA8"/>
    <w:rsid w:val="00A01D0C"/>
    <w:rsid w:val="00A0643F"/>
    <w:rsid w:val="00A067EE"/>
    <w:rsid w:val="00A10FCE"/>
    <w:rsid w:val="00A16D91"/>
    <w:rsid w:val="00A174CC"/>
    <w:rsid w:val="00A2073D"/>
    <w:rsid w:val="00A20751"/>
    <w:rsid w:val="00A211FA"/>
    <w:rsid w:val="00A25D15"/>
    <w:rsid w:val="00A27E2D"/>
    <w:rsid w:val="00A31D99"/>
    <w:rsid w:val="00A32CFA"/>
    <w:rsid w:val="00A357BA"/>
    <w:rsid w:val="00A35ADC"/>
    <w:rsid w:val="00A402A3"/>
    <w:rsid w:val="00A53681"/>
    <w:rsid w:val="00A633D4"/>
    <w:rsid w:val="00A6461A"/>
    <w:rsid w:val="00A6555D"/>
    <w:rsid w:val="00A711C1"/>
    <w:rsid w:val="00A83CB4"/>
    <w:rsid w:val="00A84504"/>
    <w:rsid w:val="00A8672F"/>
    <w:rsid w:val="00A93057"/>
    <w:rsid w:val="00A968B0"/>
    <w:rsid w:val="00AA6B2A"/>
    <w:rsid w:val="00AA7F7C"/>
    <w:rsid w:val="00AB2672"/>
    <w:rsid w:val="00AB2817"/>
    <w:rsid w:val="00AB43C4"/>
    <w:rsid w:val="00AC32E7"/>
    <w:rsid w:val="00AC3A9F"/>
    <w:rsid w:val="00AC52EF"/>
    <w:rsid w:val="00AC6D2F"/>
    <w:rsid w:val="00AC7085"/>
    <w:rsid w:val="00AD1931"/>
    <w:rsid w:val="00AE24DE"/>
    <w:rsid w:val="00AE2745"/>
    <w:rsid w:val="00AE2F64"/>
    <w:rsid w:val="00AF42CB"/>
    <w:rsid w:val="00AF483F"/>
    <w:rsid w:val="00AF5E07"/>
    <w:rsid w:val="00AF5F06"/>
    <w:rsid w:val="00B00A25"/>
    <w:rsid w:val="00B04E72"/>
    <w:rsid w:val="00B1422A"/>
    <w:rsid w:val="00B14474"/>
    <w:rsid w:val="00B1765C"/>
    <w:rsid w:val="00B213C4"/>
    <w:rsid w:val="00B25E40"/>
    <w:rsid w:val="00B40C60"/>
    <w:rsid w:val="00B479A9"/>
    <w:rsid w:val="00B52EDF"/>
    <w:rsid w:val="00B71188"/>
    <w:rsid w:val="00B75BA9"/>
    <w:rsid w:val="00B76A41"/>
    <w:rsid w:val="00B803BA"/>
    <w:rsid w:val="00B85D1D"/>
    <w:rsid w:val="00B87D4C"/>
    <w:rsid w:val="00B93646"/>
    <w:rsid w:val="00BA0605"/>
    <w:rsid w:val="00BA0B38"/>
    <w:rsid w:val="00BA1DBB"/>
    <w:rsid w:val="00BA1E1C"/>
    <w:rsid w:val="00BA4510"/>
    <w:rsid w:val="00BA529A"/>
    <w:rsid w:val="00BB0A4E"/>
    <w:rsid w:val="00BB4D50"/>
    <w:rsid w:val="00BB612A"/>
    <w:rsid w:val="00BC1663"/>
    <w:rsid w:val="00BD1471"/>
    <w:rsid w:val="00BD1883"/>
    <w:rsid w:val="00BD3102"/>
    <w:rsid w:val="00BD499F"/>
    <w:rsid w:val="00BD56DE"/>
    <w:rsid w:val="00BD5FC4"/>
    <w:rsid w:val="00BD634E"/>
    <w:rsid w:val="00BE6F65"/>
    <w:rsid w:val="00BF2406"/>
    <w:rsid w:val="00BF6C29"/>
    <w:rsid w:val="00C141CC"/>
    <w:rsid w:val="00C1564F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95C"/>
    <w:rsid w:val="00C67FFB"/>
    <w:rsid w:val="00C7155E"/>
    <w:rsid w:val="00C71D1E"/>
    <w:rsid w:val="00C71D7D"/>
    <w:rsid w:val="00C74833"/>
    <w:rsid w:val="00C74FE0"/>
    <w:rsid w:val="00C84AB1"/>
    <w:rsid w:val="00C850A0"/>
    <w:rsid w:val="00C85A86"/>
    <w:rsid w:val="00C978F0"/>
    <w:rsid w:val="00CA58FE"/>
    <w:rsid w:val="00CB1C9F"/>
    <w:rsid w:val="00CB1CB1"/>
    <w:rsid w:val="00CB6753"/>
    <w:rsid w:val="00CB6BC1"/>
    <w:rsid w:val="00CB6CB8"/>
    <w:rsid w:val="00CC1A68"/>
    <w:rsid w:val="00CC2123"/>
    <w:rsid w:val="00CD2BFD"/>
    <w:rsid w:val="00CE5AD6"/>
    <w:rsid w:val="00CE617F"/>
    <w:rsid w:val="00CE78EF"/>
    <w:rsid w:val="00CF1E42"/>
    <w:rsid w:val="00D048F7"/>
    <w:rsid w:val="00D0517E"/>
    <w:rsid w:val="00D073A5"/>
    <w:rsid w:val="00D140FC"/>
    <w:rsid w:val="00D21D8C"/>
    <w:rsid w:val="00D23F3E"/>
    <w:rsid w:val="00D31357"/>
    <w:rsid w:val="00D33220"/>
    <w:rsid w:val="00D334D1"/>
    <w:rsid w:val="00D44C89"/>
    <w:rsid w:val="00D516CD"/>
    <w:rsid w:val="00D66480"/>
    <w:rsid w:val="00D668E6"/>
    <w:rsid w:val="00D70670"/>
    <w:rsid w:val="00D74D80"/>
    <w:rsid w:val="00D76624"/>
    <w:rsid w:val="00D866CF"/>
    <w:rsid w:val="00D87570"/>
    <w:rsid w:val="00D91CB9"/>
    <w:rsid w:val="00D97989"/>
    <w:rsid w:val="00D97D8D"/>
    <w:rsid w:val="00DA21CB"/>
    <w:rsid w:val="00DA352E"/>
    <w:rsid w:val="00DA4396"/>
    <w:rsid w:val="00DB0A9B"/>
    <w:rsid w:val="00DC7694"/>
    <w:rsid w:val="00DD1BF6"/>
    <w:rsid w:val="00DD24A5"/>
    <w:rsid w:val="00DD2F9B"/>
    <w:rsid w:val="00DE2513"/>
    <w:rsid w:val="00DE26E8"/>
    <w:rsid w:val="00DE461A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2D51"/>
    <w:rsid w:val="00E46BCB"/>
    <w:rsid w:val="00E51CAF"/>
    <w:rsid w:val="00E60F04"/>
    <w:rsid w:val="00E62AAC"/>
    <w:rsid w:val="00E62F10"/>
    <w:rsid w:val="00E67C2F"/>
    <w:rsid w:val="00E67EF5"/>
    <w:rsid w:val="00E804EA"/>
    <w:rsid w:val="00E80A71"/>
    <w:rsid w:val="00E82337"/>
    <w:rsid w:val="00E87639"/>
    <w:rsid w:val="00E9015A"/>
    <w:rsid w:val="00E902EF"/>
    <w:rsid w:val="00E90F5E"/>
    <w:rsid w:val="00E92499"/>
    <w:rsid w:val="00E949AF"/>
    <w:rsid w:val="00E95B5E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6D30"/>
    <w:rsid w:val="00F67BBB"/>
    <w:rsid w:val="00F81584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282F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23221D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020139"/>
    <w:p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655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2FB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2FB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2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2FB2"/>
    <w:rPr>
      <w:b/>
      <w:bCs/>
      <w:szCs w:val="20"/>
    </w:rPr>
  </w:style>
  <w:style w:type="paragraph" w:styleId="Revision">
    <w:name w:val="Revision"/>
    <w:hidden/>
    <w:uiPriority w:val="99"/>
    <w:semiHidden/>
    <w:rsid w:val="009D15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6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A18D5A93A5F43488E84992923013C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FF550-C540-43BB-9AF0-728700DA6ABE}"/>
      </w:docPartPr>
      <w:docPartBody>
        <w:p w:rsidR="001E7A74" w:rsidRDefault="00AE5062" w:rsidP="00AE5062">
          <w:pPr>
            <w:pStyle w:val="5A18D5A93A5F43488E84992923013CD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6D309957DF74E1186143CF0CB02A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C140C-23B2-4FB8-8E87-EA325D33C251}"/>
      </w:docPartPr>
      <w:docPartBody>
        <w:p w:rsidR="001E7A74" w:rsidRDefault="00AE5062" w:rsidP="00AE5062">
          <w:pPr>
            <w:pStyle w:val="26D309957DF74E1186143CF0CB02A95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EC6612F1928F459A9F57962F3EB83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C9646F-B764-4435-88C0-D680C80C93B4}"/>
      </w:docPartPr>
      <w:docPartBody>
        <w:p w:rsidR="001E7A74" w:rsidRDefault="00AE5062" w:rsidP="00AE5062">
          <w:pPr>
            <w:pStyle w:val="EC6612F1928F459A9F57962F3EB83778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3AD54B49E01344BB836423A1F9C5E4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6E83D-9497-4669-9270-3913E8072980}"/>
      </w:docPartPr>
      <w:docPartBody>
        <w:p w:rsidR="001E7A74" w:rsidRDefault="00AE5062" w:rsidP="00AE5062">
          <w:pPr>
            <w:pStyle w:val="3AD54B49E01344BB836423A1F9C5E4DA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DFCDCD5D44FE4E8EAA67DBDE7B567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57ABA6-F61F-4750-9B22-DE6DAB5DED07}"/>
      </w:docPartPr>
      <w:docPartBody>
        <w:p w:rsidR="001E7A74" w:rsidRDefault="00AE5062" w:rsidP="00AE5062">
          <w:pPr>
            <w:pStyle w:val="DFCDCD5D44FE4E8EAA67DBDE7B5673E7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56B2EC68B9F47D295695ADD43E0D4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B887E-D9BC-430A-9F62-37B37B8A61AD}"/>
      </w:docPartPr>
      <w:docPartBody>
        <w:p w:rsidR="00942C96" w:rsidRDefault="001E7A74" w:rsidP="001E7A74">
          <w:pPr>
            <w:pStyle w:val="056B2EC68B9F47D295695ADD43E0D492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ACA8241A3A34A5588D3899FA4620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4D6EA-82F2-4F61-A6F9-B4B08925706E}"/>
      </w:docPartPr>
      <w:docPartBody>
        <w:p w:rsidR="008453F2" w:rsidRDefault="00BD0ED8" w:rsidP="00BD0ED8">
          <w:pPr>
            <w:pStyle w:val="FACA8241A3A34A5588D3899FA4620B37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BE1C84D5E02649BFB0A71301D10A4D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35ECB-BAFB-4B38-AB40-A82AEB8D333E}"/>
      </w:docPartPr>
      <w:docPartBody>
        <w:p w:rsidR="00FE5B48" w:rsidRDefault="003240CE" w:rsidP="003240CE">
          <w:pPr>
            <w:pStyle w:val="BE1C84D5E02649BFB0A71301D10A4DBA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F00B5"/>
    <w:rsid w:val="001E7A74"/>
    <w:rsid w:val="003240CE"/>
    <w:rsid w:val="008453F2"/>
    <w:rsid w:val="00942C96"/>
    <w:rsid w:val="00AC0523"/>
    <w:rsid w:val="00AE5062"/>
    <w:rsid w:val="00BD0ED8"/>
    <w:rsid w:val="00D21A9F"/>
    <w:rsid w:val="00FE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240C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A18D5A93A5F43488E84992923013CDE">
    <w:name w:val="5A18D5A93A5F43488E84992923013CDE"/>
    <w:rsid w:val="00AE5062"/>
    <w:rPr>
      <w:lang w:val="en-US" w:eastAsia="en-US"/>
    </w:rPr>
  </w:style>
  <w:style w:type="paragraph" w:customStyle="1" w:styleId="26D309957DF74E1186143CF0CB02A95B">
    <w:name w:val="26D309957DF74E1186143CF0CB02A95B"/>
    <w:rsid w:val="00AE5062"/>
    <w:rPr>
      <w:lang w:val="en-US" w:eastAsia="en-US"/>
    </w:rPr>
  </w:style>
  <w:style w:type="paragraph" w:customStyle="1" w:styleId="EC6612F1928F459A9F57962F3EB83778">
    <w:name w:val="EC6612F1928F459A9F57962F3EB83778"/>
    <w:rsid w:val="00AE5062"/>
    <w:rPr>
      <w:lang w:val="en-US" w:eastAsia="en-US"/>
    </w:rPr>
  </w:style>
  <w:style w:type="paragraph" w:customStyle="1" w:styleId="3AD54B49E01344BB836423A1F9C5E4DA">
    <w:name w:val="3AD54B49E01344BB836423A1F9C5E4DA"/>
    <w:rsid w:val="00AE5062"/>
    <w:rPr>
      <w:lang w:val="en-US" w:eastAsia="en-US"/>
    </w:rPr>
  </w:style>
  <w:style w:type="paragraph" w:customStyle="1" w:styleId="DFCDCD5D44FE4E8EAA67DBDE7B5673E7">
    <w:name w:val="DFCDCD5D44FE4E8EAA67DBDE7B5673E7"/>
    <w:rsid w:val="00AE5062"/>
    <w:rPr>
      <w:lang w:val="en-US" w:eastAsia="en-US"/>
    </w:rPr>
  </w:style>
  <w:style w:type="paragraph" w:customStyle="1" w:styleId="056B2EC68B9F47D295695ADD43E0D492">
    <w:name w:val="056B2EC68B9F47D295695ADD43E0D492"/>
    <w:rsid w:val="001E7A74"/>
    <w:rPr>
      <w:lang w:val="en-US" w:eastAsia="en-US"/>
    </w:rPr>
  </w:style>
  <w:style w:type="paragraph" w:customStyle="1" w:styleId="FACA8241A3A34A5588D3899FA4620B37">
    <w:name w:val="FACA8241A3A34A5588D3899FA4620B37"/>
    <w:rsid w:val="00BD0ED8"/>
    <w:rPr>
      <w:lang w:val="en-US" w:eastAsia="en-US"/>
    </w:rPr>
  </w:style>
  <w:style w:type="paragraph" w:customStyle="1" w:styleId="BE1C84D5E02649BFB0A71301D10A4DBA">
    <w:name w:val="BE1C84D5E02649BFB0A71301D10A4DBA"/>
    <w:rsid w:val="003240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65FE53-D17E-4A78-8445-F69926A04677}"/>
</file>

<file path=customXml/itemProps2.xml><?xml version="1.0" encoding="utf-8"?>
<ds:datastoreItem xmlns:ds="http://schemas.openxmlformats.org/officeDocument/2006/customXml" ds:itemID="{861BE642-A3F8-4867-9529-CABB4BE8E4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71B0C6-33DE-42A4-BFF0-5CB3BB5225FF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bf54d604-3e62-4e70-ba33-9e9084b96a66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EFF87D9-6D90-4694-85F3-79BCE0D940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2019-10-10T02:53:00Z</dcterms:created>
  <dcterms:modified xsi:type="dcterms:W3CDTF">2025-12-22T03:46:00Z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2025-12-22T03:46:05Z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bdd9546c-2f90-46a7-9a9b-9bf8dc4260d6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