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6F41034" w14:textId="77777777" w:rsidR="00BD499F" w:rsidRPr="004C23F4" w:rsidRDefault="00BC7EB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4371CE">
            <w:rPr>
              <w:rFonts w:ascii="Arial" w:hAnsi="Arial" w:cs="Arial"/>
            </w:rPr>
            <w:t>yanogen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4F76EB39" w14:textId="77777777" w:rsidTr="0036699D">
        <w:trPr>
          <w:cantSplit/>
          <w:tblHeader/>
        </w:trPr>
        <w:tc>
          <w:tcPr>
            <w:tcW w:w="3981" w:type="dxa"/>
          </w:tcPr>
          <w:p w14:paraId="5C1E4F7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11DC6763" w14:textId="77777777" w:rsidR="00F43AD5" w:rsidRPr="00717D45" w:rsidRDefault="004371CE" w:rsidP="00B76A41">
            <w:pPr>
              <w:pStyle w:val="Tablefont"/>
            </w:pPr>
            <w:r w:rsidRPr="004371CE">
              <w:t>460-19-5</w:t>
            </w:r>
          </w:p>
        </w:tc>
      </w:tr>
      <w:tr w:rsidR="00F43AD5" w:rsidRPr="004C23F4" w14:paraId="01F0C0DF" w14:textId="77777777" w:rsidTr="0036699D">
        <w:trPr>
          <w:cantSplit/>
        </w:trPr>
        <w:tc>
          <w:tcPr>
            <w:tcW w:w="3981" w:type="dxa"/>
          </w:tcPr>
          <w:p w14:paraId="202AD4A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262C060C" w14:textId="4CABABBF" w:rsidR="00F43AD5" w:rsidRPr="00717D45" w:rsidRDefault="00540ADA" w:rsidP="00B76A41">
            <w:pPr>
              <w:pStyle w:val="Tablefont"/>
            </w:pPr>
            <w:proofErr w:type="spellStart"/>
            <w:r>
              <w:t>Dicyan</w:t>
            </w:r>
            <w:proofErr w:type="spellEnd"/>
            <w:r>
              <w:t>,</w:t>
            </w:r>
            <w:r w:rsidRPr="00A96A23">
              <w:t xml:space="preserve"> </w:t>
            </w:r>
            <w:proofErr w:type="spellStart"/>
            <w:r>
              <w:t>dicyanogen</w:t>
            </w:r>
            <w:proofErr w:type="spellEnd"/>
            <w:r>
              <w:t>,</w:t>
            </w:r>
            <w:r w:rsidRPr="00A96A23">
              <w:t xml:space="preserve"> </w:t>
            </w:r>
            <w:proofErr w:type="spellStart"/>
            <w:r>
              <w:t>e</w:t>
            </w:r>
            <w:r w:rsidRPr="00A96A23">
              <w:t>thanedinitrile</w:t>
            </w:r>
            <w:proofErr w:type="spellEnd"/>
            <w:r>
              <w:t>,</w:t>
            </w:r>
            <w:r w:rsidRPr="00A96A23">
              <w:t xml:space="preserve"> </w:t>
            </w:r>
            <w:proofErr w:type="spellStart"/>
            <w:r>
              <w:t>o</w:t>
            </w:r>
            <w:r w:rsidRPr="00A96A23">
              <w:t>xalonitrile</w:t>
            </w:r>
            <w:proofErr w:type="spellEnd"/>
            <w:r>
              <w:t>, o</w:t>
            </w:r>
            <w:r w:rsidRPr="00A96A23">
              <w:t>xalic acid dinitrile</w:t>
            </w:r>
            <w:r>
              <w:t xml:space="preserve">, </w:t>
            </w:r>
            <w:proofErr w:type="spellStart"/>
            <w:r w:rsidRPr="004C0E7B">
              <w:t>nitriloacetonitrile</w:t>
            </w:r>
            <w:proofErr w:type="spellEnd"/>
            <w:r w:rsidRPr="004C0E7B">
              <w:t>, carbon nitride</w:t>
            </w:r>
            <w:r>
              <w:t>.</w:t>
            </w:r>
          </w:p>
        </w:tc>
      </w:tr>
      <w:tr w:rsidR="00F43AD5" w:rsidRPr="004C23F4" w14:paraId="7CC97B46" w14:textId="77777777" w:rsidTr="0036699D">
        <w:trPr>
          <w:cantSplit/>
        </w:trPr>
        <w:tc>
          <w:tcPr>
            <w:tcW w:w="3981" w:type="dxa"/>
          </w:tcPr>
          <w:p w14:paraId="0C23DB9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56AB1821" w14:textId="77777777" w:rsidR="00F43AD5" w:rsidRPr="00717D45" w:rsidRDefault="004371CE" w:rsidP="00B76A41">
            <w:pPr>
              <w:pStyle w:val="Tablefont"/>
            </w:pPr>
            <w:r w:rsidRPr="004371CE">
              <w:t>(CN)</w:t>
            </w:r>
            <w:r w:rsidRPr="004371CE">
              <w:rPr>
                <w:vertAlign w:val="subscript"/>
              </w:rPr>
              <w:t>2</w:t>
            </w:r>
          </w:p>
        </w:tc>
      </w:tr>
    </w:tbl>
    <w:p w14:paraId="13B299D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24F6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63A4B4B" w14:textId="77777777" w:rsidTr="0036699D">
        <w:trPr>
          <w:cantSplit/>
          <w:tblHeader/>
        </w:trPr>
        <w:tc>
          <w:tcPr>
            <w:tcW w:w="3997" w:type="dxa"/>
            <w:vAlign w:val="center"/>
          </w:tcPr>
          <w:p w14:paraId="45C58B8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46877903" w14:textId="77777777" w:rsidR="002C7AFE" w:rsidRPr="00EB3D1B" w:rsidRDefault="006246BF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243F9E99" w14:textId="77777777" w:rsidTr="00921DE7">
        <w:trPr>
          <w:cantSplit/>
        </w:trPr>
        <w:tc>
          <w:tcPr>
            <w:tcW w:w="4077" w:type="dxa"/>
            <w:vAlign w:val="center"/>
          </w:tcPr>
          <w:p w14:paraId="156768F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B32BB13" w14:textId="77777777" w:rsidR="002C7AFE" w:rsidRPr="00EB3D1B" w:rsidRDefault="006246BF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EDCABCB" w14:textId="77777777" w:rsidTr="00921DE7">
        <w:trPr>
          <w:cantSplit/>
        </w:trPr>
        <w:tc>
          <w:tcPr>
            <w:tcW w:w="4077" w:type="dxa"/>
            <w:vAlign w:val="center"/>
          </w:tcPr>
          <w:p w14:paraId="37B40D2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16871A6" w14:textId="77777777" w:rsidR="002C7AFE" w:rsidRPr="00EB3D1B" w:rsidRDefault="006246BF" w:rsidP="00017C82">
            <w:pPr>
              <w:pStyle w:val="Tablefont"/>
              <w:rPr>
                <w:b/>
              </w:rPr>
            </w:pPr>
            <w:r w:rsidRPr="006246BF">
              <w:rPr>
                <w:b/>
              </w:rPr>
              <w:t>5 ppm (10.6 mg/m</w:t>
            </w:r>
            <w:r w:rsidRPr="003273E5">
              <w:rPr>
                <w:b/>
                <w:vertAlign w:val="superscript"/>
              </w:rPr>
              <w:t>3</w:t>
            </w:r>
            <w:r w:rsidRPr="006246BF">
              <w:rPr>
                <w:b/>
              </w:rPr>
              <w:t>)</w:t>
            </w:r>
          </w:p>
        </w:tc>
      </w:tr>
      <w:tr w:rsidR="002C7AFE" w:rsidRPr="004C23F4" w14:paraId="27C58D2F" w14:textId="77777777" w:rsidTr="00A2073D">
        <w:trPr>
          <w:cantSplit/>
        </w:trPr>
        <w:tc>
          <w:tcPr>
            <w:tcW w:w="4077" w:type="dxa"/>
          </w:tcPr>
          <w:p w14:paraId="22B7775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3693FE8" w14:textId="77777777" w:rsidR="002C7AFE" w:rsidRPr="00EB3D1B" w:rsidRDefault="006246BF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60DA46A" w14:textId="77777777" w:rsidTr="00921DE7">
        <w:trPr>
          <w:cantSplit/>
        </w:trPr>
        <w:tc>
          <w:tcPr>
            <w:tcW w:w="4077" w:type="dxa"/>
            <w:vAlign w:val="center"/>
          </w:tcPr>
          <w:p w14:paraId="2BA4699D" w14:textId="1DD13DE2" w:rsidR="00F10C97" w:rsidRPr="002C58FF" w:rsidRDefault="00921DE7" w:rsidP="00736E53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D7469D9" w14:textId="77777777" w:rsidR="002C7AFE" w:rsidRPr="00EB3D1B" w:rsidRDefault="006246BF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36699D" w:rsidRPr="004C23F4" w14:paraId="27BE3F60" w14:textId="77777777" w:rsidTr="005651DC">
        <w:trPr>
          <w:cantSplit/>
        </w:trPr>
        <w:tc>
          <w:tcPr>
            <w:tcW w:w="9026" w:type="dxa"/>
            <w:gridSpan w:val="2"/>
          </w:tcPr>
          <w:p w14:paraId="17B8CDDC" w14:textId="6ED10C91" w:rsidR="0036699D" w:rsidRDefault="0036699D" w:rsidP="0036699D">
            <w:pPr>
              <w:pStyle w:val="Tablerowright"/>
              <w:jc w:val="left"/>
            </w:pPr>
            <w:r>
              <w:t xml:space="preserve">Sampling and analysis: </w:t>
            </w:r>
            <w:r w:rsidRPr="0036699D">
              <w:rPr>
                <w:b w:val="0"/>
              </w:rPr>
              <w:t>The recommended value is readily quantifiable through currently available sampling and analysis techniques</w:t>
            </w:r>
            <w:r w:rsidRPr="00AA4F19">
              <w:t xml:space="preserve">. </w:t>
            </w:r>
          </w:p>
        </w:tc>
      </w:tr>
    </w:tbl>
    <w:p w14:paraId="646956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82DAD24" w14:textId="3B2AB80F" w:rsidR="00224F6B" w:rsidRDefault="00224F6B" w:rsidP="00224F6B">
      <w:pPr>
        <w:rPr>
          <w:rFonts w:eastAsia="Calibri" w:cs="Times New Roman"/>
        </w:rPr>
      </w:pPr>
      <w:r w:rsidRPr="005B4063">
        <w:rPr>
          <w:rFonts w:eastAsia="Calibri" w:cs="Times New Roman"/>
        </w:rPr>
        <w:t xml:space="preserve">A </w:t>
      </w:r>
      <w:r w:rsidR="00BC7EBE">
        <w:rPr>
          <w:rFonts w:eastAsia="Calibri" w:cs="Times New Roman"/>
        </w:rPr>
        <w:t xml:space="preserve">peak </w:t>
      </w:r>
      <w:r>
        <w:rPr>
          <w:rFonts w:eastAsia="Calibri" w:cs="Times New Roman"/>
        </w:rPr>
        <w:t>limitation</w:t>
      </w:r>
      <w:r w:rsidRPr="005B4063">
        <w:rPr>
          <w:rFonts w:eastAsia="Calibri" w:cs="Times New Roman"/>
        </w:rPr>
        <w:t xml:space="preserve"> of </w:t>
      </w:r>
      <w:r w:rsidRPr="00224F6B">
        <w:rPr>
          <w:rFonts w:eastAsia="Calibri" w:cs="Times New Roman"/>
        </w:rPr>
        <w:t>5 ppm (10.6 mg/m</w:t>
      </w:r>
      <w:r w:rsidRPr="003273E5">
        <w:rPr>
          <w:rFonts w:eastAsia="Calibri" w:cs="Times New Roman"/>
          <w:vertAlign w:val="superscript"/>
        </w:rPr>
        <w:t>3</w:t>
      </w:r>
      <w:r w:rsidRPr="00224F6B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 </w:t>
      </w:r>
      <w:r w:rsidRPr="005B4063">
        <w:rPr>
          <w:rFonts w:eastAsia="Calibri" w:cs="Times New Roman"/>
        </w:rPr>
        <w:t xml:space="preserve">is </w:t>
      </w:r>
      <w:r>
        <w:rPr>
          <w:rFonts w:eastAsia="Calibri" w:cs="Times New Roman"/>
        </w:rPr>
        <w:t>recommended</w:t>
      </w:r>
      <w:r w:rsidRPr="005B4063">
        <w:rPr>
          <w:rFonts w:eastAsia="Calibri" w:cs="Times New Roman"/>
        </w:rPr>
        <w:t xml:space="preserve"> to protect </w:t>
      </w:r>
      <w:r w:rsidR="00197601">
        <w:rPr>
          <w:rFonts w:eastAsia="Calibri" w:cs="Times New Roman"/>
        </w:rPr>
        <w:t xml:space="preserve">for </w:t>
      </w:r>
      <w:r w:rsidR="009C10CA">
        <w:rPr>
          <w:rFonts w:eastAsia="Calibri" w:cs="Times New Roman"/>
        </w:rPr>
        <w:t xml:space="preserve">acute </w:t>
      </w:r>
      <w:r w:rsidR="0036699D">
        <w:rPr>
          <w:rFonts w:eastAsia="Calibri" w:cs="Times New Roman"/>
        </w:rPr>
        <w:t>irritation of the nose and eyes</w:t>
      </w:r>
      <w:r w:rsidRPr="00224F6B">
        <w:rPr>
          <w:rFonts w:eastAsia="Calibri" w:cs="Times New Roman"/>
        </w:rPr>
        <w:t xml:space="preserve"> in </w:t>
      </w:r>
      <w:r w:rsidR="009C10CA">
        <w:rPr>
          <w:rFonts w:eastAsia="Calibri" w:cs="Times New Roman"/>
        </w:rPr>
        <w:t xml:space="preserve">exposed </w:t>
      </w:r>
      <w:r w:rsidRPr="005B4063">
        <w:rPr>
          <w:rFonts w:eastAsia="Calibri" w:cs="Times New Roman"/>
        </w:rPr>
        <w:t>workers.</w:t>
      </w:r>
    </w:p>
    <w:p w14:paraId="4B58169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D66A660" w14:textId="05D23C70" w:rsidR="00CC77B3" w:rsidRDefault="00721C2C" w:rsidP="00CC77B3">
      <w:pPr>
        <w:rPr>
          <w:rFonts w:cs="Arial"/>
        </w:rPr>
      </w:pPr>
      <w:r>
        <w:rPr>
          <w:rFonts w:cs="Arial"/>
        </w:rPr>
        <w:t>Cyanogen</w:t>
      </w:r>
      <w:r w:rsidR="00CC77B3" w:rsidRPr="005B4063">
        <w:rPr>
          <w:rFonts w:eastAsia="Calibri" w:cs="Times New Roman"/>
        </w:rPr>
        <w:t xml:space="preserve"> </w:t>
      </w:r>
      <w:r w:rsidR="00CC77B3">
        <w:rPr>
          <w:rFonts w:cs="Arial"/>
        </w:rPr>
        <w:t xml:space="preserve">is used </w:t>
      </w:r>
      <w:r w:rsidR="00CC77B3" w:rsidRPr="00CC77B3">
        <w:rPr>
          <w:rFonts w:cs="Arial"/>
        </w:rPr>
        <w:t>in organic synthesis, fuel gas for welding, propellant (with ozone or fluorine) and as a fumigant</w:t>
      </w:r>
      <w:r w:rsidR="00CC77B3">
        <w:rPr>
          <w:rFonts w:cs="Arial"/>
        </w:rPr>
        <w:t xml:space="preserve">. </w:t>
      </w:r>
    </w:p>
    <w:p w14:paraId="20E8A78B" w14:textId="7FF1A7A3" w:rsidR="00703873" w:rsidRDefault="00CC77B3" w:rsidP="00CC77B3">
      <w:pPr>
        <w:rPr>
          <w:rFonts w:cs="Arial"/>
        </w:rPr>
      </w:pPr>
      <w:r>
        <w:rPr>
          <w:rFonts w:cs="Arial"/>
        </w:rPr>
        <w:t xml:space="preserve">In a human acute exposure study, immediate eye irritation </w:t>
      </w:r>
      <w:r w:rsidRPr="00CC77B3">
        <w:rPr>
          <w:rFonts w:cs="Arial"/>
        </w:rPr>
        <w:t>followed by nasal irritation</w:t>
      </w:r>
      <w:r>
        <w:rPr>
          <w:rFonts w:cs="Arial"/>
        </w:rPr>
        <w:t xml:space="preserve"> was observed</w:t>
      </w:r>
      <w:r w:rsidRPr="00CC77B3">
        <w:rPr>
          <w:rFonts w:cs="Arial"/>
        </w:rPr>
        <w:t xml:space="preserve"> in</w:t>
      </w:r>
      <w:r>
        <w:rPr>
          <w:rFonts w:cs="Arial"/>
        </w:rPr>
        <w:t xml:space="preserve"> subjects</w:t>
      </w:r>
      <w:r w:rsidRPr="00CC77B3">
        <w:rPr>
          <w:rFonts w:cs="Arial"/>
        </w:rPr>
        <w:t xml:space="preserve"> </w:t>
      </w:r>
      <w:r w:rsidR="0036699D">
        <w:rPr>
          <w:rFonts w:cs="Arial"/>
        </w:rPr>
        <w:t>exposed at</w:t>
      </w:r>
      <w:r>
        <w:rPr>
          <w:rFonts w:cs="Arial"/>
        </w:rPr>
        <w:t xml:space="preserve"> 1</w:t>
      </w:r>
      <w:r w:rsidRPr="00CC77B3">
        <w:rPr>
          <w:rFonts w:cs="Arial"/>
        </w:rPr>
        <w:t>6 ppm</w:t>
      </w:r>
      <w:r>
        <w:rPr>
          <w:rFonts w:cs="Arial"/>
        </w:rPr>
        <w:t xml:space="preserve"> with a NOAE</w:t>
      </w:r>
      <w:r w:rsidR="0036699D">
        <w:rPr>
          <w:rFonts w:cs="Arial"/>
        </w:rPr>
        <w:t>C</w:t>
      </w:r>
      <w:r>
        <w:rPr>
          <w:rFonts w:cs="Arial"/>
        </w:rPr>
        <w:t xml:space="preserve"> of 8 ppm</w:t>
      </w:r>
      <w:r w:rsidR="00703873">
        <w:rPr>
          <w:rFonts w:cs="Arial"/>
        </w:rPr>
        <w:t xml:space="preserve"> (ACGIH</w:t>
      </w:r>
      <w:r w:rsidR="001D6393">
        <w:rPr>
          <w:rFonts w:cs="Arial"/>
        </w:rPr>
        <w:t>,</w:t>
      </w:r>
      <w:r w:rsidR="00703873">
        <w:rPr>
          <w:rFonts w:cs="Arial"/>
        </w:rPr>
        <w:t xml:space="preserve"> 2018)</w:t>
      </w:r>
      <w:r>
        <w:rPr>
          <w:rFonts w:cs="Arial"/>
        </w:rPr>
        <w:t>.</w:t>
      </w:r>
      <w:r w:rsidR="00131212">
        <w:rPr>
          <w:rFonts w:cs="Arial"/>
        </w:rPr>
        <w:t xml:space="preserve"> </w:t>
      </w:r>
      <w:r w:rsidR="00703873" w:rsidRPr="00703873">
        <w:rPr>
          <w:rFonts w:cs="Arial"/>
        </w:rPr>
        <w:t>Sub</w:t>
      </w:r>
      <w:r w:rsidR="00131212">
        <w:rPr>
          <w:rFonts w:cs="Arial"/>
        </w:rPr>
        <w:t>-</w:t>
      </w:r>
      <w:r w:rsidR="00703873" w:rsidRPr="00703873">
        <w:rPr>
          <w:rFonts w:cs="Arial"/>
        </w:rPr>
        <w:t>chronic</w:t>
      </w:r>
      <w:r w:rsidR="00703873">
        <w:rPr>
          <w:rFonts w:cs="Arial"/>
        </w:rPr>
        <w:t xml:space="preserve"> animal</w:t>
      </w:r>
      <w:r w:rsidR="00703873" w:rsidRPr="00703873">
        <w:rPr>
          <w:rFonts w:cs="Arial"/>
        </w:rPr>
        <w:t xml:space="preserve"> inhalation exposure at 25 ppm </w:t>
      </w:r>
      <w:r w:rsidR="00DD25F0">
        <w:rPr>
          <w:rFonts w:cs="Arial"/>
        </w:rPr>
        <w:t>was</w:t>
      </w:r>
      <w:r w:rsidR="00703873" w:rsidRPr="00703873">
        <w:rPr>
          <w:rFonts w:cs="Arial"/>
        </w:rPr>
        <w:t xml:space="preserve"> marginally toxic as evidenced </w:t>
      </w:r>
      <w:r w:rsidR="00DD25F0">
        <w:rPr>
          <w:rFonts w:cs="Arial"/>
        </w:rPr>
        <w:t>by</w:t>
      </w:r>
      <w:r w:rsidR="00703873" w:rsidRPr="00703873">
        <w:rPr>
          <w:rFonts w:cs="Arial"/>
        </w:rPr>
        <w:t xml:space="preserve"> decreased body weight</w:t>
      </w:r>
      <w:r w:rsidR="00703873">
        <w:rPr>
          <w:rFonts w:cs="Arial"/>
        </w:rPr>
        <w:t xml:space="preserve"> with a NOAEL of 11 ppm (ACGIH</w:t>
      </w:r>
      <w:r w:rsidR="001D6393">
        <w:rPr>
          <w:rFonts w:cs="Arial"/>
        </w:rPr>
        <w:t>,</w:t>
      </w:r>
      <w:r w:rsidR="00703873">
        <w:rPr>
          <w:rFonts w:cs="Arial"/>
        </w:rPr>
        <w:t xml:space="preserve"> 2018).</w:t>
      </w:r>
      <w:r w:rsidR="00046ABB" w:rsidRPr="00046ABB">
        <w:t xml:space="preserve"> </w:t>
      </w:r>
      <w:r w:rsidR="00046ABB">
        <w:rPr>
          <w:rFonts w:cs="Arial"/>
        </w:rPr>
        <w:t>S</w:t>
      </w:r>
      <w:r w:rsidR="00046ABB" w:rsidRPr="00046ABB">
        <w:rPr>
          <w:rFonts w:cs="Arial"/>
        </w:rPr>
        <w:t xml:space="preserve">ub-chronic effects of cyanogen </w:t>
      </w:r>
      <w:r w:rsidR="00046ABB">
        <w:rPr>
          <w:rFonts w:cs="Arial"/>
        </w:rPr>
        <w:t>are considered to result</w:t>
      </w:r>
      <w:r w:rsidR="00046ABB" w:rsidRPr="00046ABB">
        <w:rPr>
          <w:rFonts w:cs="Arial"/>
        </w:rPr>
        <w:t xml:space="preserve"> from </w:t>
      </w:r>
      <w:r w:rsidR="004A54AC">
        <w:rPr>
          <w:rFonts w:cs="Arial"/>
        </w:rPr>
        <w:t xml:space="preserve">its </w:t>
      </w:r>
      <w:r w:rsidR="00046ABB" w:rsidRPr="00046ABB">
        <w:rPr>
          <w:rFonts w:cs="Arial"/>
        </w:rPr>
        <w:t>hydrolysis to cyanide</w:t>
      </w:r>
      <w:r w:rsidR="00046ABB">
        <w:rPr>
          <w:rFonts w:cs="Arial"/>
        </w:rPr>
        <w:t xml:space="preserve"> (ACGIH, 2018).</w:t>
      </w:r>
    </w:p>
    <w:p w14:paraId="18703DEA" w14:textId="6D28D21B" w:rsidR="00CC77B3" w:rsidRPr="00B97E18" w:rsidRDefault="00131212" w:rsidP="00CC77B3">
      <w:r w:rsidRPr="00131212">
        <w:t>The available data suggest irritation</w:t>
      </w:r>
      <w:r>
        <w:t xml:space="preserve"> immediately following exposure</w:t>
      </w:r>
      <w:r w:rsidRPr="00131212">
        <w:t xml:space="preserve">. However, the data are insufficient to conclude whether these effects occur after prolonged exposure or at high concentrations. </w:t>
      </w:r>
      <w:r w:rsidR="00E63BD1">
        <w:t>Consequently</w:t>
      </w:r>
      <w:r w:rsidR="007D235D">
        <w:t>,</w:t>
      </w:r>
      <w:r w:rsidR="00CC77B3">
        <w:t xml:space="preserve"> </w:t>
      </w:r>
      <w:r w:rsidR="00E63BD1">
        <w:t xml:space="preserve">a </w:t>
      </w:r>
      <w:r w:rsidR="00E36AF6">
        <w:rPr>
          <w:rFonts w:eastAsia="Calibri" w:cs="Times New Roman"/>
        </w:rPr>
        <w:t xml:space="preserve">peak </w:t>
      </w:r>
      <w:r w:rsidR="00703873">
        <w:rPr>
          <w:rFonts w:eastAsia="Calibri" w:cs="Times New Roman"/>
        </w:rPr>
        <w:t>limitation</w:t>
      </w:r>
      <w:r w:rsidR="00CC77B3">
        <w:t xml:space="preserve"> </w:t>
      </w:r>
      <w:r w:rsidR="00095497">
        <w:t xml:space="preserve">of 5 ppm (rounded from a </w:t>
      </w:r>
      <w:r w:rsidR="00A00861">
        <w:t xml:space="preserve">NOAEC </w:t>
      </w:r>
      <w:r w:rsidR="00095497">
        <w:t xml:space="preserve">of 8 ppm in humans) </w:t>
      </w:r>
      <w:r w:rsidR="00CC77B3">
        <w:t xml:space="preserve">is considered sufficiently low to minimise </w:t>
      </w:r>
      <w:r w:rsidR="00CC77B3" w:rsidRPr="00C91D05">
        <w:t xml:space="preserve">the potential for </w:t>
      </w:r>
      <w:r w:rsidR="00703873" w:rsidRPr="00703873">
        <w:rPr>
          <w:rFonts w:cs="Arial"/>
        </w:rPr>
        <w:t>nasal and eye irritation in acute exposures</w:t>
      </w:r>
      <w:r w:rsidR="00046ABB">
        <w:rPr>
          <w:rFonts w:cs="Arial"/>
        </w:rPr>
        <w:t>.</w:t>
      </w:r>
      <w:r w:rsidR="00703873" w:rsidRPr="00703873">
        <w:rPr>
          <w:rFonts w:cs="Arial"/>
        </w:rPr>
        <w:t xml:space="preserve"> </w:t>
      </w:r>
      <w:r w:rsidR="00046ABB">
        <w:rPr>
          <w:rFonts w:cs="Arial"/>
        </w:rPr>
        <w:t xml:space="preserve">This concentration is also protective for </w:t>
      </w:r>
      <w:r w:rsidR="00703873" w:rsidRPr="00703873">
        <w:rPr>
          <w:rFonts w:cs="Arial"/>
        </w:rPr>
        <w:t>sub</w:t>
      </w:r>
      <w:r w:rsidR="00BE53E7">
        <w:rPr>
          <w:rFonts w:cs="Arial"/>
        </w:rPr>
        <w:t>-</w:t>
      </w:r>
      <w:r w:rsidR="00703873" w:rsidRPr="00703873">
        <w:rPr>
          <w:rFonts w:cs="Arial"/>
        </w:rPr>
        <w:t xml:space="preserve">chronic effects of cyanogen </w:t>
      </w:r>
      <w:r w:rsidR="00576813">
        <w:rPr>
          <w:rFonts w:cs="Arial"/>
        </w:rPr>
        <w:t>due to</w:t>
      </w:r>
      <w:r w:rsidR="00703873" w:rsidRPr="00703873">
        <w:rPr>
          <w:rFonts w:cs="Arial"/>
        </w:rPr>
        <w:t xml:space="preserve"> hydrolysis</w:t>
      </w:r>
      <w:r w:rsidR="00703873">
        <w:rPr>
          <w:rFonts w:cs="Arial"/>
        </w:rPr>
        <w:t>.</w:t>
      </w:r>
    </w:p>
    <w:p w14:paraId="2503F94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47DCB6B" w14:textId="25C06558" w:rsidR="00224F6B" w:rsidRPr="00820121" w:rsidRDefault="00224F6B" w:rsidP="00224F6B">
      <w:pPr>
        <w:rPr>
          <w:rFonts w:cs="Arial"/>
        </w:rPr>
      </w:pPr>
      <w:r w:rsidRPr="00820121">
        <w:rPr>
          <w:rFonts w:cs="Arial"/>
        </w:rPr>
        <w:t>Not classified as a carcinogen according to the Globally Harmonized System of Classification and Labelling o</w:t>
      </w:r>
      <w:r w:rsidR="009C10CA">
        <w:rPr>
          <w:rFonts w:cs="Arial"/>
        </w:rPr>
        <w:t>f</w:t>
      </w:r>
      <w:r w:rsidRPr="00820121">
        <w:rPr>
          <w:rFonts w:cs="Arial"/>
        </w:rPr>
        <w:t xml:space="preserve"> Chemicals (GHS). </w:t>
      </w:r>
    </w:p>
    <w:p w14:paraId="08F18012" w14:textId="199AEFCB" w:rsidR="00224F6B" w:rsidRPr="00820121" w:rsidRDefault="00224F6B" w:rsidP="00224F6B">
      <w:pPr>
        <w:rPr>
          <w:rFonts w:cs="Arial"/>
        </w:rPr>
      </w:pPr>
      <w:r w:rsidRPr="00820121">
        <w:rPr>
          <w:rFonts w:cs="Arial"/>
        </w:rPr>
        <w:t>Not classified as a skin</w:t>
      </w:r>
      <w:r w:rsidR="003273E5">
        <w:rPr>
          <w:rFonts w:cs="Arial"/>
        </w:rPr>
        <w:t xml:space="preserve"> </w:t>
      </w:r>
      <w:r w:rsidR="003273E5" w:rsidRPr="00820121">
        <w:rPr>
          <w:rFonts w:cs="Arial"/>
        </w:rPr>
        <w:t>sensitiser</w:t>
      </w:r>
      <w:r w:rsidRPr="00820121">
        <w:rPr>
          <w:rFonts w:cs="Arial"/>
        </w:rPr>
        <w:t xml:space="preserve"> or respiratory sensitiser according to the GHS.</w:t>
      </w:r>
    </w:p>
    <w:p w14:paraId="0B3A29DE" w14:textId="04A4A3DB" w:rsidR="0025734A" w:rsidRPr="004C23F4" w:rsidRDefault="00D1561D">
      <w:pPr>
        <w:rPr>
          <w:rFonts w:cs="Arial"/>
        </w:rPr>
      </w:pPr>
      <w:r>
        <w:rPr>
          <w:rFonts w:cs="Arial"/>
        </w:rPr>
        <w:t>There are i</w:t>
      </w:r>
      <w:r w:rsidR="00224F6B" w:rsidRPr="00820121">
        <w:rPr>
          <w:rFonts w:cs="Arial"/>
        </w:rPr>
        <w:t xml:space="preserve">nsufficient </w:t>
      </w:r>
      <w:r w:rsidR="009C10CA">
        <w:rPr>
          <w:rFonts w:cs="Arial"/>
        </w:rPr>
        <w:t>data</w:t>
      </w:r>
      <w:r w:rsidR="00224F6B" w:rsidRPr="00820121">
        <w:rPr>
          <w:rFonts w:cs="Arial"/>
        </w:rPr>
        <w:t xml:space="preserve"> to recommend a skin notation.</w:t>
      </w:r>
    </w:p>
    <w:p w14:paraId="5164E91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74FD19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C28F98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12B50D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AF8ADA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0EEB91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5C9FCA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371C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1778291915"/>
                    <w:placeholder>
                      <w:docPart w:val="A64F2ABF296043899642D64FA3B4F46F"/>
                    </w:placeholder>
                  </w:sdtPr>
                  <w:sdtEndPr/>
                  <w:sdtContent>
                    <w:r w:rsidR="004371CE">
                      <w:t>TWA:</w:t>
                    </w:r>
                    <w:r w:rsidR="004371CE" w:rsidRPr="004371CE">
                      <w:t xml:space="preserve"> </w:t>
                    </w:r>
                    <w:r w:rsidR="004371CE">
                      <w:t>10</w:t>
                    </w:r>
                    <w:r w:rsidR="004371CE" w:rsidRPr="004371CE">
                      <w:t xml:space="preserve"> ppm (</w:t>
                    </w:r>
                    <w:r w:rsidR="004371CE">
                      <w:t>21</w:t>
                    </w:r>
                    <w:r w:rsidR="004371CE" w:rsidRPr="004371CE">
                      <w:t xml:space="preserve"> mg/m</w:t>
                    </w:r>
                    <w:r w:rsidR="004371CE" w:rsidRPr="004371CE">
                      <w:rPr>
                        <w:vertAlign w:val="superscript"/>
                      </w:rPr>
                      <w:t>3</w:t>
                    </w:r>
                    <w:r w:rsidR="004371CE" w:rsidRPr="004371CE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34FA01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3F505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7338D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60B366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371CE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371CE">
                  <w:t xml:space="preserve">TLV </w:t>
                </w:r>
                <w:r w:rsidR="004371CE" w:rsidRPr="004371CE">
                  <w:t>Ceiling</w:t>
                </w:r>
                <w:r w:rsidR="004371CE">
                  <w:t>:</w:t>
                </w:r>
                <w:r w:rsidR="004371CE" w:rsidRPr="004371CE">
                  <w:t xml:space="preserve"> 5 ppm (10.6 mg/m</w:t>
                </w:r>
                <w:r w:rsidR="004371CE" w:rsidRPr="004371CE">
                  <w:rPr>
                    <w:vertAlign w:val="superscript"/>
                  </w:rPr>
                  <w:t>3</w:t>
                </w:r>
                <w:r w:rsidR="004371CE" w:rsidRPr="004371CE">
                  <w:t>)</w:t>
                </w:r>
              </w:sdtContent>
            </w:sdt>
          </w:p>
        </w:tc>
      </w:tr>
      <w:tr w:rsidR="00C978F0" w:rsidRPr="00DA352E" w14:paraId="75DA22E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C361EE" w14:textId="1C76E6B3" w:rsidR="00C2589D" w:rsidRDefault="00C2589D" w:rsidP="00C2589D">
            <w:pPr>
              <w:pStyle w:val="Tabletextprimarysource"/>
            </w:pPr>
            <w:r>
              <w:t xml:space="preserve">TLV-Ceiling recommended to minimise the risk of nasal and eye irritation in acute exposures and to protect from </w:t>
            </w:r>
            <w:r w:rsidR="00E36AF6">
              <w:t>sub chronic</w:t>
            </w:r>
            <w:r>
              <w:t xml:space="preserve"> effects of cyanogen that result from hydrolysis or metabolism to cyanide.</w:t>
            </w:r>
          </w:p>
          <w:p w14:paraId="221FE193" w14:textId="24E166F0" w:rsidR="00C2589D" w:rsidRPr="008F50A2" w:rsidRDefault="00C2589D" w:rsidP="007C6395">
            <w:pPr>
              <w:pStyle w:val="Tabletextprimarysource"/>
            </w:pPr>
            <w:r>
              <w:t>Summary of data:</w:t>
            </w:r>
          </w:p>
          <w:p w14:paraId="3C1D8A63" w14:textId="77777777" w:rsidR="00C2589D" w:rsidRDefault="00C2589D" w:rsidP="003273E5">
            <w:pPr>
              <w:pStyle w:val="Tabletextprimarysource"/>
            </w:pPr>
            <w:r>
              <w:t>Human data:</w:t>
            </w:r>
          </w:p>
          <w:p w14:paraId="5452C477" w14:textId="06FA6DAB" w:rsidR="00C2589D" w:rsidRPr="00737C78" w:rsidRDefault="00E63BD1" w:rsidP="006913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</w:t>
            </w:r>
            <w:r w:rsidR="00C2589D">
              <w:t xml:space="preserve">: </w:t>
            </w:r>
            <w:r w:rsidR="00C2589D" w:rsidRPr="00737C78">
              <w:t>8 ppm (6 min)</w:t>
            </w:r>
            <w:r w:rsidR="00EB5FBC">
              <w:t xml:space="preserve">, </w:t>
            </w:r>
            <w:r w:rsidR="004A0106">
              <w:t xml:space="preserve">no </w:t>
            </w:r>
            <w:r w:rsidR="00EB5FBC">
              <w:t>eye and nasal irritation</w:t>
            </w:r>
          </w:p>
          <w:p w14:paraId="078AEAAF" w14:textId="52456CD6" w:rsidR="009C10CA" w:rsidRDefault="00975893" w:rsidP="003273E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</w:t>
            </w:r>
            <w:r w:rsidR="004A0106">
              <w:t>OAEC</w:t>
            </w:r>
            <w:r w:rsidR="00C2589D">
              <w:t>: 16 ppm (6</w:t>
            </w:r>
            <w:r w:rsidR="00E36AF6">
              <w:t>–</w:t>
            </w:r>
            <w:r w:rsidR="00C2589D">
              <w:t>8 min)</w:t>
            </w:r>
            <w:r w:rsidR="00EB5FBC">
              <w:t>, eye and nasal irritation</w:t>
            </w:r>
            <w:r w:rsidR="009C10CA">
              <w:t>.</w:t>
            </w:r>
          </w:p>
          <w:p w14:paraId="117CBD15" w14:textId="214C4F4C" w:rsidR="00C2589D" w:rsidRDefault="00C2589D" w:rsidP="003273E5">
            <w:pPr>
              <w:pStyle w:val="Tabletextprimarysource"/>
            </w:pPr>
            <w:r>
              <w:t>Animal data:</w:t>
            </w:r>
          </w:p>
          <w:p w14:paraId="796E8087" w14:textId="77777777" w:rsidR="00737C78" w:rsidRDefault="00737C78" w:rsidP="006913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737C78">
              <w:rPr>
                <w:vertAlign w:val="subscript"/>
              </w:rPr>
              <w:t>50</w:t>
            </w:r>
            <w:r>
              <w:t>: 350 ppm (rats, 1</w:t>
            </w:r>
            <w:r w:rsidR="00E36AF6">
              <w:t xml:space="preserve"> </w:t>
            </w:r>
            <w:r>
              <w:t>h)</w:t>
            </w:r>
          </w:p>
          <w:p w14:paraId="1F45BA33" w14:textId="7636DB47" w:rsidR="00737C78" w:rsidRDefault="00737C78" w:rsidP="006913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15 monkeys and 90 rats, divided into 3</w:t>
            </w:r>
            <w:r w:rsidR="00CA7187">
              <w:t xml:space="preserve"> groups</w:t>
            </w:r>
            <w:r w:rsidR="00E36AF6">
              <w:t>,</w:t>
            </w:r>
            <w:r>
              <w:t xml:space="preserve"> were exposed 6 h/d, 5 d/wk for 6 mo at 0, 11 or 25 ppm</w:t>
            </w:r>
            <w:r w:rsidR="00E36AF6">
              <w:t>;</w:t>
            </w:r>
            <w:r w:rsidR="00EB5FBC">
              <w:t xml:space="preserve"> decreased body weight observed at 25 ppm</w:t>
            </w:r>
            <w:r>
              <w:t>. NOAEL: 11 ppm</w:t>
            </w:r>
          </w:p>
          <w:p w14:paraId="5104F371" w14:textId="1E14A5C6" w:rsidR="007C6395" w:rsidRDefault="007C6395" w:rsidP="006913A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Rabbits exposed to 10,000 ppm</w:t>
            </w:r>
            <w:r w:rsidR="008D17AB">
              <w:t xml:space="preserve"> (8</w:t>
            </w:r>
            <w:r w:rsidR="00E36AF6">
              <w:t xml:space="preserve"> </w:t>
            </w:r>
            <w:r w:rsidR="008D17AB">
              <w:t>h, dermal)</w:t>
            </w:r>
            <w:r w:rsidR="00E36AF6">
              <w:t>;</w:t>
            </w:r>
            <w:r w:rsidR="008D17AB">
              <w:t xml:space="preserve"> no observed effect</w:t>
            </w:r>
            <w:r w:rsidR="00E36AF6">
              <w:t>.</w:t>
            </w:r>
          </w:p>
          <w:p w14:paraId="19285AE6" w14:textId="77777777" w:rsidR="009C10CA" w:rsidRDefault="009C10CA" w:rsidP="006913A9">
            <w:pPr>
              <w:pStyle w:val="ListBullet"/>
              <w:numPr>
                <w:ilvl w:val="0"/>
                <w:numId w:val="0"/>
              </w:numPr>
            </w:pPr>
          </w:p>
          <w:p w14:paraId="12F597E6" w14:textId="77777777" w:rsidR="009C10CA" w:rsidRDefault="00471A8A" w:rsidP="003273E5">
            <w:pPr>
              <w:pStyle w:val="Tabletextprimarysource"/>
            </w:pPr>
            <w:r>
              <w:t>Insufficient data to assign a carcinogen, skin or sensitiser notation.</w:t>
            </w:r>
          </w:p>
          <w:p w14:paraId="45FC29BD" w14:textId="7E3A0598" w:rsidR="006913A9" w:rsidRPr="00DA352E" w:rsidRDefault="006913A9" w:rsidP="003273E5">
            <w:pPr>
              <w:pStyle w:val="Tabletextprimarysource"/>
            </w:pPr>
          </w:p>
        </w:tc>
      </w:tr>
      <w:tr w:rsidR="00C978F0" w:rsidRPr="00DA352E" w14:paraId="5B47C12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790F2B" w14:textId="318727A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575B5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371CE">
                  <w:t>MAK: 5 ppm (11</w:t>
                </w:r>
                <w:r w:rsidR="004371CE" w:rsidRPr="004371CE">
                  <w:t xml:space="preserve"> mg/m</w:t>
                </w:r>
                <w:r w:rsidR="004371CE" w:rsidRPr="004371CE">
                  <w:rPr>
                    <w:vertAlign w:val="superscript"/>
                  </w:rPr>
                  <w:t>3</w:t>
                </w:r>
                <w:r w:rsidR="004371CE" w:rsidRPr="004371CE">
                  <w:t>)</w:t>
                </w:r>
              </w:sdtContent>
            </w:sdt>
          </w:p>
        </w:tc>
      </w:tr>
      <w:tr w:rsidR="00C978F0" w:rsidRPr="00DA352E" w14:paraId="62B719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3C1C3A" w14:textId="6ABD91F8" w:rsidR="00C978F0" w:rsidRDefault="009D3038" w:rsidP="003365A5">
            <w:pPr>
              <w:pStyle w:val="Tabletextprimarysource"/>
            </w:pPr>
            <w:r>
              <w:t xml:space="preserve">MAK recommended by analogy to </w:t>
            </w:r>
            <w:r w:rsidRPr="009D3038">
              <w:t>hydrogen cyanide (MAK value 1.9 m</w:t>
            </w:r>
            <w:r w:rsidR="00080929">
              <w:t>L</w:t>
            </w:r>
            <w:r w:rsidRPr="009D3038">
              <w:t>/m</w:t>
            </w:r>
            <w:r w:rsidRPr="007C6395">
              <w:rPr>
                <w:vertAlign w:val="superscript"/>
              </w:rPr>
              <w:t>3</w:t>
            </w:r>
            <w:r w:rsidRPr="009D3038">
              <w:t>)</w:t>
            </w:r>
            <w:r>
              <w:t xml:space="preserve"> </w:t>
            </w:r>
            <w:r w:rsidR="003273E5">
              <w:t>as</w:t>
            </w:r>
            <w:r>
              <w:t xml:space="preserve"> </w:t>
            </w:r>
            <w:r w:rsidRPr="009D3038">
              <w:t xml:space="preserve">acute toxicity </w:t>
            </w:r>
            <w:r w:rsidR="003273E5">
              <w:t>is</w:t>
            </w:r>
            <w:r w:rsidR="00AC713E">
              <w:t xml:space="preserve"> </w:t>
            </w:r>
            <w:r w:rsidR="003273E5">
              <w:t>~</w:t>
            </w:r>
            <w:r w:rsidRPr="009D3038">
              <w:t>2.5 times less</w:t>
            </w:r>
            <w:r w:rsidR="000130CB">
              <w:t xml:space="preserve"> and to</w:t>
            </w:r>
            <w:r>
              <w:t xml:space="preserve"> minimise the risk </w:t>
            </w:r>
            <w:r w:rsidR="000130CB">
              <w:t>of sub</w:t>
            </w:r>
            <w:r w:rsidR="003A72BA">
              <w:t>-</w:t>
            </w:r>
            <w:r w:rsidR="000130CB">
              <w:t xml:space="preserve">chronic effects observed in </w:t>
            </w:r>
            <w:r w:rsidRPr="009D3038">
              <w:t>rats and monkeys</w:t>
            </w:r>
            <w:r w:rsidR="000130CB">
              <w:t>.</w:t>
            </w:r>
          </w:p>
          <w:p w14:paraId="6ACA01E2" w14:textId="680FEE76" w:rsidR="009C10CA" w:rsidRPr="00DA352E" w:rsidRDefault="009C10CA" w:rsidP="003365A5">
            <w:pPr>
              <w:pStyle w:val="Tabletextprimarysource"/>
            </w:pPr>
          </w:p>
        </w:tc>
      </w:tr>
      <w:tr w:rsidR="00C978F0" w:rsidRPr="00DA352E" w14:paraId="0BE970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5D6B4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71A8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71A8A">
                  <w:t>NA</w:t>
                </w:r>
                <w:proofErr w:type="spellEnd"/>
              </w:sdtContent>
            </w:sdt>
          </w:p>
        </w:tc>
      </w:tr>
      <w:tr w:rsidR="00C978F0" w:rsidRPr="00DA352E" w14:paraId="2E19D7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81C2C6" w14:textId="73178B50" w:rsidR="00C978F0" w:rsidRPr="00DA352E" w:rsidRDefault="00471A8A" w:rsidP="003365A5">
            <w:pPr>
              <w:pStyle w:val="Tabletextprimarysource"/>
            </w:pPr>
            <w:r>
              <w:t>No report</w:t>
            </w:r>
            <w:r w:rsidR="00D1561D">
              <w:t>.</w:t>
            </w:r>
          </w:p>
        </w:tc>
      </w:tr>
      <w:tr w:rsidR="00DA352E" w:rsidRPr="00DA352E" w14:paraId="1559B04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6E5FB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15381695"/>
                <w:placeholder>
                  <w:docPart w:val="CDDDE8CD98094A5AAB97C7FF044DB6C2"/>
                </w:placeholder>
                <w:text/>
              </w:sdtPr>
              <w:sdtEndPr/>
              <w:sdtContent>
                <w:r w:rsidR="00471A8A">
                  <w:t>NA</w:t>
                </w:r>
              </w:sdtContent>
            </w:sdt>
            <w:r w:rsidR="00471A8A" w:rsidRPr="003365A5">
              <w:tab/>
            </w:r>
            <w:r w:rsidR="00471A8A">
              <w:tab/>
            </w:r>
            <w:sdt>
              <w:sdtPr>
                <w:alias w:val="SCOEL WES equivalent"/>
                <w:tag w:val="SCOEL WES equivalent"/>
                <w:id w:val="1451126174"/>
                <w:placeholder>
                  <w:docPart w:val="5264C34EF0BD410BA8F4A8AC395CCC34"/>
                </w:placeholder>
              </w:sdtPr>
              <w:sdtEndPr/>
              <w:sdtContent>
                <w:proofErr w:type="spellStart"/>
                <w:r w:rsidR="00471A8A">
                  <w:t>NA</w:t>
                </w:r>
                <w:proofErr w:type="spellEnd"/>
              </w:sdtContent>
            </w:sdt>
          </w:p>
        </w:tc>
      </w:tr>
      <w:tr w:rsidR="00DA352E" w:rsidRPr="00DA352E" w14:paraId="25329C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CBE590" w14:textId="311A3BA6" w:rsidR="00DA352E" w:rsidRPr="00DA352E" w:rsidRDefault="00471A8A" w:rsidP="003365A5">
            <w:pPr>
              <w:pStyle w:val="Tabletextprimarysource"/>
            </w:pPr>
            <w:r>
              <w:t>No report</w:t>
            </w:r>
            <w:r w:rsidR="00D1561D">
              <w:t>.</w:t>
            </w:r>
          </w:p>
        </w:tc>
      </w:tr>
      <w:tr w:rsidR="00DA352E" w:rsidRPr="00DA352E" w14:paraId="7AFEFF8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A611A1" w14:textId="3AAF51C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50DB0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alias w:val="HCOTN WES equivalent"/>
                    <w:tag w:val="HCOTN WES equivalent"/>
                    <w:id w:val="1708063195"/>
                    <w:placeholder>
                      <w:docPart w:val="310269FA05EB46D08721590CE0E460B4"/>
                    </w:placeholder>
                  </w:sdtPr>
                  <w:sdtEndPr/>
                  <w:sdtContent>
                    <w:r w:rsidR="00AD7A14">
                      <w:t>TWA: 10 ppm (20 mg/m</w:t>
                    </w:r>
                    <w:r w:rsidR="00AD7A14" w:rsidRPr="00262EF2">
                      <w:rPr>
                        <w:vertAlign w:val="superscript"/>
                      </w:rPr>
                      <w:t>3</w:t>
                    </w:r>
                    <w:r w:rsidR="00AD7A14">
                      <w:t>)</w:t>
                    </w:r>
                  </w:sdtContent>
                </w:sdt>
              </w:sdtContent>
            </w:sdt>
          </w:p>
        </w:tc>
      </w:tr>
      <w:tr w:rsidR="00DA352E" w:rsidRPr="00DA352E" w14:paraId="07D1CD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F3328C" w14:textId="6AF7E3AD" w:rsidR="00DA352E" w:rsidRDefault="00691128" w:rsidP="00691128">
            <w:pPr>
              <w:pStyle w:val="Tabletextprimarysource"/>
            </w:pPr>
            <w:r>
              <w:t>The committee applied an assessment factor of 9 to the NOE</w:t>
            </w:r>
            <w:r w:rsidR="0036699D">
              <w:t>C</w:t>
            </w:r>
            <w:r>
              <w:t xml:space="preserve"> </w:t>
            </w:r>
            <w:r w:rsidRPr="008D17AB">
              <w:t>of 25 mg/m</w:t>
            </w:r>
            <w:r w:rsidRPr="00691128">
              <w:rPr>
                <w:vertAlign w:val="superscript"/>
              </w:rPr>
              <w:t>3</w:t>
            </w:r>
            <w:r w:rsidRPr="008D17AB">
              <w:t xml:space="preserve"> </w:t>
            </w:r>
            <w:r>
              <w:t>from the</w:t>
            </w:r>
            <w:r w:rsidRPr="008D17AB">
              <w:t xml:space="preserve"> inhalation study in rats and monkeys</w:t>
            </w:r>
            <w:r>
              <w:t xml:space="preserve"> to </w:t>
            </w:r>
            <w:r w:rsidR="00E36AF6" w:rsidRPr="008D17AB">
              <w:t>deriv</w:t>
            </w:r>
            <w:r w:rsidR="00E36AF6">
              <w:t>e</w:t>
            </w:r>
            <w:r w:rsidR="00E36AF6" w:rsidRPr="008D17AB">
              <w:t xml:space="preserve"> </w:t>
            </w:r>
            <w:r w:rsidR="008D17AB" w:rsidRPr="008D17AB">
              <w:t>a health-based recommen</w:t>
            </w:r>
            <w:r>
              <w:t xml:space="preserve">ded </w:t>
            </w:r>
            <w:r w:rsidR="003273E5">
              <w:t>OEL</w:t>
            </w:r>
            <w:r>
              <w:t>.</w:t>
            </w:r>
          </w:p>
          <w:p w14:paraId="239E37DD" w14:textId="2B0FEC91" w:rsidR="009C10CA" w:rsidRPr="00DA352E" w:rsidRDefault="009C10CA" w:rsidP="00691128">
            <w:pPr>
              <w:pStyle w:val="Tabletextprimarysource"/>
            </w:pPr>
          </w:p>
        </w:tc>
      </w:tr>
    </w:tbl>
    <w:p w14:paraId="16D7247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990"/>
        <w:gridCol w:w="374"/>
        <w:gridCol w:w="706"/>
        <w:gridCol w:w="6956"/>
      </w:tblGrid>
      <w:tr w:rsidR="004966BF" w:rsidRPr="00263255" w14:paraId="5C4990C3" w14:textId="77777777" w:rsidTr="005358B7">
        <w:trPr>
          <w:cantSplit/>
          <w:trHeight w:val="393"/>
          <w:tblHeader/>
        </w:trPr>
        <w:tc>
          <w:tcPr>
            <w:tcW w:w="990" w:type="dxa"/>
            <w:shd w:val="clear" w:color="auto" w:fill="BFBFBF" w:themeFill="background1" w:themeFillShade="BF"/>
            <w:vAlign w:val="center"/>
          </w:tcPr>
          <w:p w14:paraId="569DE73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374" w:type="dxa"/>
            <w:shd w:val="clear" w:color="auto" w:fill="BFBFBF" w:themeFill="background1" w:themeFillShade="BF"/>
            <w:vAlign w:val="center"/>
          </w:tcPr>
          <w:p w14:paraId="02BC96A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06" w:type="dxa"/>
            <w:shd w:val="clear" w:color="auto" w:fill="BFBFBF" w:themeFill="background1" w:themeFillShade="BF"/>
            <w:vAlign w:val="center"/>
          </w:tcPr>
          <w:p w14:paraId="17EC64C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956" w:type="dxa"/>
            <w:shd w:val="clear" w:color="auto" w:fill="BFBFBF" w:themeFill="background1" w:themeFillShade="BF"/>
            <w:vAlign w:val="center"/>
          </w:tcPr>
          <w:p w14:paraId="62E3E80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9462483" w14:textId="77777777" w:rsidTr="005358B7">
        <w:trPr>
          <w:cantSplit/>
        </w:trPr>
        <w:tc>
          <w:tcPr>
            <w:tcW w:w="990" w:type="dxa"/>
          </w:tcPr>
          <w:p w14:paraId="0D436D7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374" w:type="dxa"/>
          </w:tcPr>
          <w:p w14:paraId="6ECB6C42" w14:textId="77777777" w:rsidR="004966BF" w:rsidRPr="00CE617F" w:rsidRDefault="0086697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D645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06" w:type="dxa"/>
          </w:tcPr>
          <w:p w14:paraId="0D050DC0" w14:textId="77777777" w:rsidR="004966BF" w:rsidRPr="004C23F4" w:rsidRDefault="005358B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956" w:type="dxa"/>
          </w:tcPr>
          <w:p w14:paraId="15ED3646" w14:textId="08D44E9D" w:rsidR="00ED6459" w:rsidRPr="005358B7" w:rsidRDefault="00ED6459" w:rsidP="00B5539D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Style w:val="checkbox"/>
                <w:rFonts w:ascii="Arial" w:hAnsi="Arial" w:cs="Arial"/>
              </w:rPr>
              <w:t>W</w:t>
            </w:r>
            <w:r w:rsidRPr="00ED6459">
              <w:rPr>
                <w:rStyle w:val="checkbox"/>
                <w:rFonts w:ascii="Arial" w:hAnsi="Arial" w:cs="Arial"/>
              </w:rPr>
              <w:t xml:space="preserve">eakly </w:t>
            </w:r>
            <w:r w:rsidRPr="005358B7">
              <w:t xml:space="preserve">mutagenic to </w:t>
            </w:r>
            <w:r w:rsidRPr="006913A9">
              <w:rPr>
                <w:i/>
              </w:rPr>
              <w:t>Salmonella typhimurium</w:t>
            </w:r>
            <w:r w:rsidRPr="005358B7">
              <w:t xml:space="preserve"> TA 100 and </w:t>
            </w:r>
            <w:r w:rsidRPr="006913A9">
              <w:rPr>
                <w:i/>
              </w:rPr>
              <w:t>E. coli</w:t>
            </w:r>
            <w:r w:rsidRPr="005358B7">
              <w:t xml:space="preserve"> WP2uvrA (pKM101)</w:t>
            </w:r>
          </w:p>
          <w:p w14:paraId="4847E5C2" w14:textId="2F980CA8" w:rsidR="004966BF" w:rsidRPr="004C23F4" w:rsidRDefault="00ED6459" w:rsidP="00B5539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358B7">
              <w:t>No mutagenic</w:t>
            </w:r>
            <w:r w:rsidRPr="00ED6459">
              <w:rPr>
                <w:rStyle w:val="checkbox"/>
                <w:rFonts w:ascii="Arial" w:hAnsi="Arial" w:cs="Arial"/>
              </w:rPr>
              <w:t xml:space="preserve"> activity was observed with TA 1535, TA 1537 or TA</w:t>
            </w:r>
            <w:r w:rsidR="00D1561D">
              <w:rPr>
                <w:rStyle w:val="checkbox"/>
                <w:rFonts w:ascii="Arial" w:hAnsi="Arial" w:cs="Arial"/>
              </w:rPr>
              <w:t> </w:t>
            </w:r>
            <w:r w:rsidRPr="00ED6459">
              <w:rPr>
                <w:rStyle w:val="checkbox"/>
                <w:rFonts w:ascii="Arial" w:hAnsi="Arial" w:cs="Arial"/>
              </w:rPr>
              <w:t>98.</w:t>
            </w:r>
          </w:p>
        </w:tc>
      </w:tr>
    </w:tbl>
    <w:bookmarkEnd w:id="0"/>
    <w:p w14:paraId="305D13FA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533AC17" w14:textId="77777777" w:rsidTr="005358B7">
        <w:trPr>
          <w:trHeight w:val="454"/>
          <w:tblHeader/>
        </w:trPr>
        <w:tc>
          <w:tcPr>
            <w:tcW w:w="6597" w:type="dxa"/>
            <w:vAlign w:val="center"/>
          </w:tcPr>
          <w:p w14:paraId="7DD429A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F4E9840" w14:textId="77777777" w:rsidR="002E0D61" w:rsidRDefault="005358B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22B093D" w14:textId="77777777" w:rsidTr="005358B7">
        <w:trPr>
          <w:trHeight w:val="454"/>
        </w:trPr>
        <w:tc>
          <w:tcPr>
            <w:tcW w:w="6597" w:type="dxa"/>
            <w:vAlign w:val="center"/>
          </w:tcPr>
          <w:p w14:paraId="7A5DA3D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563D68E" w14:textId="77777777" w:rsidR="008A36CF" w:rsidRDefault="005358B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6699D" w14:paraId="1104FBC4" w14:textId="77777777" w:rsidTr="00060759">
        <w:trPr>
          <w:trHeight w:val="454"/>
        </w:trPr>
        <w:sdt>
          <w:sdtPr>
            <w:rPr>
              <w:b/>
            </w:rPr>
            <w:id w:val="1830936485"/>
            <w:placeholder>
              <w:docPart w:val="15069F96C19449038C34D6A178B5108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1422150" w14:textId="0391FCB9" w:rsidR="0036699D" w:rsidRDefault="0036699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73B51D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8731FCC" w14:textId="77777777" w:rsidTr="0032131F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09C065F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3513ECE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32131F" w:rsidRPr="004C23F4" w14:paraId="26E1F39A" w14:textId="77777777" w:rsidTr="0032131F">
        <w:trPr>
          <w:cantSplit/>
        </w:trPr>
        <w:tc>
          <w:tcPr>
            <w:tcW w:w="3153" w:type="dxa"/>
          </w:tcPr>
          <w:p w14:paraId="5397A774" w14:textId="77777777" w:rsidR="0032131F" w:rsidRPr="004C23F4" w:rsidRDefault="0032131F" w:rsidP="0032131F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7BFFFEE1" w14:textId="4FD6514E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67C1A737" w14:textId="77777777" w:rsidTr="0032131F">
        <w:trPr>
          <w:cantSplit/>
        </w:trPr>
        <w:tc>
          <w:tcPr>
            <w:tcW w:w="3153" w:type="dxa"/>
          </w:tcPr>
          <w:p w14:paraId="454B2A25" w14:textId="77777777" w:rsidR="0032131F" w:rsidRPr="004C23F4" w:rsidRDefault="0032131F" w:rsidP="0032131F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6F9CA70E" w14:textId="6BF9EEC8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6DEABC43" w14:textId="77777777" w:rsidTr="0032131F">
        <w:trPr>
          <w:cantSplit/>
        </w:trPr>
        <w:tc>
          <w:tcPr>
            <w:tcW w:w="3153" w:type="dxa"/>
          </w:tcPr>
          <w:p w14:paraId="0B38CED0" w14:textId="77777777" w:rsidR="0032131F" w:rsidRPr="004C23F4" w:rsidRDefault="0032131F" w:rsidP="0032131F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1D62AF45" w14:textId="6E4A5980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6CA05A72" w14:textId="77777777" w:rsidTr="0032131F">
        <w:trPr>
          <w:cantSplit/>
        </w:trPr>
        <w:tc>
          <w:tcPr>
            <w:tcW w:w="3153" w:type="dxa"/>
          </w:tcPr>
          <w:p w14:paraId="61453A25" w14:textId="77777777" w:rsidR="0032131F" w:rsidRPr="004C23F4" w:rsidRDefault="0032131F" w:rsidP="0032131F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37D4752F" w14:textId="3558849A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4432FA05" w14:textId="77777777" w:rsidTr="0032131F">
        <w:trPr>
          <w:cantSplit/>
        </w:trPr>
        <w:tc>
          <w:tcPr>
            <w:tcW w:w="3153" w:type="dxa"/>
          </w:tcPr>
          <w:p w14:paraId="5EBAC777" w14:textId="77777777" w:rsidR="0032131F" w:rsidRDefault="0032131F" w:rsidP="0032131F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3E830A67" w14:textId="1FE3E096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7C171BFB" w14:textId="77777777" w:rsidTr="0032131F">
        <w:trPr>
          <w:cantSplit/>
        </w:trPr>
        <w:tc>
          <w:tcPr>
            <w:tcW w:w="3153" w:type="dxa"/>
          </w:tcPr>
          <w:p w14:paraId="72AE5B2B" w14:textId="77777777" w:rsidR="0032131F" w:rsidRPr="004C23F4" w:rsidRDefault="0032131F" w:rsidP="0032131F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25EC7A28" w14:textId="042BAFC4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42D1E044" w14:textId="77777777" w:rsidTr="0032131F">
        <w:trPr>
          <w:cantSplit/>
        </w:trPr>
        <w:tc>
          <w:tcPr>
            <w:tcW w:w="3153" w:type="dxa"/>
          </w:tcPr>
          <w:p w14:paraId="1D996904" w14:textId="77777777" w:rsidR="0032131F" w:rsidRPr="004C23F4" w:rsidRDefault="0032131F" w:rsidP="0032131F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215E899C" w14:textId="1B029A71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118FEC9C" w14:textId="77777777" w:rsidTr="0032131F">
        <w:trPr>
          <w:cantSplit/>
        </w:trPr>
        <w:tc>
          <w:tcPr>
            <w:tcW w:w="3153" w:type="dxa"/>
          </w:tcPr>
          <w:p w14:paraId="08956C32" w14:textId="77777777" w:rsidR="0032131F" w:rsidRPr="004C23F4" w:rsidRDefault="0032131F" w:rsidP="0032131F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67646552" w14:textId="4DEBA948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78316BA0" w14:textId="77777777" w:rsidTr="0032131F">
        <w:trPr>
          <w:cantSplit/>
        </w:trPr>
        <w:tc>
          <w:tcPr>
            <w:tcW w:w="3153" w:type="dxa"/>
          </w:tcPr>
          <w:p w14:paraId="5974CCC6" w14:textId="77777777" w:rsidR="0032131F" w:rsidRDefault="0032131F" w:rsidP="0032131F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70E0B94B" w14:textId="64CA0CE4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5D39AD44" w14:textId="77777777" w:rsidTr="0032131F">
        <w:trPr>
          <w:cantSplit/>
        </w:trPr>
        <w:tc>
          <w:tcPr>
            <w:tcW w:w="3153" w:type="dxa"/>
          </w:tcPr>
          <w:p w14:paraId="1AFAE338" w14:textId="77777777" w:rsidR="0032131F" w:rsidRDefault="0032131F" w:rsidP="0032131F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25EBAC31" w14:textId="365D6996" w:rsidR="0032131F" w:rsidRPr="00DD2F9B" w:rsidRDefault="0032131F" w:rsidP="0032131F">
            <w:pPr>
              <w:pStyle w:val="Tablefont"/>
            </w:pPr>
            <w:r>
              <w:t>NA</w:t>
            </w:r>
          </w:p>
        </w:tc>
      </w:tr>
      <w:tr w:rsidR="0032131F" w:rsidRPr="004C23F4" w14:paraId="75A42EC9" w14:textId="77777777" w:rsidTr="0032131F">
        <w:trPr>
          <w:cantSplit/>
        </w:trPr>
        <w:tc>
          <w:tcPr>
            <w:tcW w:w="3153" w:type="dxa"/>
          </w:tcPr>
          <w:p w14:paraId="08B8DEE6" w14:textId="77777777" w:rsidR="0032131F" w:rsidRDefault="0032131F" w:rsidP="0032131F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374BE530" w14:textId="38A86267" w:rsidR="0032131F" w:rsidRPr="00DD2F9B" w:rsidRDefault="0032131F" w:rsidP="0032131F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6A3D8B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BED77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77F7B0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25C3C3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1642E1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56" w:type="dxa"/>
              <w:tblLook w:val="04A0" w:firstRow="1" w:lastRow="0" w:firstColumn="1" w:lastColumn="0" w:noHBand="0" w:noVBand="1"/>
            </w:tblPr>
            <w:tblGrid>
              <w:gridCol w:w="1187"/>
              <w:gridCol w:w="752"/>
              <w:gridCol w:w="2364"/>
              <w:gridCol w:w="751"/>
              <w:gridCol w:w="275"/>
              <w:gridCol w:w="1226"/>
              <w:gridCol w:w="752"/>
              <w:gridCol w:w="1087"/>
              <w:gridCol w:w="416"/>
            </w:tblGrid>
            <w:tr w:rsidR="003273E5" w:rsidRPr="003273E5" w14:paraId="78926644" w14:textId="77777777" w:rsidTr="003273E5">
              <w:trPr>
                <w:trHeight w:val="146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568769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9576F2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011DC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DFFDAF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140AB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EC477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7EFF37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11D066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74B6B7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38359389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6A2C1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2A9C6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BF6679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B133E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ADD88F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9D823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C5B006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FEB2F2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239C71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53D9BB86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69CB9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B4D52C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62C722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7E4E81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9654C1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E11D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3EE82E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5DF159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00A57F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0BFB0E9C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FBDAF8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0C4D62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019B05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A4D060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DAF09B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D3C3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0B8530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01444C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A60AD9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5DA88087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6C401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3FF96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D0E4AD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189C1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6E80D7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175C6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1FF337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C246FF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2A591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08A83D5D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79C3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112719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15D59B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B067E4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8E3B5E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85F11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B3C173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115469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E00EE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6E6425D7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46C7EA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703F83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166D2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12653A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C21ADE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8D8459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1B3208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5B45BB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8EF54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273E5" w:rsidRPr="003273E5" w14:paraId="7F7D01E7" w14:textId="77777777" w:rsidTr="003273E5">
              <w:trPr>
                <w:trHeight w:val="208"/>
              </w:trPr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0C97C7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276BB5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5BE45C" w14:textId="77777777" w:rsidR="003273E5" w:rsidRPr="003273E5" w:rsidRDefault="003273E5" w:rsidP="003273E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45C96" w14:textId="77777777" w:rsidR="003273E5" w:rsidRPr="003273E5" w:rsidRDefault="003273E5" w:rsidP="003273E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0C50D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46667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  <w:tc>
                <w:tcPr>
                  <w:tcW w:w="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195FCE" w14:textId="77777777" w:rsidR="003273E5" w:rsidRPr="003273E5" w:rsidRDefault="003273E5" w:rsidP="003273E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273E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009F7BFC" w14:textId="366FD835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B49F7E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9C6154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FB78D4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FB3A4CD" w14:textId="7BCAD458" w:rsidR="00EB3D1B" w:rsidRDefault="00751C3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F2C1A17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5E4CD40" w14:textId="77777777" w:rsidTr="000D3727">
        <w:trPr>
          <w:cantSplit/>
          <w:tblHeader/>
        </w:trPr>
        <w:tc>
          <w:tcPr>
            <w:tcW w:w="4077" w:type="dxa"/>
            <w:vAlign w:val="center"/>
          </w:tcPr>
          <w:p w14:paraId="69F1CC81" w14:textId="77777777" w:rsidR="001B79E5" w:rsidRDefault="001B79E5" w:rsidP="003273E5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C3F5D22" w14:textId="77777777" w:rsidR="001B79E5" w:rsidRDefault="00E36AF6" w:rsidP="003273E5">
                <w:pPr>
                  <w:pStyle w:val="Tablefont"/>
                  <w:keepNext/>
                </w:pPr>
                <w:r>
                  <w:t>52.031</w:t>
                </w:r>
              </w:p>
            </w:tc>
          </w:sdtContent>
        </w:sdt>
      </w:tr>
      <w:tr w:rsidR="00A31D99" w:rsidRPr="004C23F4" w14:paraId="761DAC6C" w14:textId="77777777" w:rsidTr="003273E5">
        <w:trPr>
          <w:cantSplit/>
        </w:trPr>
        <w:tc>
          <w:tcPr>
            <w:tcW w:w="4077" w:type="dxa"/>
            <w:vAlign w:val="center"/>
          </w:tcPr>
          <w:p w14:paraId="55A2D94E" w14:textId="77777777" w:rsidR="00A31D99" w:rsidRPr="00263255" w:rsidRDefault="00A31D99" w:rsidP="003273E5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37762FF" w14:textId="77777777" w:rsidR="00A31D99" w:rsidRDefault="00A0643F" w:rsidP="003273E5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23F0554" w14:textId="77777777" w:rsidTr="003273E5">
        <w:trPr>
          <w:cantSplit/>
        </w:trPr>
        <w:tc>
          <w:tcPr>
            <w:tcW w:w="4077" w:type="dxa"/>
            <w:vAlign w:val="center"/>
          </w:tcPr>
          <w:p w14:paraId="6B6C98A1" w14:textId="77777777" w:rsidR="00687890" w:rsidRPr="00263255" w:rsidRDefault="00687890" w:rsidP="003273E5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2839D2" w14:textId="77777777" w:rsidR="00687890" w:rsidRPr="004C23F4" w:rsidRDefault="005358B7" w:rsidP="003273E5">
                <w:pPr>
                  <w:pStyle w:val="Tablefont"/>
                  <w:keepNext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C05A261" w14:textId="77777777" w:rsidTr="003273E5">
        <w:trPr>
          <w:cantSplit/>
        </w:trPr>
        <w:tc>
          <w:tcPr>
            <w:tcW w:w="4077" w:type="dxa"/>
            <w:vAlign w:val="center"/>
          </w:tcPr>
          <w:p w14:paraId="26BC51C4" w14:textId="77777777" w:rsidR="00687890" w:rsidRPr="00263255" w:rsidRDefault="00687890" w:rsidP="003273E5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999569" w14:textId="77777777" w:rsidR="00687890" w:rsidRPr="004C23F4" w:rsidRDefault="00A20751" w:rsidP="003273E5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FF886C2" w14:textId="77777777" w:rsidTr="003273E5">
        <w:trPr>
          <w:cantSplit/>
        </w:trPr>
        <w:tc>
          <w:tcPr>
            <w:tcW w:w="4077" w:type="dxa"/>
            <w:vAlign w:val="center"/>
          </w:tcPr>
          <w:p w14:paraId="1F3336C9" w14:textId="77777777" w:rsidR="00687890" w:rsidRPr="00263255" w:rsidRDefault="00687890" w:rsidP="003273E5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C984CE" w14:textId="77777777" w:rsidR="00687890" w:rsidRPr="004C23F4" w:rsidRDefault="00687890" w:rsidP="003273E5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6B03C61" w14:textId="77777777" w:rsidTr="003273E5">
        <w:trPr>
          <w:cantSplit/>
        </w:trPr>
        <w:tc>
          <w:tcPr>
            <w:tcW w:w="4077" w:type="dxa"/>
            <w:vAlign w:val="center"/>
          </w:tcPr>
          <w:p w14:paraId="2C56BBF6" w14:textId="77777777" w:rsidR="00E06F40" w:rsidRPr="00263255" w:rsidRDefault="00E06F40" w:rsidP="003273E5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6758D08" w14:textId="77777777" w:rsidR="00E06F40" w:rsidRPr="00A006A0" w:rsidRDefault="00866975" w:rsidP="003273E5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209323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23EF8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5D89E8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245A6F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8541B6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EA81FA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D3F46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DAC7EF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6336ADF" w14:textId="7B8A8BA9" w:rsidR="005358B7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</w:t>
      </w:r>
      <w:r w:rsidR="003273E5">
        <w:t>.</w:t>
      </w:r>
    </w:p>
    <w:p w14:paraId="1354B32B" w14:textId="656A7E63" w:rsidR="00AC713E" w:rsidRDefault="00AC713E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</w:t>
      </w:r>
      <w:r w:rsidR="005D7CBB">
        <w:t>19</w:t>
      </w:r>
      <w:r w:rsidR="00DB298C">
        <w:t>)</w:t>
      </w:r>
      <w:r w:rsidR="00DB298C" w:rsidRPr="00DB298C">
        <w:t xml:space="preserve"> </w:t>
      </w:r>
      <w:proofErr w:type="spellStart"/>
      <w:r w:rsidR="00DB298C" w:rsidRPr="00DB298C">
        <w:t>Oxalsäuredinitril</w:t>
      </w:r>
      <w:proofErr w:type="spellEnd"/>
      <w:r w:rsidR="00DB298C">
        <w:t xml:space="preserve"> </w:t>
      </w:r>
      <w:r>
        <w:t>– MAK value documentation.</w:t>
      </w:r>
    </w:p>
    <w:p w14:paraId="16C064AE" w14:textId="2192AF1D" w:rsidR="003273E5" w:rsidRDefault="003273E5" w:rsidP="00084859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6328A7B" w14:textId="77777777" w:rsidR="00D53475" w:rsidRPr="00B05B8F" w:rsidRDefault="00D53475" w:rsidP="00D53475">
      <w:pPr>
        <w:autoSpaceDE w:val="0"/>
        <w:autoSpaceDN w:val="0"/>
        <w:adjustRightInd w:val="0"/>
        <w:spacing w:after="0" w:line="240" w:lineRule="auto"/>
        <w:rPr>
          <w:rFonts w:cs="Arial"/>
          <w:szCs w:val="20"/>
          <w:lang w:val="en-US"/>
        </w:rPr>
      </w:pPr>
      <w:r w:rsidRPr="002022B6">
        <w:t>Health Council of the Netherlands</w:t>
      </w:r>
      <w:r>
        <w:t xml:space="preserve"> (HCOTN) (2003) </w:t>
      </w:r>
      <w:proofErr w:type="spellStart"/>
      <w:r>
        <w:t>Oxalonitrile</w:t>
      </w:r>
      <w:proofErr w:type="spellEnd"/>
      <w:r w:rsidRPr="005F7416">
        <w:t xml:space="preserve">. </w:t>
      </w:r>
      <w:r>
        <w:rPr>
          <w:rFonts w:cs="Arial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2000/15OSH/063.</w:t>
      </w:r>
    </w:p>
    <w:p w14:paraId="5FF6119A" w14:textId="77777777" w:rsidR="00D53475" w:rsidRPr="00351FE0" w:rsidRDefault="00D53475" w:rsidP="00084859"/>
    <w:sectPr w:rsidR="00D5347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98B7" w14:textId="77777777" w:rsidR="00000D35" w:rsidRDefault="00000D35" w:rsidP="00F43AD5">
      <w:pPr>
        <w:spacing w:after="0" w:line="240" w:lineRule="auto"/>
      </w:pPr>
      <w:r>
        <w:separator/>
      </w:r>
    </w:p>
  </w:endnote>
  <w:endnote w:type="continuationSeparator" w:id="0">
    <w:p w14:paraId="02506A72" w14:textId="77777777" w:rsidR="00000D35" w:rsidRDefault="00000D3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3D0FD" w14:textId="77777777" w:rsidR="004B2A65" w:rsidRDefault="004B2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16128AB" w14:textId="2DB356A1" w:rsidR="008A36CF" w:rsidRDefault="00E36AF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Cyanogen </w:t>
        </w:r>
        <w:r w:rsidR="008A36CF">
          <w:rPr>
            <w:b/>
            <w:sz w:val="18"/>
            <w:szCs w:val="18"/>
          </w:rPr>
          <w:t>(</w:t>
        </w:r>
        <w:r w:rsidRPr="00E36AF6">
          <w:rPr>
            <w:b/>
            <w:sz w:val="18"/>
            <w:szCs w:val="18"/>
          </w:rPr>
          <w:t>460-19-5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76200B0" w14:textId="37CC907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12BD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C15E9" w14:textId="77777777" w:rsidR="004B2A65" w:rsidRDefault="004B2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0E427" w14:textId="77777777" w:rsidR="00000D35" w:rsidRDefault="00000D35" w:rsidP="00F43AD5">
      <w:pPr>
        <w:spacing w:after="0" w:line="240" w:lineRule="auto"/>
      </w:pPr>
      <w:r>
        <w:separator/>
      </w:r>
    </w:p>
  </w:footnote>
  <w:footnote w:type="continuationSeparator" w:id="0">
    <w:p w14:paraId="171BD9F7" w14:textId="77777777" w:rsidR="00000D35" w:rsidRDefault="00000D3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9DBE0" w14:textId="3528593A" w:rsidR="004B2A65" w:rsidRDefault="004B2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D08B0" w14:textId="67F3DFE8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F1FC56" wp14:editId="266A56A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B6C76" w14:textId="7AD414A1" w:rsidR="004B2A65" w:rsidRDefault="004B2A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23B5" w14:textId="1C755FD1" w:rsidR="000D3727" w:rsidRDefault="000D372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7ACE2" w14:textId="5DE9A326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6557A" w14:textId="11E1BF52" w:rsidR="000D3727" w:rsidRDefault="000D37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6E63D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2381426">
    <w:abstractNumId w:val="0"/>
  </w:num>
  <w:num w:numId="2" w16cid:durableId="1288003103">
    <w:abstractNumId w:val="0"/>
  </w:num>
  <w:num w:numId="3" w16cid:durableId="794447323">
    <w:abstractNumId w:val="0"/>
  </w:num>
  <w:num w:numId="4" w16cid:durableId="606550064">
    <w:abstractNumId w:val="0"/>
  </w:num>
  <w:num w:numId="5" w16cid:durableId="879585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D35"/>
    <w:rsid w:val="00007B80"/>
    <w:rsid w:val="000130CB"/>
    <w:rsid w:val="00013A22"/>
    <w:rsid w:val="00014C3F"/>
    <w:rsid w:val="00017C82"/>
    <w:rsid w:val="00032B88"/>
    <w:rsid w:val="00046ABB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929"/>
    <w:rsid w:val="00084513"/>
    <w:rsid w:val="00084859"/>
    <w:rsid w:val="00092D94"/>
    <w:rsid w:val="00095497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727"/>
    <w:rsid w:val="000E5A54"/>
    <w:rsid w:val="000E63D3"/>
    <w:rsid w:val="000E67CF"/>
    <w:rsid w:val="0010461E"/>
    <w:rsid w:val="00106FAA"/>
    <w:rsid w:val="00113443"/>
    <w:rsid w:val="0012587A"/>
    <w:rsid w:val="001269A7"/>
    <w:rsid w:val="00131092"/>
    <w:rsid w:val="0013121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7601"/>
    <w:rsid w:val="001A009E"/>
    <w:rsid w:val="001A1287"/>
    <w:rsid w:val="001A3859"/>
    <w:rsid w:val="001A3C9D"/>
    <w:rsid w:val="001A43F8"/>
    <w:rsid w:val="001B79E5"/>
    <w:rsid w:val="001D56F0"/>
    <w:rsid w:val="001D6393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AFA"/>
    <w:rsid w:val="00213640"/>
    <w:rsid w:val="00221547"/>
    <w:rsid w:val="002216FC"/>
    <w:rsid w:val="00222533"/>
    <w:rsid w:val="00222F30"/>
    <w:rsid w:val="00224EE2"/>
    <w:rsid w:val="00224F6B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0593"/>
    <w:rsid w:val="002C34F2"/>
    <w:rsid w:val="002C58FF"/>
    <w:rsid w:val="002C7AFE"/>
    <w:rsid w:val="002D05D2"/>
    <w:rsid w:val="002E0D61"/>
    <w:rsid w:val="002E4C7B"/>
    <w:rsid w:val="0030740C"/>
    <w:rsid w:val="00315833"/>
    <w:rsid w:val="00316BCB"/>
    <w:rsid w:val="0032131F"/>
    <w:rsid w:val="003215EE"/>
    <w:rsid w:val="003224BF"/>
    <w:rsid w:val="003241A8"/>
    <w:rsid w:val="003253F0"/>
    <w:rsid w:val="003273E5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99D"/>
    <w:rsid w:val="00370DBF"/>
    <w:rsid w:val="0038406B"/>
    <w:rsid w:val="00386093"/>
    <w:rsid w:val="003904A4"/>
    <w:rsid w:val="00391841"/>
    <w:rsid w:val="00391B6D"/>
    <w:rsid w:val="00394922"/>
    <w:rsid w:val="003A0E32"/>
    <w:rsid w:val="003A2B94"/>
    <w:rsid w:val="003A72BA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71CE"/>
    <w:rsid w:val="004414B5"/>
    <w:rsid w:val="00444482"/>
    <w:rsid w:val="00444B42"/>
    <w:rsid w:val="00445E44"/>
    <w:rsid w:val="004509E2"/>
    <w:rsid w:val="004515EE"/>
    <w:rsid w:val="004529F0"/>
    <w:rsid w:val="00460A03"/>
    <w:rsid w:val="00471A8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106"/>
    <w:rsid w:val="004A5088"/>
    <w:rsid w:val="004A54AC"/>
    <w:rsid w:val="004B2A65"/>
    <w:rsid w:val="004C1E3F"/>
    <w:rsid w:val="004C23F4"/>
    <w:rsid w:val="004C2526"/>
    <w:rsid w:val="004C3475"/>
    <w:rsid w:val="004C58B6"/>
    <w:rsid w:val="004C6FAD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8B7"/>
    <w:rsid w:val="00540ADA"/>
    <w:rsid w:val="005446A2"/>
    <w:rsid w:val="00544D2F"/>
    <w:rsid w:val="00551BD8"/>
    <w:rsid w:val="00576813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CBB"/>
    <w:rsid w:val="005E6979"/>
    <w:rsid w:val="005E75CB"/>
    <w:rsid w:val="006013C1"/>
    <w:rsid w:val="00602C8B"/>
    <w:rsid w:val="0060669E"/>
    <w:rsid w:val="00610F2E"/>
    <w:rsid w:val="00611399"/>
    <w:rsid w:val="006246BF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128"/>
    <w:rsid w:val="006913A9"/>
    <w:rsid w:val="00695B72"/>
    <w:rsid w:val="006B160A"/>
    <w:rsid w:val="006B4E6C"/>
    <w:rsid w:val="006B50B6"/>
    <w:rsid w:val="006D79EA"/>
    <w:rsid w:val="006E5D05"/>
    <w:rsid w:val="00701053"/>
    <w:rsid w:val="00701507"/>
    <w:rsid w:val="00703873"/>
    <w:rsid w:val="00712BD8"/>
    <w:rsid w:val="00714021"/>
    <w:rsid w:val="00716A0F"/>
    <w:rsid w:val="00717D45"/>
    <w:rsid w:val="007208F7"/>
    <w:rsid w:val="007218AF"/>
    <w:rsid w:val="00721C2C"/>
    <w:rsid w:val="007365D1"/>
    <w:rsid w:val="00736E53"/>
    <w:rsid w:val="00737C78"/>
    <w:rsid w:val="00740E0E"/>
    <w:rsid w:val="00750212"/>
    <w:rsid w:val="00750DB0"/>
    <w:rsid w:val="00751C37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6395"/>
    <w:rsid w:val="007D235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17DB"/>
    <w:rsid w:val="008630EE"/>
    <w:rsid w:val="00864D13"/>
    <w:rsid w:val="00866975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12ED"/>
    <w:rsid w:val="008D17AB"/>
    <w:rsid w:val="008D23AB"/>
    <w:rsid w:val="008D4B8B"/>
    <w:rsid w:val="008D5A78"/>
    <w:rsid w:val="008E44A9"/>
    <w:rsid w:val="008E7B64"/>
    <w:rsid w:val="008F5DCD"/>
    <w:rsid w:val="00900951"/>
    <w:rsid w:val="00905C19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5893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0CA"/>
    <w:rsid w:val="009C199D"/>
    <w:rsid w:val="009C278F"/>
    <w:rsid w:val="009C2B94"/>
    <w:rsid w:val="009C5874"/>
    <w:rsid w:val="009D3038"/>
    <w:rsid w:val="009D3B5A"/>
    <w:rsid w:val="009E0C05"/>
    <w:rsid w:val="009E0D1C"/>
    <w:rsid w:val="009E2214"/>
    <w:rsid w:val="009E355A"/>
    <w:rsid w:val="009E63E2"/>
    <w:rsid w:val="009F05CF"/>
    <w:rsid w:val="009F0F3A"/>
    <w:rsid w:val="00A00861"/>
    <w:rsid w:val="00A01D0C"/>
    <w:rsid w:val="00A02A71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02E9"/>
    <w:rsid w:val="00A53681"/>
    <w:rsid w:val="00A633D4"/>
    <w:rsid w:val="00A6461A"/>
    <w:rsid w:val="00A84504"/>
    <w:rsid w:val="00A8672F"/>
    <w:rsid w:val="00A93057"/>
    <w:rsid w:val="00A968B0"/>
    <w:rsid w:val="00AA4F19"/>
    <w:rsid w:val="00AB2672"/>
    <w:rsid w:val="00AB2817"/>
    <w:rsid w:val="00AB43C4"/>
    <w:rsid w:val="00AC32E7"/>
    <w:rsid w:val="00AC3A9F"/>
    <w:rsid w:val="00AC6D2F"/>
    <w:rsid w:val="00AC713E"/>
    <w:rsid w:val="00AD7A14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4947"/>
    <w:rsid w:val="00B5539D"/>
    <w:rsid w:val="00B575B5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5C2F"/>
    <w:rsid w:val="00BC7EBE"/>
    <w:rsid w:val="00BD499F"/>
    <w:rsid w:val="00BD56DE"/>
    <w:rsid w:val="00BE53E7"/>
    <w:rsid w:val="00BF2406"/>
    <w:rsid w:val="00C16315"/>
    <w:rsid w:val="00C2589D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1FBC"/>
    <w:rsid w:val="00C747AA"/>
    <w:rsid w:val="00C74833"/>
    <w:rsid w:val="00C850A0"/>
    <w:rsid w:val="00C85A86"/>
    <w:rsid w:val="00C978F0"/>
    <w:rsid w:val="00CA58FE"/>
    <w:rsid w:val="00CA7187"/>
    <w:rsid w:val="00CB1CB1"/>
    <w:rsid w:val="00CB5E84"/>
    <w:rsid w:val="00CB6BC1"/>
    <w:rsid w:val="00CB6CB8"/>
    <w:rsid w:val="00CC1A68"/>
    <w:rsid w:val="00CC2123"/>
    <w:rsid w:val="00CC77B3"/>
    <w:rsid w:val="00CD2BFD"/>
    <w:rsid w:val="00CE5AD6"/>
    <w:rsid w:val="00CE617F"/>
    <w:rsid w:val="00CE78EF"/>
    <w:rsid w:val="00D03A6F"/>
    <w:rsid w:val="00D048F7"/>
    <w:rsid w:val="00D0517E"/>
    <w:rsid w:val="00D140FC"/>
    <w:rsid w:val="00D1561D"/>
    <w:rsid w:val="00D21D8C"/>
    <w:rsid w:val="00D31357"/>
    <w:rsid w:val="00D33220"/>
    <w:rsid w:val="00D334D1"/>
    <w:rsid w:val="00D36B7D"/>
    <w:rsid w:val="00D44C89"/>
    <w:rsid w:val="00D516CD"/>
    <w:rsid w:val="00D53475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298C"/>
    <w:rsid w:val="00DC7694"/>
    <w:rsid w:val="00DD1BF6"/>
    <w:rsid w:val="00DD25F0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635"/>
    <w:rsid w:val="00E26A07"/>
    <w:rsid w:val="00E32595"/>
    <w:rsid w:val="00E36AF6"/>
    <w:rsid w:val="00E37CFD"/>
    <w:rsid w:val="00E41A26"/>
    <w:rsid w:val="00E46BCB"/>
    <w:rsid w:val="00E51CAF"/>
    <w:rsid w:val="00E60F04"/>
    <w:rsid w:val="00E62AAC"/>
    <w:rsid w:val="00E63BD1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5FBC"/>
    <w:rsid w:val="00ED1D89"/>
    <w:rsid w:val="00ED645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A2D"/>
    <w:rsid w:val="00F43AD5"/>
    <w:rsid w:val="00F4402E"/>
    <w:rsid w:val="00F56DD0"/>
    <w:rsid w:val="00F6491C"/>
    <w:rsid w:val="00F67BBB"/>
    <w:rsid w:val="00F87D92"/>
    <w:rsid w:val="00F90060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5EB04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2589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6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A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A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AF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64F2ABF296043899642D64FA3B4F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9CABD-DB36-476E-831D-BF68369918D4}"/>
      </w:docPartPr>
      <w:docPartBody>
        <w:p w:rsidR="00132834" w:rsidRDefault="00E4768A" w:rsidP="00E4768A">
          <w:pPr>
            <w:pStyle w:val="A64F2ABF296043899642D64FA3B4F46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DDDE8CD98094A5AAB97C7FF044DB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8C9B1-5241-45FF-970E-46D38C50B242}"/>
      </w:docPartPr>
      <w:docPartBody>
        <w:p w:rsidR="00132834" w:rsidRDefault="00E4768A" w:rsidP="00E4768A">
          <w:pPr>
            <w:pStyle w:val="CDDDE8CD98094A5AAB97C7FF044DB6C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64C34EF0BD410BA8F4A8AC395CC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45C2F-FFA3-4A18-8E9B-A716F4152AD0}"/>
      </w:docPartPr>
      <w:docPartBody>
        <w:p w:rsidR="00132834" w:rsidRDefault="00E4768A" w:rsidP="00E4768A">
          <w:pPr>
            <w:pStyle w:val="5264C34EF0BD410BA8F4A8AC395CCC3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10269FA05EB46D08721590CE0E46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3E7CA-5DBD-42F4-BE4A-C06F006323EC}"/>
      </w:docPartPr>
      <w:docPartBody>
        <w:p w:rsidR="004D2DC8" w:rsidRDefault="00DB3737" w:rsidP="00DB3737">
          <w:pPr>
            <w:pStyle w:val="310269FA05EB46D08721590CE0E460B4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5069F96C19449038C34D6A178B51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B960A-0331-4AF5-B317-A0817AB26FB3}"/>
      </w:docPartPr>
      <w:docPartBody>
        <w:p w:rsidR="00720C47" w:rsidRDefault="00F60848" w:rsidP="00F60848">
          <w:pPr>
            <w:pStyle w:val="15069F96C19449038C34D6A178B5108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2834"/>
    <w:rsid w:val="004D2DC8"/>
    <w:rsid w:val="006E3781"/>
    <w:rsid w:val="00720C47"/>
    <w:rsid w:val="00C71FBC"/>
    <w:rsid w:val="00D21A9F"/>
    <w:rsid w:val="00DB3737"/>
    <w:rsid w:val="00E4768A"/>
    <w:rsid w:val="00F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084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64F2ABF296043899642D64FA3B4F46F">
    <w:name w:val="A64F2ABF296043899642D64FA3B4F46F"/>
    <w:rsid w:val="00E4768A"/>
    <w:rPr>
      <w:lang w:val="en-US" w:eastAsia="en-US"/>
    </w:rPr>
  </w:style>
  <w:style w:type="paragraph" w:customStyle="1" w:styleId="CDDDE8CD98094A5AAB97C7FF044DB6C2">
    <w:name w:val="CDDDE8CD98094A5AAB97C7FF044DB6C2"/>
    <w:rsid w:val="00E4768A"/>
    <w:rPr>
      <w:lang w:val="en-US" w:eastAsia="en-US"/>
    </w:rPr>
  </w:style>
  <w:style w:type="paragraph" w:customStyle="1" w:styleId="5264C34EF0BD410BA8F4A8AC395CCC34">
    <w:name w:val="5264C34EF0BD410BA8F4A8AC395CCC34"/>
    <w:rsid w:val="00E4768A"/>
    <w:rPr>
      <w:lang w:val="en-US" w:eastAsia="en-US"/>
    </w:rPr>
  </w:style>
  <w:style w:type="paragraph" w:customStyle="1" w:styleId="310269FA05EB46D08721590CE0E460B4">
    <w:name w:val="310269FA05EB46D08721590CE0E460B4"/>
    <w:rsid w:val="00DB3737"/>
    <w:rPr>
      <w:lang w:val="en-US" w:eastAsia="en-US"/>
    </w:rPr>
  </w:style>
  <w:style w:type="paragraph" w:customStyle="1" w:styleId="15069F96C19449038C34D6A178B51088">
    <w:name w:val="15069F96C19449038C34D6A178B51088"/>
    <w:rsid w:val="00F608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55AEA2-2782-4C9C-89BB-A6154C01A274}"/>
</file>

<file path=customXml/itemProps2.xml><?xml version="1.0" encoding="utf-8"?>
<ds:datastoreItem xmlns:ds="http://schemas.openxmlformats.org/officeDocument/2006/customXml" ds:itemID="{ABF89BA8-D7C8-4CEF-AE63-3AAEAC8836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BD6AE6-6349-4988-8887-0E090A9FBB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A1EE5-7C12-4DE7-92AA-851FCB9CA8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2019-10-10T02:50:00Z</dcterms:created>
  <dcterms:modified xsi:type="dcterms:W3CDTF">2025-12-22T03:45:00Z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2025-12-22T03:45:41Z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7a703c41-cde0-4fd7-92ea-a60901265869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