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Content>
        <w:p w14:paraId="3C5826F1" w14:textId="766F5AE2" w:rsidR="00BD499F" w:rsidRPr="004C23F4" w:rsidRDefault="007D5111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Cyanides (as CN, Inorganic salts)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8"/>
        <w:gridCol w:w="5038"/>
      </w:tblGrid>
      <w:tr w:rsidR="00F43AD5" w:rsidRPr="004C23F4" w14:paraId="17F9A49A" w14:textId="77777777" w:rsidTr="00B76A41">
        <w:trPr>
          <w:cantSplit/>
          <w:tblHeader/>
        </w:trPr>
        <w:tc>
          <w:tcPr>
            <w:tcW w:w="4077" w:type="dxa"/>
          </w:tcPr>
          <w:p w14:paraId="1CDAB210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0CEDC05F" w14:textId="77777777" w:rsidR="00F43AD5" w:rsidRPr="00717D45" w:rsidRDefault="00DD00FE" w:rsidP="00B76A41">
            <w:pPr>
              <w:pStyle w:val="Tablefont"/>
            </w:pPr>
            <w:r w:rsidRPr="00DD00FE">
              <w:t>151-50-8</w:t>
            </w:r>
          </w:p>
        </w:tc>
      </w:tr>
      <w:tr w:rsidR="00F43AD5" w:rsidRPr="004C23F4" w14:paraId="53C2B4B8" w14:textId="77777777" w:rsidTr="00B76A41">
        <w:trPr>
          <w:cantSplit/>
        </w:trPr>
        <w:tc>
          <w:tcPr>
            <w:tcW w:w="4077" w:type="dxa"/>
          </w:tcPr>
          <w:p w14:paraId="5F2C623D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44C1A423" w14:textId="1CDD2AAE" w:rsidR="00F43AD5" w:rsidRPr="00717D45" w:rsidRDefault="00BF4B28" w:rsidP="0017447F">
            <w:pPr>
              <w:pStyle w:val="Tablefont"/>
            </w:pPr>
            <w:r>
              <w:t>Cyanide salts, potassium cyanide, sodium cyanide, calcium cyanide, a</w:t>
            </w:r>
            <w:r w:rsidR="0017447F">
              <w:t>mmonium cyanide; silver cyanide,</w:t>
            </w:r>
            <w:r>
              <w:t xml:space="preserve"> barium cyanide</w:t>
            </w:r>
            <w:r w:rsidR="0017447F">
              <w:t>,</w:t>
            </w:r>
            <w:r>
              <w:t xml:space="preserve"> g</w:t>
            </w:r>
            <w:r w:rsidRPr="00BF4B28">
              <w:t>old cyanide</w:t>
            </w:r>
            <w:r>
              <w:t xml:space="preserve"> </w:t>
            </w:r>
          </w:p>
        </w:tc>
      </w:tr>
      <w:tr w:rsidR="00F43AD5" w:rsidRPr="004C23F4" w14:paraId="5851B0A0" w14:textId="77777777" w:rsidTr="00B76A41">
        <w:trPr>
          <w:cantSplit/>
        </w:trPr>
        <w:tc>
          <w:tcPr>
            <w:tcW w:w="4077" w:type="dxa"/>
          </w:tcPr>
          <w:p w14:paraId="6F9BE72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4AFFF473" w14:textId="3A83ABDC" w:rsidR="00F43AD5" w:rsidRPr="00717D45" w:rsidRDefault="00BC7F1E" w:rsidP="00B76A41">
            <w:pPr>
              <w:pStyle w:val="Tablefont"/>
            </w:pPr>
            <w:r>
              <w:t>CN</w:t>
            </w:r>
            <w:r w:rsidRPr="00BF4B28">
              <w:rPr>
                <w:vertAlign w:val="superscript"/>
              </w:rPr>
              <w:t>-</w:t>
            </w:r>
          </w:p>
        </w:tc>
      </w:tr>
      <w:tr w:rsidR="00F43AD5" w:rsidRPr="004C23F4" w14:paraId="423DB35B" w14:textId="77777777" w:rsidTr="00B76A41">
        <w:trPr>
          <w:cantSplit/>
        </w:trPr>
        <w:tc>
          <w:tcPr>
            <w:tcW w:w="4077" w:type="dxa"/>
          </w:tcPr>
          <w:p w14:paraId="50F1C397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65E94D0C" w14:textId="77777777" w:rsidR="00F43AD5" w:rsidRPr="00B40C60" w:rsidRDefault="00DD00FE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54167669" w14:textId="028DE932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Content>
          <w:r w:rsidR="00936CC6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E931AAB" w14:textId="77777777" w:rsidTr="00DD00FE">
        <w:trPr>
          <w:cantSplit/>
          <w:tblHeader/>
        </w:trPr>
        <w:tc>
          <w:tcPr>
            <w:tcW w:w="4010" w:type="dxa"/>
            <w:vAlign w:val="center"/>
          </w:tcPr>
          <w:p w14:paraId="7CC97780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57FA7624" w14:textId="6820F49F" w:rsidR="002C7AFE" w:rsidRPr="005030A0" w:rsidRDefault="005030A0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1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DD00FE" w:rsidRPr="004C23F4" w14:paraId="7463FE1B" w14:textId="77777777" w:rsidTr="00DD00FE">
        <w:trPr>
          <w:cantSplit/>
        </w:trPr>
        <w:tc>
          <w:tcPr>
            <w:tcW w:w="4010" w:type="dxa"/>
            <w:vAlign w:val="center"/>
          </w:tcPr>
          <w:p w14:paraId="2C72F8ED" w14:textId="77777777" w:rsidR="00DD00FE" w:rsidRPr="002C58FF" w:rsidRDefault="00DD00FE" w:rsidP="00DD00FE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51C457AA" w14:textId="77777777" w:rsidR="00DD00FE" w:rsidRDefault="00DD00FE" w:rsidP="00BF4B28">
            <w:pPr>
              <w:pStyle w:val="Tablefont"/>
            </w:pPr>
            <w:r w:rsidRPr="00BF4B28">
              <w:t>—</w:t>
            </w:r>
          </w:p>
        </w:tc>
      </w:tr>
      <w:tr w:rsidR="00DD00FE" w:rsidRPr="004C23F4" w14:paraId="2D5B266F" w14:textId="77777777" w:rsidTr="005030A0">
        <w:trPr>
          <w:cantSplit/>
        </w:trPr>
        <w:tc>
          <w:tcPr>
            <w:tcW w:w="4010" w:type="dxa"/>
            <w:vAlign w:val="center"/>
          </w:tcPr>
          <w:p w14:paraId="3B183A7C" w14:textId="77777777" w:rsidR="00DD00FE" w:rsidRPr="002C58FF" w:rsidRDefault="00DD00FE" w:rsidP="00DD00FE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  <w:vAlign w:val="bottom"/>
          </w:tcPr>
          <w:p w14:paraId="2B887772" w14:textId="73330A6C" w:rsidR="00DD00FE" w:rsidRPr="005030A0" w:rsidRDefault="005030A0" w:rsidP="005030A0">
            <w:pPr>
              <w:rPr>
                <w:vertAlign w:val="superscript"/>
              </w:rPr>
            </w:pPr>
            <w:r>
              <w:rPr>
                <w:b/>
              </w:rPr>
              <w:t>5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DD00FE" w:rsidRPr="004C23F4" w14:paraId="2956DC88" w14:textId="77777777" w:rsidTr="005030A0">
        <w:trPr>
          <w:cantSplit/>
        </w:trPr>
        <w:tc>
          <w:tcPr>
            <w:tcW w:w="4010" w:type="dxa"/>
          </w:tcPr>
          <w:p w14:paraId="1CDE37E2" w14:textId="77777777" w:rsidR="00DD00FE" w:rsidRPr="002C58FF" w:rsidRDefault="00DD00FE" w:rsidP="00DD00FE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  <w:vAlign w:val="center"/>
          </w:tcPr>
          <w:p w14:paraId="14129E7D" w14:textId="1F69511D" w:rsidR="00DD00FE" w:rsidRDefault="005030A0" w:rsidP="005030A0">
            <w:r>
              <w:rPr>
                <w:b/>
              </w:rPr>
              <w:t>Sk.</w:t>
            </w:r>
          </w:p>
        </w:tc>
      </w:tr>
      <w:tr w:rsidR="00DD00FE" w:rsidRPr="004C23F4" w14:paraId="66B1B0B7" w14:textId="77777777" w:rsidTr="00DD00FE">
        <w:trPr>
          <w:cantSplit/>
        </w:trPr>
        <w:tc>
          <w:tcPr>
            <w:tcW w:w="4010" w:type="dxa"/>
            <w:vAlign w:val="center"/>
          </w:tcPr>
          <w:p w14:paraId="04570CF3" w14:textId="77777777" w:rsidR="00DD00FE" w:rsidRPr="002C58FF" w:rsidRDefault="00DD00FE" w:rsidP="00DD00FE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1A987AF4" w14:textId="30C44F5C" w:rsidR="00DD00FE" w:rsidRPr="00BF4B28" w:rsidRDefault="00BF4B28" w:rsidP="00BF4B28">
            <w:pPr>
              <w:pStyle w:val="Tablefont"/>
              <w:rPr>
                <w:b/>
              </w:rPr>
            </w:pPr>
            <w:r w:rsidRPr="00BF4B28">
              <w:rPr>
                <w:b/>
              </w:rPr>
              <w:t>25 mg/m</w:t>
            </w:r>
            <w:r w:rsidRPr="00BF4B28">
              <w:rPr>
                <w:b/>
                <w:vertAlign w:val="superscript"/>
              </w:rPr>
              <w:t>3</w:t>
            </w:r>
          </w:p>
        </w:tc>
      </w:tr>
      <w:tr w:rsidR="00DD00FE" w:rsidRPr="004C23F4" w14:paraId="4A79D22B" w14:textId="77777777" w:rsidTr="00FE1570">
        <w:trPr>
          <w:cantSplit/>
        </w:trPr>
        <w:tc>
          <w:tcPr>
            <w:tcW w:w="4010" w:type="dxa"/>
          </w:tcPr>
          <w:p w14:paraId="49D540A9" w14:textId="77777777" w:rsidR="00DD00FE" w:rsidRDefault="00DD00FE" w:rsidP="00FE1570">
            <w:pPr>
              <w:pStyle w:val="Tablerowright"/>
            </w:pPr>
            <w:r>
              <w:t>Sampling and analysis:</w:t>
            </w:r>
          </w:p>
        </w:tc>
        <w:tc>
          <w:tcPr>
            <w:tcW w:w="5016" w:type="dxa"/>
          </w:tcPr>
          <w:p w14:paraId="151E679E" w14:textId="53722BBE" w:rsidR="00DD00FE" w:rsidRDefault="00C22010" w:rsidP="00DD00FE">
            <w:r w:rsidRPr="00C22010">
              <w:t>The recommended value is quantifiable through available sampling and analysis techniques</w:t>
            </w:r>
            <w:r>
              <w:t>.</w:t>
            </w:r>
          </w:p>
        </w:tc>
      </w:tr>
    </w:tbl>
    <w:p w14:paraId="3E80972F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7472DE9A" w14:textId="75F45199" w:rsidR="005030A0" w:rsidRDefault="00505E31" w:rsidP="005030A0">
      <w:r>
        <w:rPr>
          <w:rFonts w:cs="Arial"/>
        </w:rPr>
        <w:t>A</w:t>
      </w:r>
      <w:r w:rsidR="005030A0">
        <w:rPr>
          <w:rFonts w:cs="Arial"/>
        </w:rPr>
        <w:t xml:space="preserve"> TWA of 1 mg/m</w:t>
      </w:r>
      <w:r w:rsidR="005030A0" w:rsidRPr="00C77A2F">
        <w:rPr>
          <w:rFonts w:cs="Arial"/>
          <w:vertAlign w:val="superscript"/>
        </w:rPr>
        <w:t>3</w:t>
      </w:r>
      <w:r w:rsidR="005030A0">
        <w:rPr>
          <w:rFonts w:cs="Arial"/>
        </w:rPr>
        <w:t xml:space="preserve"> is recommended to protect for </w:t>
      </w:r>
      <w:r w:rsidR="005030A0">
        <w:t xml:space="preserve">chronic </w:t>
      </w:r>
      <w:r w:rsidR="005030A0">
        <w:rPr>
          <w:noProof/>
        </w:rPr>
        <w:t>neurological symptoms</w:t>
      </w:r>
      <w:r w:rsidR="005030A0">
        <w:t xml:space="preserve"> and thyroid enlargement </w:t>
      </w:r>
      <w:r w:rsidR="006B208B">
        <w:t>in exposed workers</w:t>
      </w:r>
      <w:r w:rsidR="005030A0">
        <w:t>.</w:t>
      </w:r>
    </w:p>
    <w:p w14:paraId="75D2A8B0" w14:textId="68F28869" w:rsidR="005030A0" w:rsidRDefault="00505E31" w:rsidP="005030A0">
      <w:r>
        <w:t>A</w:t>
      </w:r>
      <w:r w:rsidR="005030A0">
        <w:t xml:space="preserve"> peak limitation of 5 mg/m</w:t>
      </w:r>
      <w:r w:rsidR="005030A0" w:rsidRPr="00C77A2F">
        <w:rPr>
          <w:vertAlign w:val="superscript"/>
        </w:rPr>
        <w:t>3</w:t>
      </w:r>
      <w:r w:rsidR="005030A0">
        <w:t xml:space="preserve"> is recommended to protect </w:t>
      </w:r>
      <w:r w:rsidR="006B208B">
        <w:t>for acute exposure resulting in</w:t>
      </w:r>
      <w:r w:rsidR="005030A0">
        <w:t xml:space="preserve"> immediate and severe health effects (death, coma, respiratory failure)</w:t>
      </w:r>
      <w:r w:rsidR="006B208B">
        <w:t xml:space="preserve"> in exposed workers</w:t>
      </w:r>
      <w:r w:rsidR="005030A0">
        <w:t>.</w:t>
      </w:r>
    </w:p>
    <w:p w14:paraId="107F8803" w14:textId="77777777" w:rsidR="00C7155E" w:rsidRPr="004C23F4" w:rsidRDefault="00F10C97" w:rsidP="003365A5">
      <w:pPr>
        <w:pStyle w:val="Heading2"/>
      </w:pPr>
      <w:r>
        <w:t>Discussion and conclusions</w:t>
      </w:r>
    </w:p>
    <w:p w14:paraId="566D063E" w14:textId="06354219" w:rsidR="002F0698" w:rsidRDefault="0099247F" w:rsidP="00936CC6">
      <w:r>
        <w:rPr>
          <w:rFonts w:cs="Arial"/>
        </w:rPr>
        <w:t>This re</w:t>
      </w:r>
      <w:r w:rsidR="002F0698">
        <w:rPr>
          <w:rFonts w:cs="Arial"/>
        </w:rPr>
        <w:t xml:space="preserve">port presents the evaluation of inorganic cyanide salts including </w:t>
      </w:r>
      <w:r w:rsidR="002F0698">
        <w:t>calcium cyanide, sodium cyanide and potassium cyanide.</w:t>
      </w:r>
      <w:r w:rsidR="00DB519B">
        <w:t xml:space="preserve"> </w:t>
      </w:r>
      <w:r w:rsidR="002F0698">
        <w:t>Due to its presen</w:t>
      </w:r>
      <w:r w:rsidR="00DB519B">
        <w:t>ce</w:t>
      </w:r>
      <w:r w:rsidR="002F0698">
        <w:t xml:space="preserve"> in gaseous form, </w:t>
      </w:r>
      <w:r w:rsidR="002F0698" w:rsidRPr="002F0698">
        <w:t>hydrogen cyanide (HCN)</w:t>
      </w:r>
      <w:r w:rsidR="002F0698">
        <w:t xml:space="preserve"> has been evaluated separately</w:t>
      </w:r>
      <w:r w:rsidR="002F0698" w:rsidRPr="002F0698">
        <w:t>.</w:t>
      </w:r>
      <w:r w:rsidR="002F0698">
        <w:t xml:space="preserve"> </w:t>
      </w:r>
      <w:r w:rsidR="00FE2D0F">
        <w:t>T</w:t>
      </w:r>
      <w:r w:rsidR="002F0698">
        <w:t xml:space="preserve">he alkali cyanide salts act </w:t>
      </w:r>
      <w:r w:rsidR="002F0698" w:rsidRPr="008D6E05">
        <w:rPr>
          <w:i/>
        </w:rPr>
        <w:t>via</w:t>
      </w:r>
      <w:r w:rsidR="002F0698">
        <w:t xml:space="preserve"> the same mechanism as HCN which is </w:t>
      </w:r>
      <w:r w:rsidR="00FE2D0F">
        <w:t xml:space="preserve">by </w:t>
      </w:r>
      <w:r w:rsidR="002F0698">
        <w:t>the release of cyanide ion</w:t>
      </w:r>
      <w:r w:rsidR="00936CC6">
        <w:t xml:space="preserve"> (ACGIH, 2018).</w:t>
      </w:r>
    </w:p>
    <w:p w14:paraId="685231F0" w14:textId="151265C9" w:rsidR="00936CC6" w:rsidRDefault="00936CC6" w:rsidP="00936CC6">
      <w:r w:rsidRPr="00936CC6">
        <w:t xml:space="preserve">In humans, </w:t>
      </w:r>
      <w:r w:rsidR="0017447F">
        <w:t>long-term exposure to cyanide at</w:t>
      </w:r>
      <w:r w:rsidRPr="00936CC6">
        <w:t xml:space="preserve"> concentrations of 4.7 to 13.9 mg/m</w:t>
      </w:r>
      <w:r w:rsidRPr="00936CC6">
        <w:rPr>
          <w:vertAlign w:val="superscript"/>
        </w:rPr>
        <w:t>3</w:t>
      </w:r>
      <w:r w:rsidRPr="00936CC6">
        <w:t xml:space="preserve"> </w:t>
      </w:r>
      <w:r w:rsidR="00FD282B">
        <w:t>causes</w:t>
      </w:r>
      <w:r w:rsidRPr="00936CC6">
        <w:t xml:space="preserve"> headaches, weakness, dizziness, throat irritation, dyspnoea, thyroid enlargement and an increase in thiocyanate excretion in the urine</w:t>
      </w:r>
      <w:r>
        <w:t xml:space="preserve">. Concentrations </w:t>
      </w:r>
      <w:r w:rsidRPr="00936CC6">
        <w:t>of 20 to 40 mg/m</w:t>
      </w:r>
      <w:r w:rsidRPr="00936CC6">
        <w:rPr>
          <w:vertAlign w:val="superscript"/>
        </w:rPr>
        <w:t>3</w:t>
      </w:r>
      <w:r w:rsidRPr="00936CC6">
        <w:t xml:space="preserve"> </w:t>
      </w:r>
      <w:r>
        <w:t xml:space="preserve">are reported to be </w:t>
      </w:r>
      <w:r w:rsidRPr="00936CC6">
        <w:t>assoc</w:t>
      </w:r>
      <w:r>
        <w:t xml:space="preserve">iated with slight acute effects in workers; while a </w:t>
      </w:r>
      <w:r w:rsidRPr="00936CC6">
        <w:t xml:space="preserve">concentration of greater </w:t>
      </w:r>
      <w:r w:rsidR="008B7582">
        <w:t xml:space="preserve">than </w:t>
      </w:r>
      <w:r w:rsidRPr="00936CC6">
        <w:t>135 mg/m</w:t>
      </w:r>
      <w:r w:rsidRPr="00936CC6">
        <w:rPr>
          <w:vertAlign w:val="superscript"/>
        </w:rPr>
        <w:t>3</w:t>
      </w:r>
      <w:r w:rsidRPr="0017447F">
        <w:t xml:space="preserve"> </w:t>
      </w:r>
      <w:r w:rsidR="008B7582">
        <w:t xml:space="preserve">is </w:t>
      </w:r>
      <w:r w:rsidR="00F6480A">
        <w:t>fatal, indicating a steep dose-response (ACGIH, 2018; DFG, 20</w:t>
      </w:r>
      <w:r w:rsidR="00FC7DC1">
        <w:t>12</w:t>
      </w:r>
      <w:r w:rsidR="00F6480A">
        <w:t>; SCOEL, 2010; HCOTN, 2002).</w:t>
      </w:r>
    </w:p>
    <w:p w14:paraId="07918B92" w14:textId="2F3B2339" w:rsidR="006639B4" w:rsidRPr="004C23F4" w:rsidRDefault="00F6480A" w:rsidP="006639B4">
      <w:pPr>
        <w:rPr>
          <w:rFonts w:cs="Arial"/>
        </w:rPr>
      </w:pPr>
      <w:r>
        <w:t>Using the LOAEL in humans of 4.7 mg/m</w:t>
      </w:r>
      <w:r>
        <w:rPr>
          <w:vertAlign w:val="superscript"/>
        </w:rPr>
        <w:t>3</w:t>
      </w:r>
      <w:r>
        <w:t xml:space="preserve"> as a starting point and applying a factor of </w:t>
      </w:r>
      <w:r w:rsidR="00FD282B">
        <w:t>five</w:t>
      </w:r>
      <w:r w:rsidR="008D6E05">
        <w:t xml:space="preserve"> for the lack of a NOAEL,</w:t>
      </w:r>
      <w:r>
        <w:t xml:space="preserve"> </w:t>
      </w:r>
      <w:r w:rsidR="0045790A">
        <w:t>HCOTN</w:t>
      </w:r>
      <w:r w:rsidR="00F21DC4">
        <w:t xml:space="preserve"> (2012</w:t>
      </w:r>
      <w:r w:rsidR="00D104DC">
        <w:t>)</w:t>
      </w:r>
      <w:r w:rsidR="00F21DC4">
        <w:t xml:space="preserve"> and SCOEL (2010) </w:t>
      </w:r>
      <w:r>
        <w:t>derive a TWA of 1 mg/m</w:t>
      </w:r>
      <w:r>
        <w:rPr>
          <w:vertAlign w:val="superscript"/>
        </w:rPr>
        <w:t>3</w:t>
      </w:r>
      <w:r>
        <w:t>.</w:t>
      </w:r>
      <w:r w:rsidR="00DB519B">
        <w:t xml:space="preserve"> </w:t>
      </w:r>
      <w:r>
        <w:t xml:space="preserve">Additionally, starting at the </w:t>
      </w:r>
      <w:r w:rsidR="0017447F">
        <w:t>LOAEL</w:t>
      </w:r>
      <w:r>
        <w:t xml:space="preserve"> of 20 mg/m</w:t>
      </w:r>
      <w:r>
        <w:rPr>
          <w:vertAlign w:val="superscript"/>
        </w:rPr>
        <w:t>3</w:t>
      </w:r>
      <w:r>
        <w:t xml:space="preserve"> for acute effects and applying a factor of </w:t>
      </w:r>
      <w:r w:rsidR="005F069B">
        <w:t>two</w:t>
      </w:r>
      <w:r>
        <w:t xml:space="preserve"> </w:t>
      </w:r>
      <w:r w:rsidR="008D6E05">
        <w:t xml:space="preserve">for slight effects at the LOAEL, </w:t>
      </w:r>
      <w:r w:rsidR="0045790A">
        <w:t>HCOTN</w:t>
      </w:r>
      <w:r w:rsidR="00D104DC">
        <w:t xml:space="preserve"> (2012) </w:t>
      </w:r>
      <w:r>
        <w:t>derives a peak limitation of 5</w:t>
      </w:r>
      <w:r w:rsidR="008D6E05">
        <w:t> </w:t>
      </w:r>
      <w:r>
        <w:t>mg/m</w:t>
      </w:r>
      <w:r>
        <w:rPr>
          <w:vertAlign w:val="superscript"/>
        </w:rPr>
        <w:t>3</w:t>
      </w:r>
      <w:r>
        <w:t>.</w:t>
      </w:r>
      <w:r w:rsidR="00DB519B">
        <w:t xml:space="preserve"> </w:t>
      </w:r>
      <w:r>
        <w:t xml:space="preserve">These concentrations are considered protective for the identified critical effects in exposed workers. </w:t>
      </w:r>
    </w:p>
    <w:p w14:paraId="75A42785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358CFE19" w14:textId="30A1A0CE" w:rsidR="00BF43C5" w:rsidRPr="00F6480A" w:rsidRDefault="00BF43C5" w:rsidP="00BF43C5">
      <w:pPr>
        <w:rPr>
          <w:rFonts w:cs="Arial"/>
        </w:rPr>
      </w:pPr>
      <w:r w:rsidRPr="00F6480A">
        <w:rPr>
          <w:rFonts w:cs="Arial"/>
        </w:rPr>
        <w:t>Not classified as a carcinogen according to the Globally Harmonized System of Classification and Labelling o</w:t>
      </w:r>
      <w:r w:rsidR="006B208B">
        <w:rPr>
          <w:rFonts w:cs="Arial"/>
        </w:rPr>
        <w:t>f</w:t>
      </w:r>
      <w:r w:rsidRPr="00F6480A">
        <w:rPr>
          <w:rFonts w:cs="Arial"/>
        </w:rPr>
        <w:t xml:space="preserve"> Chemicals (GHS). </w:t>
      </w:r>
    </w:p>
    <w:p w14:paraId="7CFCC465" w14:textId="41824171" w:rsidR="00BF43C5" w:rsidRPr="00F6480A" w:rsidRDefault="00BF43C5" w:rsidP="00BF43C5">
      <w:pPr>
        <w:rPr>
          <w:rFonts w:cs="Arial"/>
        </w:rPr>
      </w:pPr>
      <w:r w:rsidRPr="00F6480A">
        <w:rPr>
          <w:rFonts w:cs="Arial"/>
        </w:rPr>
        <w:t xml:space="preserve">Not classified as a skin </w:t>
      </w:r>
      <w:r w:rsidR="006B208B">
        <w:rPr>
          <w:rFonts w:cs="Arial"/>
        </w:rPr>
        <w:t xml:space="preserve">sensitiser </w:t>
      </w:r>
      <w:r w:rsidRPr="00F6480A">
        <w:rPr>
          <w:rFonts w:cs="Arial"/>
        </w:rPr>
        <w:t>or respiratory sensitiser according to the GHS.</w:t>
      </w:r>
    </w:p>
    <w:p w14:paraId="08074331" w14:textId="7F1F0024" w:rsidR="004529F0" w:rsidRPr="004C23F4" w:rsidRDefault="00F6480A" w:rsidP="00BF43C5">
      <w:pPr>
        <w:rPr>
          <w:rFonts w:cs="Arial"/>
        </w:rPr>
      </w:pPr>
      <w:r>
        <w:rPr>
          <w:rFonts w:cs="Arial"/>
        </w:rPr>
        <w:t>A skin notation is recommended based on evidence in animals.</w:t>
      </w:r>
    </w:p>
    <w:p w14:paraId="19A962E1" w14:textId="77777777" w:rsidR="0025734A" w:rsidRPr="004C23F4" w:rsidRDefault="0025734A">
      <w:pPr>
        <w:rPr>
          <w:rFonts w:cs="Arial"/>
        </w:rPr>
      </w:pPr>
    </w:p>
    <w:p w14:paraId="12430E6F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318D70BF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2B209D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4922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8866"/>
      </w:tblGrid>
      <w:tr w:rsidR="00C978F0" w:rsidRPr="00DA352E" w14:paraId="19CC2BFD" w14:textId="77777777" w:rsidTr="006668DC">
        <w:trPr>
          <w:cantSplit/>
          <w:trHeight w:val="393"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038ED69E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15268D9E" w14:textId="77777777" w:rsidTr="006668DC">
        <w:trPr>
          <w:cantSplit/>
        </w:trPr>
        <w:tc>
          <w:tcPr>
            <w:tcW w:w="5000" w:type="pct"/>
            <w:shd w:val="clear" w:color="auto" w:fill="F2F2F2" w:themeFill="background1" w:themeFillShade="F2"/>
          </w:tcPr>
          <w:p w14:paraId="48C0526A" w14:textId="77777777" w:rsidR="00DE26E8" w:rsidRPr="003365A5" w:rsidRDefault="00DE26E8" w:rsidP="00943B01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ind w:left="1418" w:hanging="1418"/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Content>
                <w:r w:rsidR="00943B01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Content>
                <w:r w:rsidR="00943B01">
                  <w:t>TWA: 5 mg/m</w:t>
                </w:r>
                <w:r w:rsidR="00943B01" w:rsidRPr="00943B01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2458DD26" w14:textId="77777777" w:rsidTr="006668DC">
        <w:trPr>
          <w:cantSplit/>
        </w:trPr>
        <w:tc>
          <w:tcPr>
            <w:tcW w:w="5000" w:type="pct"/>
          </w:tcPr>
          <w:p w14:paraId="0313A977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37677E28" w14:textId="77777777" w:rsidTr="006668DC">
        <w:trPr>
          <w:cantSplit/>
        </w:trPr>
        <w:tc>
          <w:tcPr>
            <w:tcW w:w="5000" w:type="pct"/>
            <w:shd w:val="clear" w:color="auto" w:fill="F2F2F2" w:themeFill="background1" w:themeFillShade="F2"/>
          </w:tcPr>
          <w:p w14:paraId="0028C703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Content>
                <w:r w:rsidR="00B758F2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Content>
                <w:r w:rsidR="00C62CCD">
                  <w:t>TLV-Ceiling</w:t>
                </w:r>
                <w:r w:rsidR="000F33B2">
                  <w:t>: 5 mg/m</w:t>
                </w:r>
                <w:r w:rsidR="000F33B2" w:rsidRPr="000F33B2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56107F42" w14:textId="77777777" w:rsidTr="006668DC">
        <w:trPr>
          <w:cantSplit/>
        </w:trPr>
        <w:tc>
          <w:tcPr>
            <w:tcW w:w="5000" w:type="pct"/>
          </w:tcPr>
          <w:p w14:paraId="185F83A0" w14:textId="79415CA4" w:rsidR="00C978F0" w:rsidRDefault="00C62CCD" w:rsidP="003365A5">
            <w:pPr>
              <w:pStyle w:val="Tabletextprimarysource"/>
            </w:pPr>
            <w:r>
              <w:t xml:space="preserve">TLV-Ceiling recommended for </w:t>
            </w:r>
            <w:r w:rsidR="00AF0E31">
              <w:t>Ca(CN)</w:t>
            </w:r>
            <w:r w:rsidRPr="00AF0E31">
              <w:rPr>
                <w:vertAlign w:val="subscript"/>
              </w:rPr>
              <w:t>2</w:t>
            </w:r>
            <w:r>
              <w:t>, NaCN</w:t>
            </w:r>
            <w:r w:rsidR="006668DC">
              <w:t xml:space="preserve"> and KCN </w:t>
            </w:r>
            <w:r w:rsidR="00AF0E31">
              <w:t>to minimise the potential for headache</w:t>
            </w:r>
            <w:r w:rsidR="008D6E05">
              <w:t>,</w:t>
            </w:r>
            <w:r w:rsidR="00AF0E31">
              <w:t xml:space="preserve"> nausea</w:t>
            </w:r>
            <w:r w:rsidR="008D6E05">
              <w:t>,</w:t>
            </w:r>
            <w:r w:rsidR="00AF0E31">
              <w:t xml:space="preserve"> nasal, throat and pulmonary irritation</w:t>
            </w:r>
            <w:r w:rsidR="008D6E05">
              <w:t>,</w:t>
            </w:r>
            <w:r w:rsidR="00AF0E31">
              <w:t xml:space="preserve"> and enlargement of the thyroid gland, which can result from prolonged, low concentration exposure.</w:t>
            </w:r>
          </w:p>
          <w:p w14:paraId="234950BE" w14:textId="41431A1D" w:rsidR="006668DC" w:rsidRDefault="006668DC" w:rsidP="003365A5">
            <w:pPr>
              <w:pStyle w:val="Tabletextprimarysource"/>
            </w:pPr>
            <w:r>
              <w:t>HCN</w:t>
            </w:r>
            <w:r w:rsidR="00FD282B">
              <w:t xml:space="preserve"> is evaluated separately</w:t>
            </w:r>
            <w:r>
              <w:t>.</w:t>
            </w:r>
          </w:p>
          <w:p w14:paraId="4EAB44AA" w14:textId="77777777" w:rsidR="00AF0E31" w:rsidRDefault="00AF0E31" w:rsidP="003365A5">
            <w:pPr>
              <w:pStyle w:val="Tabletextprimarysource"/>
            </w:pPr>
            <w:r>
              <w:t>Summary of data:</w:t>
            </w:r>
          </w:p>
          <w:p w14:paraId="6BC79033" w14:textId="3D4B58F9" w:rsidR="00A001B9" w:rsidRDefault="006668DC" w:rsidP="00AF0E31">
            <w:pPr>
              <w:pStyle w:val="Tabletextprimarysource"/>
            </w:pPr>
            <w:r>
              <w:t>These alkali</w:t>
            </w:r>
            <w:r w:rsidR="00A001B9">
              <w:t xml:space="preserve"> cyanide salts act </w:t>
            </w:r>
            <w:r w:rsidR="00642C77" w:rsidRPr="008D6E05">
              <w:rPr>
                <w:i/>
              </w:rPr>
              <w:t>via</w:t>
            </w:r>
            <w:r w:rsidR="00642C77">
              <w:t xml:space="preserve"> the</w:t>
            </w:r>
            <w:r w:rsidR="00553E6C">
              <w:t xml:space="preserve"> same mechanism as HCN</w:t>
            </w:r>
            <w:r w:rsidR="00275B3E">
              <w:t xml:space="preserve"> </w:t>
            </w:r>
            <w:r w:rsidR="00861D8F">
              <w:t>–</w:t>
            </w:r>
            <w:r w:rsidR="00275B3E">
              <w:t xml:space="preserve"> </w:t>
            </w:r>
            <w:r w:rsidR="00FE2D0F" w:rsidRPr="0045790A">
              <w:rPr>
                <w:iCs/>
              </w:rPr>
              <w:t>by</w:t>
            </w:r>
            <w:r w:rsidR="00FE2D0F">
              <w:t xml:space="preserve"> </w:t>
            </w:r>
            <w:r w:rsidR="00A001B9">
              <w:t xml:space="preserve">release of </w:t>
            </w:r>
            <w:r w:rsidR="00861D8F">
              <w:t xml:space="preserve">the </w:t>
            </w:r>
            <w:r w:rsidR="00A001B9">
              <w:t>cyanide ion</w:t>
            </w:r>
            <w:r w:rsidR="00DB519B">
              <w:t>.</w:t>
            </w:r>
          </w:p>
          <w:p w14:paraId="61F3E66B" w14:textId="3D0EAC05" w:rsidR="00553E6C" w:rsidRDefault="00C22010" w:rsidP="00553E6C">
            <w:pPr>
              <w:pStyle w:val="Tabletextprimarysource"/>
            </w:pPr>
            <w:r>
              <w:t>NaCN, KCN</w:t>
            </w:r>
            <w:r w:rsidR="00553E6C">
              <w:t xml:space="preserve"> and Ca(CN)</w:t>
            </w:r>
            <w:r w:rsidR="00553E6C" w:rsidRPr="004E304E">
              <w:rPr>
                <w:vertAlign w:val="subscript"/>
              </w:rPr>
              <w:t>2</w:t>
            </w:r>
            <w:r w:rsidR="00553E6C">
              <w:t xml:space="preserve"> will liberate HCN gas upon hydrolysis or in the presence of acids</w:t>
            </w:r>
            <w:r w:rsidR="00DB519B">
              <w:t>.</w:t>
            </w:r>
          </w:p>
          <w:p w14:paraId="64DB744E" w14:textId="77777777" w:rsidR="00A001B9" w:rsidRDefault="00A001B9" w:rsidP="00AF0E31">
            <w:pPr>
              <w:pStyle w:val="Tabletextprimarysource"/>
            </w:pPr>
            <w:r>
              <w:t>Human data:</w:t>
            </w:r>
          </w:p>
          <w:p w14:paraId="5209C195" w14:textId="4A8779B4" w:rsidR="00A001B9" w:rsidRDefault="00D400B2" w:rsidP="00275B3E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adverse </w:t>
            </w:r>
            <w:r w:rsidR="00642C77">
              <w:t xml:space="preserve">effects </w:t>
            </w:r>
            <w:r>
              <w:t>in workers</w:t>
            </w:r>
            <w:r w:rsidR="008D6E05">
              <w:t xml:space="preserve"> exposed at</w:t>
            </w:r>
            <w:r w:rsidR="00642C77">
              <w:t xml:space="preserve"> concentrations on the order of 10 ppm (no further information)</w:t>
            </w:r>
          </w:p>
          <w:p w14:paraId="5B544486" w14:textId="0C8A8836" w:rsidR="00642C77" w:rsidRDefault="00E7723B" w:rsidP="00275B3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W</w:t>
            </w:r>
            <w:r w:rsidR="00642C77">
              <w:t xml:space="preserve">orkers </w:t>
            </w:r>
            <w:r w:rsidR="00D400B2">
              <w:t xml:space="preserve">exposed </w:t>
            </w:r>
            <w:r w:rsidR="008D6E05">
              <w:t>at</w:t>
            </w:r>
            <w:r w:rsidR="00D400B2">
              <w:t xml:space="preserve"> </w:t>
            </w:r>
            <w:r w:rsidR="00BF4B28">
              <w:rPr>
                <w:rFonts w:cs="Arial"/>
              </w:rPr>
              <w:t>≤</w:t>
            </w:r>
            <w:r w:rsidR="00642C77">
              <w:t>5 ppm (5.1 mg/m</w:t>
            </w:r>
            <w:r w:rsidR="00642C77">
              <w:rPr>
                <w:vertAlign w:val="superscript"/>
              </w:rPr>
              <w:t>3</w:t>
            </w:r>
            <w:r w:rsidR="00642C77">
              <w:t>)</w:t>
            </w:r>
            <w:r>
              <w:t xml:space="preserve"> </w:t>
            </w:r>
            <w:r w:rsidR="008D6E05">
              <w:t>reported</w:t>
            </w:r>
            <w:r>
              <w:t xml:space="preserve"> nasal irritation and ulceration of the septum (no further information)</w:t>
            </w:r>
          </w:p>
          <w:p w14:paraId="4AD5A8E3" w14:textId="6B710881" w:rsidR="00D400B2" w:rsidRDefault="00D400B2" w:rsidP="00275B3E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A </w:t>
            </w:r>
            <w:r w:rsidRPr="00D400B2">
              <w:t xml:space="preserve">study in workers exposed </w:t>
            </w:r>
            <w:r w:rsidR="008D6E05">
              <w:t>at</w:t>
            </w:r>
            <w:r w:rsidRPr="00D400B2">
              <w:t xml:space="preserve"> 4.2</w:t>
            </w:r>
            <w:r w:rsidR="006B208B">
              <w:t>–</w:t>
            </w:r>
            <w:r w:rsidRPr="00D400B2">
              <w:t xml:space="preserve">12.4 ppm in the breathing zone (7 yr) reported increased incidence </w:t>
            </w:r>
            <w:r w:rsidR="008D6E05">
              <w:t xml:space="preserve">of headache and </w:t>
            </w:r>
            <w:r w:rsidR="00936CC6" w:rsidRPr="00D400B2">
              <w:t xml:space="preserve">weakness </w:t>
            </w:r>
          </w:p>
          <w:p w14:paraId="68C20D11" w14:textId="5858ED10" w:rsidR="006B208B" w:rsidRDefault="00E7723B" w:rsidP="00891CE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LOAEL of 6.4 ppm NaCN (5</w:t>
            </w:r>
            <w:r w:rsidR="006B208B">
              <w:t>–</w:t>
            </w:r>
            <w:r>
              <w:t xml:space="preserve">15 </w:t>
            </w:r>
            <w:r w:rsidR="00DB519B">
              <w:t>yr</w:t>
            </w:r>
            <w:r w:rsidR="008D6E05">
              <w:t>) reported for</w:t>
            </w:r>
            <w:r>
              <w:t xml:space="preserve"> dyspn</w:t>
            </w:r>
            <w:r w:rsidR="00FE2D0F">
              <w:t>o</w:t>
            </w:r>
            <w:r>
              <w:t>ea, precordial pain, vomiting, increased haemoglobin and lymphocytes, lacrimation, thyroid enlargement</w:t>
            </w:r>
            <w:r w:rsidR="00891CED">
              <w:t>, confusion, headache, dizziness</w:t>
            </w:r>
            <w:r w:rsidR="00F111CF">
              <w:t xml:space="preserve"> and</w:t>
            </w:r>
            <w:r w:rsidR="00891CED">
              <w:t xml:space="preserve"> weakness</w:t>
            </w:r>
            <w:r w:rsidR="006B208B">
              <w:t>.</w:t>
            </w:r>
          </w:p>
          <w:p w14:paraId="48298101" w14:textId="3B2DD7F1" w:rsidR="00891CED" w:rsidRDefault="00891CED" w:rsidP="00891CED">
            <w:pPr>
              <w:pStyle w:val="Tabletextprimarysource"/>
            </w:pPr>
            <w:r>
              <w:t>Animal data:</w:t>
            </w:r>
          </w:p>
          <w:p w14:paraId="7B46F16F" w14:textId="58D4CD86" w:rsidR="00891CED" w:rsidRDefault="006668DC" w:rsidP="00275B3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567E53">
              <w:rPr>
                <w:vertAlign w:val="subscript"/>
              </w:rPr>
              <w:t xml:space="preserve">50 </w:t>
            </w:r>
            <w:r w:rsidR="008D6E05">
              <w:t>NaCN and KCN range</w:t>
            </w:r>
            <w:r w:rsidRPr="006668DC">
              <w:t xml:space="preserve"> 5</w:t>
            </w:r>
            <w:r w:rsidR="006201EF">
              <w:t>–</w:t>
            </w:r>
            <w:r w:rsidRPr="006668DC">
              <w:t>10</w:t>
            </w:r>
            <w:r>
              <w:t xml:space="preserve"> mg/kg; </w:t>
            </w:r>
            <w:r w:rsidR="00BF4B28" w:rsidRPr="006201EF">
              <w:t>≡</w:t>
            </w:r>
            <w:r w:rsidR="00916E30">
              <w:t xml:space="preserve">CN </w:t>
            </w:r>
            <w:r w:rsidR="00BF4B28">
              <w:t>&gt;</w:t>
            </w:r>
            <w:r w:rsidR="00916E30">
              <w:t xml:space="preserve">100 ppm </w:t>
            </w:r>
            <w:r>
              <w:t>HCN</w:t>
            </w:r>
            <w:r w:rsidR="00916E30">
              <w:t xml:space="preserve"> in air</w:t>
            </w:r>
          </w:p>
          <w:p w14:paraId="6BA919A5" w14:textId="77777777" w:rsidR="00916E30" w:rsidRDefault="00916E30" w:rsidP="00275B3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Similar acute toxicity between KCN and HCN</w:t>
            </w:r>
          </w:p>
          <w:p w14:paraId="5149C58D" w14:textId="57D957F0" w:rsidR="00916E30" w:rsidRDefault="00553E6C" w:rsidP="00275B3E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30 min </w:t>
            </w:r>
            <w:r w:rsidR="00916E30">
              <w:t xml:space="preserve">LOAEL 60 ppm (HCN) in mice; </w:t>
            </w:r>
            <w:r w:rsidR="00916E30" w:rsidRPr="00916E30">
              <w:t>50% decrease in average respiratory</w:t>
            </w:r>
            <w:r w:rsidR="00916E30">
              <w:t xml:space="preserve"> rate</w:t>
            </w:r>
            <w:r w:rsidR="00DB519B">
              <w:t>.</w:t>
            </w:r>
          </w:p>
          <w:p w14:paraId="77CDF51C" w14:textId="77777777" w:rsidR="006B208B" w:rsidRDefault="006B208B" w:rsidP="00AF0E31">
            <w:pPr>
              <w:pStyle w:val="Tabletextprimarysource"/>
            </w:pPr>
          </w:p>
          <w:p w14:paraId="1D7F9BCD" w14:textId="2963E17B" w:rsidR="00AF0E31" w:rsidRDefault="00AA37BC" w:rsidP="00AF0E31">
            <w:pPr>
              <w:pStyle w:val="Tabletextprimarysource"/>
            </w:pPr>
            <w:r>
              <w:t>Insufficient data to recommend sensitiser or carcinogenicity notations.</w:t>
            </w:r>
          </w:p>
          <w:p w14:paraId="491F6FCA" w14:textId="37323DF4" w:rsidR="006B208B" w:rsidRPr="00DA352E" w:rsidRDefault="006B208B" w:rsidP="00AF0E31">
            <w:pPr>
              <w:pStyle w:val="Tabletextprimarysource"/>
            </w:pPr>
          </w:p>
        </w:tc>
      </w:tr>
      <w:tr w:rsidR="00C978F0" w:rsidRPr="00DA352E" w14:paraId="5675499A" w14:textId="77777777" w:rsidTr="006668DC">
        <w:trPr>
          <w:cantSplit/>
        </w:trPr>
        <w:tc>
          <w:tcPr>
            <w:tcW w:w="5000" w:type="pct"/>
            <w:shd w:val="clear" w:color="auto" w:fill="F2F2F2" w:themeFill="background1" w:themeFillShade="F2"/>
          </w:tcPr>
          <w:p w14:paraId="51EEEFE0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Content>
                <w:r w:rsidR="00F7546B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Content>
                <w:r w:rsidR="00F7546B">
                  <w:t xml:space="preserve">MAK: </w:t>
                </w:r>
                <w:r w:rsidR="004E304E">
                  <w:t>2</w:t>
                </w:r>
                <w:r w:rsidR="00F7546B">
                  <w:t xml:space="preserve"> mg/m</w:t>
                </w:r>
                <w:r w:rsidR="00F7546B" w:rsidRPr="00F7546B">
                  <w:rPr>
                    <w:vertAlign w:val="superscript"/>
                  </w:rPr>
                  <w:t>3</w:t>
                </w:r>
                <w:r w:rsidR="004E304E">
                  <w:t xml:space="preserve"> </w:t>
                </w:r>
                <w:r w:rsidR="000D6C7F">
                  <w:t xml:space="preserve">(inhalable fraction </w:t>
                </w:r>
                <w:r w:rsidR="004E304E">
                  <w:t>as cyanide)</w:t>
                </w:r>
              </w:sdtContent>
            </w:sdt>
          </w:p>
        </w:tc>
      </w:tr>
      <w:tr w:rsidR="00C978F0" w:rsidRPr="00DA352E" w14:paraId="5C8185F2" w14:textId="77777777" w:rsidTr="006668DC">
        <w:trPr>
          <w:cantSplit/>
        </w:trPr>
        <w:tc>
          <w:tcPr>
            <w:tcW w:w="5000" w:type="pct"/>
          </w:tcPr>
          <w:p w14:paraId="3EA8E070" w14:textId="77777777" w:rsidR="000D6C7F" w:rsidRDefault="000D6C7F" w:rsidP="003365A5">
            <w:pPr>
              <w:pStyle w:val="Tabletextprimarysource"/>
            </w:pPr>
            <w:r>
              <w:t>Summary of additional data:</w:t>
            </w:r>
          </w:p>
          <w:p w14:paraId="1C33904C" w14:textId="51AA153F" w:rsidR="008D6E05" w:rsidRDefault="009D11C9" w:rsidP="00275B3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In humans, l</w:t>
            </w:r>
            <w:r w:rsidR="000D6C7F">
              <w:t xml:space="preserve">ong-term exposure </w:t>
            </w:r>
            <w:r w:rsidR="008D6E05">
              <w:t>at</w:t>
            </w:r>
            <w:r w:rsidR="000D6C7F">
              <w:t xml:space="preserve"> 4.7</w:t>
            </w:r>
            <w:r w:rsidR="006B208B">
              <w:t>–</w:t>
            </w:r>
            <w:r w:rsidR="000D6C7F">
              <w:t>13.9 mg/m</w:t>
            </w:r>
            <w:r w:rsidR="000D6C7F" w:rsidRPr="00783565">
              <w:rPr>
                <w:vertAlign w:val="superscript"/>
              </w:rPr>
              <w:t>3</w:t>
            </w:r>
            <w:r w:rsidR="000D6C7F">
              <w:t xml:space="preserve"> may lead to symptoms such as headaches, weakness, dizziness, throat irritation, dyspnoea, thyroid enlargement and an increase in thiocyanate</w:t>
            </w:r>
            <w:r>
              <w:t xml:space="preserve"> </w:t>
            </w:r>
            <w:r w:rsidR="000D6C7F">
              <w:t>excretion in the urine</w:t>
            </w:r>
          </w:p>
          <w:p w14:paraId="6FB70991" w14:textId="340418AE" w:rsidR="000D6C7F" w:rsidRDefault="00AA37BC" w:rsidP="008D6E05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 w:rsidRPr="008D6E05">
              <w:rPr>
                <w:rStyle w:val="checkbox"/>
                <w:rFonts w:ascii="Arial" w:hAnsi="Arial" w:cs="Arial"/>
              </w:rPr>
              <w:t>LOAEL</w:t>
            </w:r>
            <w:r>
              <w:t xml:space="preserve"> 4.7 mg/m</w:t>
            </w:r>
            <w:r w:rsidRPr="00783565">
              <w:rPr>
                <w:vertAlign w:val="superscript"/>
              </w:rPr>
              <w:t>3</w:t>
            </w:r>
          </w:p>
          <w:p w14:paraId="5BF6FA8F" w14:textId="22A6C6B8" w:rsidR="009D11C9" w:rsidRDefault="0045790A" w:rsidP="00647CD3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i</w:t>
            </w:r>
            <w:r w:rsidR="009D11C9">
              <w:t xml:space="preserve">n humans, </w:t>
            </w:r>
            <w:r w:rsidR="0017447F">
              <w:t>CN</w:t>
            </w:r>
            <w:r w:rsidR="008D6E05">
              <w:t xml:space="preserve"> detoxification of 0.1 mg/kg/h</w:t>
            </w:r>
            <w:r w:rsidR="00647CD3">
              <w:t xml:space="preserve"> </w:t>
            </w:r>
            <w:r>
              <w:t>equates</w:t>
            </w:r>
            <w:r w:rsidR="009D11C9">
              <w:t xml:space="preserve"> to</w:t>
            </w:r>
            <w:r>
              <w:t xml:space="preserve"> detoxification of</w:t>
            </w:r>
            <w:r w:rsidR="009D11C9">
              <w:t xml:space="preserve"> 56 mg</w:t>
            </w:r>
            <w:r w:rsidR="00576244">
              <w:t xml:space="preserve"> per </w:t>
            </w:r>
            <w:r>
              <w:t>8 h</w:t>
            </w:r>
            <w:r w:rsidR="009D11C9">
              <w:t xml:space="preserve"> (70 kg </w:t>
            </w:r>
            <w:r>
              <w:t>worker inhaling 10m</w:t>
            </w:r>
            <w:r>
              <w:rPr>
                <w:vertAlign w:val="superscript"/>
              </w:rPr>
              <w:t>3</w:t>
            </w:r>
            <w:r w:rsidR="009D11C9">
              <w:t>)</w:t>
            </w:r>
          </w:p>
          <w:p w14:paraId="2CF71598" w14:textId="56518434" w:rsidR="00002AC6" w:rsidRDefault="0045790A" w:rsidP="00576244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 xml:space="preserve">exposure to </w:t>
            </w:r>
            <w:r w:rsidR="00002AC6">
              <w:t>MAK of 2 mg/m</w:t>
            </w:r>
            <w:r w:rsidR="00002AC6" w:rsidRPr="0045790A">
              <w:rPr>
                <w:vertAlign w:val="superscript"/>
              </w:rPr>
              <w:t>3</w:t>
            </w:r>
            <w:r w:rsidR="00002AC6">
              <w:t xml:space="preserve"> </w:t>
            </w:r>
            <w:r w:rsidR="00576244">
              <w:t xml:space="preserve">equates to </w:t>
            </w:r>
            <w:r w:rsidR="00002AC6">
              <w:t>20 mg</w:t>
            </w:r>
            <w:r w:rsidR="00576244">
              <w:t xml:space="preserve"> over </w:t>
            </w:r>
            <w:r>
              <w:t>8 h</w:t>
            </w:r>
            <w:r w:rsidR="00002AC6">
              <w:t xml:space="preserve"> or 0.28 </w:t>
            </w:r>
            <w:r>
              <w:t>mg/kg</w:t>
            </w:r>
            <w:r w:rsidR="00576244">
              <w:t xml:space="preserve"> (70 kg worker inhaling 10m</w:t>
            </w:r>
            <w:r w:rsidR="00576244">
              <w:rPr>
                <w:vertAlign w:val="superscript"/>
              </w:rPr>
              <w:t>3</w:t>
            </w:r>
            <w:r w:rsidR="00576244">
              <w:t>)</w:t>
            </w:r>
          </w:p>
          <w:p w14:paraId="1E04334D" w14:textId="112D77B7" w:rsidR="009D11C9" w:rsidRDefault="009D11C9" w:rsidP="00275B3E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NOAEL for </w:t>
            </w:r>
            <w:r w:rsidR="008D6E05">
              <w:t>CN</w:t>
            </w:r>
            <w:r>
              <w:t xml:space="preserve"> of 4.6 mg/kg in male rats;</w:t>
            </w:r>
            <w:r w:rsidR="00002AC6">
              <w:t xml:space="preserve"> </w:t>
            </w:r>
            <w:r>
              <w:t>1.6 mg/kg female rats; reproductive effects</w:t>
            </w:r>
          </w:p>
          <w:p w14:paraId="2230C49A" w14:textId="77777777" w:rsidR="00002AC6" w:rsidRDefault="00002AC6" w:rsidP="00275B3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Dermal LD</w:t>
            </w:r>
            <w:r w:rsidR="00516304" w:rsidRPr="00783565">
              <w:rPr>
                <w:vertAlign w:val="subscript"/>
              </w:rPr>
              <w:t>50</w:t>
            </w:r>
            <w:r w:rsidR="00516304">
              <w:t xml:space="preserve"> 14.63 mg/kg NaCN and 22.33 mg/kg KCN in rabbits</w:t>
            </w:r>
          </w:p>
          <w:p w14:paraId="45D5AC84" w14:textId="77777777" w:rsidR="004B238D" w:rsidRDefault="004B238D" w:rsidP="00275B3E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NaCN and KCN negative in </w:t>
            </w:r>
            <w:r w:rsidRPr="00783565">
              <w:rPr>
                <w:i/>
              </w:rPr>
              <w:t xml:space="preserve">Salmonella typhimurium </w:t>
            </w:r>
            <w:r>
              <w:t xml:space="preserve">and </w:t>
            </w:r>
            <w:r w:rsidRPr="00783565">
              <w:rPr>
                <w:i/>
              </w:rPr>
              <w:t>Escherichia coli</w:t>
            </w:r>
            <w:r w:rsidR="00DB519B">
              <w:t>.</w:t>
            </w:r>
          </w:p>
          <w:p w14:paraId="43F30131" w14:textId="12A7AE48" w:rsidR="006B208B" w:rsidRPr="00DA352E" w:rsidRDefault="006B208B" w:rsidP="00275B3E">
            <w:pPr>
              <w:pStyle w:val="ListBullet"/>
              <w:numPr>
                <w:ilvl w:val="0"/>
                <w:numId w:val="0"/>
              </w:numPr>
            </w:pPr>
          </w:p>
        </w:tc>
      </w:tr>
      <w:tr w:rsidR="00C978F0" w:rsidRPr="00DA352E" w14:paraId="4650A453" w14:textId="77777777" w:rsidTr="006668DC">
        <w:trPr>
          <w:cantSplit/>
        </w:trPr>
        <w:tc>
          <w:tcPr>
            <w:tcW w:w="5000" w:type="pct"/>
            <w:shd w:val="clear" w:color="auto" w:fill="F2F2F2" w:themeFill="background1" w:themeFillShade="F2"/>
          </w:tcPr>
          <w:p w14:paraId="6FFC8A40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Content>
                <w:r w:rsidR="005C429E">
                  <w:t>2010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Content>
                <w:r w:rsidR="005C429E">
                  <w:t>TWA: 1 mg/m</w:t>
                </w:r>
                <w:r w:rsidR="005C429E" w:rsidRPr="005C429E">
                  <w:rPr>
                    <w:vertAlign w:val="superscript"/>
                  </w:rPr>
                  <w:t>3</w:t>
                </w:r>
                <w:r w:rsidR="004E304E">
                  <w:rPr>
                    <w:vertAlign w:val="superscript"/>
                  </w:rPr>
                  <w:t xml:space="preserve"> </w:t>
                </w:r>
                <w:r w:rsidR="002931A5">
                  <w:t>(expressed as cyanide)</w:t>
                </w:r>
                <w:r w:rsidR="005C429E">
                  <w:t>; STEL: 5 mg/m</w:t>
                </w:r>
                <w:r w:rsidR="005C429E" w:rsidRPr="005C429E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4C1F07A8" w14:textId="77777777" w:rsidTr="006668DC">
        <w:trPr>
          <w:cantSplit/>
        </w:trPr>
        <w:tc>
          <w:tcPr>
            <w:tcW w:w="5000" w:type="pct"/>
          </w:tcPr>
          <w:p w14:paraId="5AB19810" w14:textId="77777777" w:rsidR="00AA37BC" w:rsidRDefault="00AA37BC" w:rsidP="003365A5">
            <w:pPr>
              <w:pStyle w:val="Tabletextprimarysource"/>
            </w:pPr>
            <w:r>
              <w:t>Summary of additional data:</w:t>
            </w:r>
          </w:p>
          <w:p w14:paraId="2B7E9007" w14:textId="0620D286" w:rsidR="00AA37BC" w:rsidRDefault="00F209F0" w:rsidP="00275B3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Uses</w:t>
            </w:r>
            <w:r w:rsidR="00AA37BC">
              <w:t xml:space="preserve"> LOAEL of 4.7 mg/m</w:t>
            </w:r>
            <w:r w:rsidR="00AA37BC" w:rsidRPr="00783565">
              <w:rPr>
                <w:vertAlign w:val="superscript"/>
              </w:rPr>
              <w:t>3</w:t>
            </w:r>
            <w:r w:rsidR="00AA37BC">
              <w:t xml:space="preserve"> cyanide (DFG, 2003) with </w:t>
            </w:r>
            <w:r w:rsidR="0017447F">
              <w:t>UF</w:t>
            </w:r>
            <w:r w:rsidR="00AA37BC">
              <w:t xml:space="preserve"> of 5 to account for LOAEL to N</w:t>
            </w:r>
            <w:r w:rsidR="00F111CF">
              <w:t>O</w:t>
            </w:r>
            <w:r w:rsidR="00AA37BC">
              <w:t>AEL to derive a TWA of 1 mg/m</w:t>
            </w:r>
            <w:r w:rsidR="00AA37BC" w:rsidRPr="00783565">
              <w:rPr>
                <w:vertAlign w:val="superscript"/>
              </w:rPr>
              <w:t xml:space="preserve">3 </w:t>
            </w:r>
          </w:p>
          <w:p w14:paraId="28746F35" w14:textId="5A49A387" w:rsidR="00AA37BC" w:rsidRDefault="00AA37BC" w:rsidP="00275B3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Steep dose-response relationship and severe acute effects in humans (death); STEL of 5</w:t>
            </w:r>
            <w:r w:rsidR="006B208B">
              <w:t> </w:t>
            </w:r>
            <w:r>
              <w:t>mg/m</w:t>
            </w:r>
            <w:r w:rsidRPr="00783565">
              <w:rPr>
                <w:vertAlign w:val="superscript"/>
              </w:rPr>
              <w:t xml:space="preserve">3 </w:t>
            </w:r>
            <w:r>
              <w:t>recommended; no further information</w:t>
            </w:r>
          </w:p>
          <w:p w14:paraId="6DB19E09" w14:textId="77777777" w:rsidR="005030A0" w:rsidRDefault="005030A0" w:rsidP="00275B3E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</w:t>
            </w:r>
            <w:r w:rsidRPr="00B81C7E">
              <w:t>evidence for carcinogenicity or effects on reproduction</w:t>
            </w:r>
            <w:r>
              <w:t>.</w:t>
            </w:r>
          </w:p>
          <w:p w14:paraId="1EBCCD5C" w14:textId="761DBB91" w:rsidR="006B208B" w:rsidRPr="00DA352E" w:rsidRDefault="006B208B" w:rsidP="00275B3E">
            <w:pPr>
              <w:pStyle w:val="ListBullet"/>
              <w:numPr>
                <w:ilvl w:val="0"/>
                <w:numId w:val="0"/>
              </w:numPr>
            </w:pPr>
          </w:p>
        </w:tc>
      </w:tr>
      <w:tr w:rsidR="00DA352E" w:rsidRPr="00DA352E" w14:paraId="0178748D" w14:textId="77777777" w:rsidTr="006668DC">
        <w:trPr>
          <w:cantSplit/>
        </w:trPr>
        <w:tc>
          <w:tcPr>
            <w:tcW w:w="5000" w:type="pct"/>
            <w:shd w:val="clear" w:color="auto" w:fill="F2F2F2" w:themeFill="background1" w:themeFillShade="F2"/>
          </w:tcPr>
          <w:p w14:paraId="5D758B93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Content>
                <w:r w:rsidR="00FD659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Content>
                <w:r w:rsidR="00FD6590">
                  <w:t>NA</w:t>
                </w:r>
              </w:sdtContent>
            </w:sdt>
          </w:p>
        </w:tc>
      </w:tr>
      <w:tr w:rsidR="00DA352E" w:rsidRPr="00DA352E" w14:paraId="1D31FBED" w14:textId="77777777" w:rsidTr="006668DC">
        <w:trPr>
          <w:cantSplit/>
        </w:trPr>
        <w:tc>
          <w:tcPr>
            <w:tcW w:w="5000" w:type="pct"/>
          </w:tcPr>
          <w:p w14:paraId="051BF927" w14:textId="6F04571C" w:rsidR="00DA352E" w:rsidRPr="00DA352E" w:rsidRDefault="00FD6590" w:rsidP="003365A5">
            <w:pPr>
              <w:pStyle w:val="Tabletextprimarysource"/>
            </w:pPr>
            <w:r>
              <w:t>No report</w:t>
            </w:r>
            <w:r w:rsidR="00A845CB">
              <w:t>.</w:t>
            </w:r>
          </w:p>
        </w:tc>
      </w:tr>
      <w:tr w:rsidR="00DA352E" w:rsidRPr="00DA352E" w14:paraId="3F10DE75" w14:textId="77777777" w:rsidTr="006668DC">
        <w:trPr>
          <w:cantSplit/>
        </w:trPr>
        <w:tc>
          <w:tcPr>
            <w:tcW w:w="5000" w:type="pct"/>
            <w:shd w:val="clear" w:color="auto" w:fill="F2F2F2" w:themeFill="background1" w:themeFillShade="F2"/>
          </w:tcPr>
          <w:p w14:paraId="219A7F42" w14:textId="6F457C4A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Content>
                <w:r w:rsidR="005959CA">
                  <w:t>2002/2012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Content>
                <w:r w:rsidR="004E304E">
                  <w:t>TWA: 1 mg/m</w:t>
                </w:r>
                <w:r w:rsidR="004E304E">
                  <w:rPr>
                    <w:vertAlign w:val="superscript"/>
                  </w:rPr>
                  <w:t>3</w:t>
                </w:r>
                <w:r w:rsidR="004E304E">
                  <w:t xml:space="preserve"> (as cyanide); Ceiling: 10 mg/m</w:t>
                </w:r>
                <w:r w:rsidR="004E304E">
                  <w:rPr>
                    <w:vertAlign w:val="superscript"/>
                  </w:rPr>
                  <w:t>3</w:t>
                </w:r>
                <w:r w:rsidR="00324263">
                  <w:t xml:space="preserve"> (as cyanide)</w:t>
                </w:r>
              </w:sdtContent>
            </w:sdt>
          </w:p>
        </w:tc>
      </w:tr>
      <w:tr w:rsidR="00DA352E" w:rsidRPr="00DA352E" w14:paraId="0F545675" w14:textId="77777777" w:rsidTr="006668DC">
        <w:trPr>
          <w:cantSplit/>
        </w:trPr>
        <w:tc>
          <w:tcPr>
            <w:tcW w:w="5000" w:type="pct"/>
          </w:tcPr>
          <w:p w14:paraId="3C79F2CC" w14:textId="77777777" w:rsidR="00DA352E" w:rsidRDefault="00F209F0" w:rsidP="003365A5">
            <w:pPr>
              <w:pStyle w:val="Tabletextprimarysource"/>
            </w:pPr>
            <w:r>
              <w:t>Summary of additional data:</w:t>
            </w:r>
          </w:p>
          <w:p w14:paraId="7EBB7A92" w14:textId="49FABBA6" w:rsidR="008D6E05" w:rsidRDefault="00BD103A" w:rsidP="00275B3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Concentration range of 20</w:t>
            </w:r>
            <w:r w:rsidR="006B208B">
              <w:t>–</w:t>
            </w:r>
            <w:r>
              <w:t>40 mg/m</w:t>
            </w:r>
            <w:r w:rsidRPr="00567E53">
              <w:rPr>
                <w:vertAlign w:val="superscript"/>
              </w:rPr>
              <w:t>3</w:t>
            </w:r>
            <w:r>
              <w:t xml:space="preserve"> associated with slight acute effects</w:t>
            </w:r>
            <w:r w:rsidR="005030A0">
              <w:t xml:space="preserve"> within hours</w:t>
            </w:r>
            <w:r>
              <w:t xml:space="preserve">; concentration </w:t>
            </w:r>
            <w:r w:rsidR="00BF4B28">
              <w:t>&gt;</w:t>
            </w:r>
            <w:r>
              <w:t>135 mg/m</w:t>
            </w:r>
            <w:r w:rsidRPr="00567E53">
              <w:rPr>
                <w:vertAlign w:val="superscript"/>
              </w:rPr>
              <w:t>3</w:t>
            </w:r>
            <w:r w:rsidR="008D6E05">
              <w:t xml:space="preserve"> fatal</w:t>
            </w:r>
          </w:p>
          <w:p w14:paraId="4FA4A073" w14:textId="24D0F108" w:rsidR="00BD103A" w:rsidRDefault="00D4288A" w:rsidP="008D6E05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 xml:space="preserve">steep dose-response curve </w:t>
            </w:r>
            <w:r w:rsidRPr="008D6E05">
              <w:rPr>
                <w:rStyle w:val="checkbox"/>
                <w:rFonts w:ascii="Arial" w:hAnsi="Arial" w:cs="Arial"/>
              </w:rPr>
              <w:t>warrants</w:t>
            </w:r>
            <w:r>
              <w:t xml:space="preserve"> ceiling value</w:t>
            </w:r>
          </w:p>
          <w:p w14:paraId="13A4B335" w14:textId="78DC0A30" w:rsidR="00D4288A" w:rsidRDefault="00D4288A" w:rsidP="00275B3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Uses LOAEL of 20 mg/m</w:t>
            </w:r>
            <w:r w:rsidRPr="00567E53">
              <w:rPr>
                <w:vertAlign w:val="superscript"/>
              </w:rPr>
              <w:t>3</w:t>
            </w:r>
            <w:r>
              <w:t xml:space="preserve"> and applies factor of 2 to extrapolate to N</w:t>
            </w:r>
            <w:r w:rsidR="00F111CF">
              <w:t>O</w:t>
            </w:r>
            <w:r>
              <w:t>AEL to derive ceiling of 10 mg/m</w:t>
            </w:r>
            <w:r w:rsidRPr="00567E53">
              <w:rPr>
                <w:vertAlign w:val="superscript"/>
              </w:rPr>
              <w:t>3</w:t>
            </w:r>
          </w:p>
          <w:p w14:paraId="0F2C84BB" w14:textId="77777777" w:rsidR="00F209F0" w:rsidRDefault="00F209F0" w:rsidP="00275B3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Uses LOAEL of 4.2 ppm (4.7 mg/m</w:t>
            </w:r>
            <w:r w:rsidRPr="00567E53">
              <w:rPr>
                <w:vertAlign w:val="superscript"/>
              </w:rPr>
              <w:t>3</w:t>
            </w:r>
            <w:r>
              <w:t>) (DFG, 2003; SCOEL, 2010) as starting point</w:t>
            </w:r>
            <w:r w:rsidR="00D4288A">
              <w:t>; applies factor of 5 to extrapolate to N</w:t>
            </w:r>
            <w:r w:rsidR="005959CA">
              <w:t>O</w:t>
            </w:r>
            <w:r w:rsidR="00D4288A">
              <w:t>AEL to arrive at 1 mg/m</w:t>
            </w:r>
            <w:r w:rsidR="00D4288A" w:rsidRPr="00567E53">
              <w:rPr>
                <w:vertAlign w:val="superscript"/>
              </w:rPr>
              <w:t>3</w:t>
            </w:r>
            <w:r w:rsidR="00D4288A">
              <w:t xml:space="preserve"> as TWA.</w:t>
            </w:r>
          </w:p>
          <w:p w14:paraId="0532F7AD" w14:textId="0D8DACD8" w:rsidR="00FC7DC1" w:rsidRPr="00DA352E" w:rsidRDefault="00FC7DC1" w:rsidP="00275B3E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</w:tbl>
    <w:p w14:paraId="3185793B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3"/>
        <w:gridCol w:w="423"/>
        <w:gridCol w:w="661"/>
        <w:gridCol w:w="6449"/>
      </w:tblGrid>
      <w:tr w:rsidR="004966BF" w:rsidRPr="00263255" w14:paraId="0B1D9951" w14:textId="77777777" w:rsidTr="005030A0">
        <w:trPr>
          <w:cantSplit/>
          <w:trHeight w:val="393"/>
          <w:tblHeader/>
        </w:trPr>
        <w:tc>
          <w:tcPr>
            <w:tcW w:w="1493" w:type="dxa"/>
            <w:shd w:val="clear" w:color="auto" w:fill="BFBFBF" w:themeFill="background1" w:themeFillShade="BF"/>
            <w:vAlign w:val="center"/>
          </w:tcPr>
          <w:p w14:paraId="6888A526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5D347F0A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41FA937A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9" w:type="dxa"/>
            <w:shd w:val="clear" w:color="auto" w:fill="BFBFBF" w:themeFill="background1" w:themeFillShade="BF"/>
            <w:vAlign w:val="center"/>
          </w:tcPr>
          <w:p w14:paraId="44F877ED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6CAC8813" w14:textId="77777777" w:rsidTr="005030A0">
        <w:trPr>
          <w:cantSplit/>
        </w:trPr>
        <w:tc>
          <w:tcPr>
            <w:tcW w:w="1493" w:type="dxa"/>
          </w:tcPr>
          <w:p w14:paraId="2388B37E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3" w:type="dxa"/>
          </w:tcPr>
          <w:p w14:paraId="4E5AA7CA" w14:textId="5D0B7A55" w:rsidR="004966BF" w:rsidRPr="00CE617F" w:rsidRDefault="0000000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5030A0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6E3C102" w14:textId="30800F4C" w:rsidR="004966BF" w:rsidRPr="004C23F4" w:rsidRDefault="005030A0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2010</w:t>
            </w:r>
          </w:p>
        </w:tc>
        <w:tc>
          <w:tcPr>
            <w:tcW w:w="6449" w:type="dxa"/>
          </w:tcPr>
          <w:p w14:paraId="405D3E96" w14:textId="77777777" w:rsidR="005030A0" w:rsidRDefault="005030A0" w:rsidP="00275B3E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Reported</w:t>
            </w:r>
            <w:r w:rsidRPr="00DE60F6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>that</w:t>
            </w:r>
            <w:r w:rsidRPr="00DE60F6">
              <w:rPr>
                <w:rStyle w:val="checkbox"/>
                <w:rFonts w:ascii="Arial" w:hAnsi="Arial" w:cs="Arial"/>
              </w:rPr>
              <w:t xml:space="preserve"> expos</w:t>
            </w:r>
            <w:r>
              <w:rPr>
                <w:rStyle w:val="checkbox"/>
                <w:rFonts w:ascii="Arial" w:hAnsi="Arial" w:cs="Arial"/>
              </w:rPr>
              <w:t>ing</w:t>
            </w:r>
            <w:r w:rsidRPr="00DE60F6">
              <w:rPr>
                <w:rStyle w:val="checkbox"/>
                <w:rFonts w:ascii="Arial" w:hAnsi="Arial" w:cs="Arial"/>
              </w:rPr>
              <w:t xml:space="preserve"> workers to low concentrations can cause thyroid effects and CNS symptoms</w:t>
            </w:r>
          </w:p>
          <w:p w14:paraId="5436E56B" w14:textId="77777777" w:rsidR="005030A0" w:rsidRPr="00DE60F6" w:rsidRDefault="005030A0" w:rsidP="00275B3E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DE60F6">
              <w:rPr>
                <w:rStyle w:val="checkbox"/>
                <w:rFonts w:ascii="Arial" w:hAnsi="Arial" w:cs="Arial"/>
              </w:rPr>
              <w:t>Chronic or subchronic inhalation studies in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Pr="00DE60F6">
              <w:rPr>
                <w:rStyle w:val="checkbox"/>
                <w:rFonts w:ascii="Arial" w:hAnsi="Arial" w:cs="Arial"/>
              </w:rPr>
              <w:t>experimental animals were not found</w:t>
            </w:r>
          </w:p>
          <w:p w14:paraId="590C2D69" w14:textId="2CACCA49" w:rsidR="005030A0" w:rsidRDefault="005030A0" w:rsidP="00275B3E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LOAEL: 6.4 ppm (7.07 mg/m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>); long-term occupational study; observed thyroid effects; 36 male workers exposed; 20 males control.</w:t>
            </w:r>
            <w:r w:rsidR="00DB519B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>LOAEL was adjusted for continuous exposure to 2.5</w:t>
            </w:r>
            <w:r w:rsidR="006B208B">
              <w:rPr>
                <w:rStyle w:val="checkbox"/>
                <w:rFonts w:ascii="Arial" w:hAnsi="Arial" w:cs="Arial"/>
              </w:rPr>
              <w:t> </w:t>
            </w:r>
            <w:r>
              <w:rPr>
                <w:rStyle w:val="checkbox"/>
                <w:rFonts w:ascii="Arial" w:hAnsi="Arial" w:cs="Arial"/>
              </w:rPr>
              <w:t>mg/m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 xml:space="preserve"> and used as the POD for derivation of RfC </w:t>
            </w:r>
            <w:r w:rsidR="006B208B">
              <w:rPr>
                <w:rStyle w:val="checkbox"/>
                <w:rFonts w:ascii="Arial" w:hAnsi="Arial" w:cs="Arial"/>
              </w:rPr>
              <w:br/>
            </w:r>
            <w:r>
              <w:rPr>
                <w:rStyle w:val="checkbox"/>
                <w:rFonts w:ascii="Arial" w:hAnsi="Arial" w:cs="Arial"/>
              </w:rPr>
              <w:t>(8 x 10</w:t>
            </w:r>
            <w:r w:rsidR="006B208B">
              <w:rPr>
                <w:rStyle w:val="checkbox"/>
                <w:rFonts w:ascii="Arial" w:hAnsi="Arial" w:cs="Arial"/>
                <w:vertAlign w:val="superscript"/>
              </w:rPr>
              <w:noBreakHyphen/>
            </w:r>
            <w:r>
              <w:rPr>
                <w:rStyle w:val="checkbox"/>
                <w:rFonts w:ascii="Arial" w:hAnsi="Arial" w:cs="Arial"/>
                <w:vertAlign w:val="superscript"/>
              </w:rPr>
              <w:t>4</w:t>
            </w:r>
            <w:r w:rsidR="006B208B">
              <w:rPr>
                <w:rStyle w:val="checkbox"/>
                <w:rFonts w:ascii="Arial" w:hAnsi="Arial" w:cs="Arial"/>
              </w:rPr>
              <w:t> </w:t>
            </w:r>
            <w:r>
              <w:rPr>
                <w:rStyle w:val="checkbox"/>
                <w:rFonts w:ascii="Arial" w:hAnsi="Arial" w:cs="Arial"/>
              </w:rPr>
              <w:t>mg/m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>)</w:t>
            </w:r>
          </w:p>
          <w:p w14:paraId="4336F26E" w14:textId="77777777" w:rsidR="005030A0" w:rsidRDefault="005030A0" w:rsidP="00275B3E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F037D8">
              <w:rPr>
                <w:rStyle w:val="checkbox"/>
                <w:rFonts w:ascii="Arial" w:hAnsi="Arial" w:cs="Arial"/>
              </w:rPr>
              <w:t xml:space="preserve">A total UF of 3,000 was applied to the POD: </w:t>
            </w:r>
          </w:p>
          <w:p w14:paraId="2DFF4545" w14:textId="77777777" w:rsidR="005030A0" w:rsidRDefault="005030A0" w:rsidP="00614B5B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F037D8">
              <w:rPr>
                <w:rStyle w:val="checkbox"/>
                <w:rFonts w:ascii="Arial" w:hAnsi="Arial" w:cs="Arial"/>
              </w:rPr>
              <w:t>10 for extrapolation of a LOAEL to a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Pr="00F037D8">
              <w:rPr>
                <w:rStyle w:val="checkbox"/>
                <w:rFonts w:ascii="Arial" w:hAnsi="Arial" w:cs="Arial"/>
              </w:rPr>
              <w:t xml:space="preserve">NOAEL </w:t>
            </w:r>
          </w:p>
          <w:p w14:paraId="351143B4" w14:textId="77777777" w:rsidR="005030A0" w:rsidRDefault="005030A0" w:rsidP="00614B5B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F037D8">
              <w:rPr>
                <w:rStyle w:val="checkbox"/>
                <w:rFonts w:ascii="Arial" w:hAnsi="Arial" w:cs="Arial"/>
              </w:rPr>
              <w:t>3 for extrapolation from a subchronic to c</w:t>
            </w:r>
            <w:r>
              <w:rPr>
                <w:rStyle w:val="checkbox"/>
                <w:rFonts w:ascii="Arial" w:hAnsi="Arial" w:cs="Arial"/>
              </w:rPr>
              <w:t>hronic exposure duration</w:t>
            </w:r>
          </w:p>
          <w:p w14:paraId="725F2FD9" w14:textId="77777777" w:rsidR="005030A0" w:rsidRDefault="005030A0" w:rsidP="00614B5B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F037D8">
              <w:rPr>
                <w:rStyle w:val="checkbox"/>
                <w:rFonts w:ascii="Arial" w:hAnsi="Arial" w:cs="Arial"/>
              </w:rPr>
              <w:t>10 for</w:t>
            </w:r>
            <w:r>
              <w:rPr>
                <w:rStyle w:val="checkbox"/>
                <w:rFonts w:ascii="Arial" w:hAnsi="Arial" w:cs="Arial"/>
              </w:rPr>
              <w:t xml:space="preserve"> human intraspecies variability</w:t>
            </w:r>
          </w:p>
          <w:p w14:paraId="6A702E49" w14:textId="48BB8168" w:rsidR="004966BF" w:rsidRPr="004C23F4" w:rsidRDefault="005030A0" w:rsidP="00614B5B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F037D8">
              <w:rPr>
                <w:rStyle w:val="checkbox"/>
                <w:rFonts w:ascii="Arial" w:hAnsi="Arial" w:cs="Arial"/>
              </w:rPr>
              <w:t>10 to acco</w:t>
            </w:r>
            <w:r>
              <w:rPr>
                <w:rStyle w:val="checkbox"/>
                <w:rFonts w:ascii="Arial" w:hAnsi="Arial" w:cs="Arial"/>
              </w:rPr>
              <w:t>unt for database deficiencies.</w:t>
            </w:r>
          </w:p>
        </w:tc>
      </w:tr>
    </w:tbl>
    <w:bookmarkEnd w:id="0"/>
    <w:p w14:paraId="57665AF6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435712E7" w14:textId="77777777" w:rsidTr="004B238D">
        <w:trPr>
          <w:trHeight w:val="454"/>
          <w:tblHeader/>
        </w:trPr>
        <w:tc>
          <w:tcPr>
            <w:tcW w:w="6603" w:type="dxa"/>
            <w:vAlign w:val="center"/>
          </w:tcPr>
          <w:p w14:paraId="0CBC7ABE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Content>
            <w:tc>
              <w:tcPr>
                <w:tcW w:w="2423" w:type="dxa"/>
                <w:vAlign w:val="center"/>
              </w:tcPr>
              <w:p w14:paraId="35BD89AA" w14:textId="77777777" w:rsidR="002E0D61" w:rsidRDefault="004B238D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2FF103A7" w14:textId="77777777" w:rsidTr="004B238D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Content>
            <w:tc>
              <w:tcPr>
                <w:tcW w:w="6603" w:type="dxa"/>
                <w:vAlign w:val="center"/>
              </w:tcPr>
              <w:p w14:paraId="6537E26F" w14:textId="77777777" w:rsidR="008A36CF" w:rsidRPr="006901A2" w:rsidRDefault="004B238D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2BF6A3A7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4C25EA2B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495EDD0C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65955EEB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2E673B68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0EBE3873" w14:textId="77777777" w:rsidTr="00812887">
        <w:trPr>
          <w:cantSplit/>
        </w:trPr>
        <w:tc>
          <w:tcPr>
            <w:tcW w:w="3227" w:type="dxa"/>
          </w:tcPr>
          <w:p w14:paraId="5752EE26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23870B03" w14:textId="77777777" w:rsidR="00687890" w:rsidRPr="00DD2F9B" w:rsidRDefault="00DD00FE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2EDF3288" w14:textId="77777777" w:rsidTr="00812887">
        <w:trPr>
          <w:cantSplit/>
        </w:trPr>
        <w:tc>
          <w:tcPr>
            <w:tcW w:w="3227" w:type="dxa"/>
          </w:tcPr>
          <w:p w14:paraId="32885CC2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345B552B" w14:textId="77777777" w:rsidR="007925F0" w:rsidRPr="00DD2F9B" w:rsidRDefault="00C171E0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53ACAA54" w14:textId="77777777" w:rsidTr="00812887">
        <w:trPr>
          <w:cantSplit/>
        </w:trPr>
        <w:tc>
          <w:tcPr>
            <w:tcW w:w="3227" w:type="dxa"/>
          </w:tcPr>
          <w:p w14:paraId="43A2521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53314AA" w14:textId="77777777" w:rsidR="00AF483F" w:rsidRPr="00DD2F9B" w:rsidRDefault="00DF3D68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269D0C48" w14:textId="77777777" w:rsidTr="00812887">
        <w:trPr>
          <w:cantSplit/>
        </w:trPr>
        <w:tc>
          <w:tcPr>
            <w:tcW w:w="3227" w:type="dxa"/>
          </w:tcPr>
          <w:p w14:paraId="220F39ED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3D2DF1AB" w14:textId="77777777" w:rsidR="00687890" w:rsidRPr="00DD2F9B" w:rsidRDefault="00DF3D68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739ACCCC" w14:textId="77777777" w:rsidTr="00812887">
        <w:trPr>
          <w:cantSplit/>
        </w:trPr>
        <w:tc>
          <w:tcPr>
            <w:tcW w:w="3227" w:type="dxa"/>
          </w:tcPr>
          <w:p w14:paraId="71ECF3DB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2A540043" w14:textId="77777777" w:rsidR="00E41A26" w:rsidRPr="00DD2F9B" w:rsidRDefault="00DF3D68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F65A0FA" w14:textId="77777777" w:rsidTr="00812887">
        <w:trPr>
          <w:cantSplit/>
        </w:trPr>
        <w:tc>
          <w:tcPr>
            <w:tcW w:w="3227" w:type="dxa"/>
          </w:tcPr>
          <w:p w14:paraId="14AFB2BC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33689D41" w14:textId="77777777" w:rsidR="002E0D61" w:rsidRPr="00DD2F9B" w:rsidRDefault="00DD00FE" w:rsidP="00DD2F9B">
            <w:pPr>
              <w:pStyle w:val="Tablefont"/>
            </w:pPr>
            <w:r>
              <w:t>Skin</w:t>
            </w:r>
          </w:p>
        </w:tc>
      </w:tr>
      <w:tr w:rsidR="002E0D61" w:rsidRPr="004C23F4" w14:paraId="0F362F4A" w14:textId="77777777" w:rsidTr="00812887">
        <w:trPr>
          <w:cantSplit/>
        </w:trPr>
        <w:tc>
          <w:tcPr>
            <w:tcW w:w="3227" w:type="dxa"/>
          </w:tcPr>
          <w:p w14:paraId="08DD72E9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328E1130" w14:textId="77777777" w:rsidR="002E0D61" w:rsidRPr="00DD2F9B" w:rsidRDefault="009B5C46" w:rsidP="00DD2F9B">
            <w:pPr>
              <w:pStyle w:val="Tablefont"/>
            </w:pPr>
            <w:r>
              <w:t>H (skin)</w:t>
            </w:r>
          </w:p>
        </w:tc>
      </w:tr>
      <w:tr w:rsidR="002E0D61" w:rsidRPr="004C23F4" w14:paraId="28F334A8" w14:textId="77777777" w:rsidTr="00812887">
        <w:trPr>
          <w:cantSplit/>
        </w:trPr>
        <w:tc>
          <w:tcPr>
            <w:tcW w:w="3227" w:type="dxa"/>
          </w:tcPr>
          <w:p w14:paraId="2CC0DCFC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7DEA84BD" w14:textId="77777777" w:rsidR="002E0D61" w:rsidRPr="00DD2F9B" w:rsidRDefault="00D96A61" w:rsidP="00DD2F9B">
            <w:pPr>
              <w:pStyle w:val="Tablefont"/>
            </w:pPr>
            <w:r>
              <w:t>Skin</w:t>
            </w:r>
          </w:p>
        </w:tc>
      </w:tr>
      <w:tr w:rsidR="002E0D61" w:rsidRPr="004C23F4" w14:paraId="550124A5" w14:textId="77777777" w:rsidTr="00812887">
        <w:trPr>
          <w:cantSplit/>
        </w:trPr>
        <w:tc>
          <w:tcPr>
            <w:tcW w:w="3227" w:type="dxa"/>
          </w:tcPr>
          <w:p w14:paraId="1537DD63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1B34D5F7" w14:textId="77777777" w:rsidR="002E0D61" w:rsidRPr="00DD2F9B" w:rsidRDefault="001C5119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D471E4B" w14:textId="77777777" w:rsidTr="00812887">
        <w:trPr>
          <w:cantSplit/>
        </w:trPr>
        <w:tc>
          <w:tcPr>
            <w:tcW w:w="3227" w:type="dxa"/>
          </w:tcPr>
          <w:p w14:paraId="27E7A57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CC35955" w14:textId="77777777" w:rsidR="00386093" w:rsidRPr="00DD2F9B" w:rsidRDefault="00B77384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826C2B6" w14:textId="77777777" w:rsidTr="00812887">
        <w:trPr>
          <w:cantSplit/>
        </w:trPr>
        <w:tc>
          <w:tcPr>
            <w:tcW w:w="3227" w:type="dxa"/>
          </w:tcPr>
          <w:p w14:paraId="5C620C5E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38816C5B" w14:textId="77777777" w:rsidR="00386093" w:rsidRPr="00DD2F9B" w:rsidRDefault="00666389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208B048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025FB724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06401D0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2D0192A8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31988113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572"/>
              <w:gridCol w:w="1061"/>
              <w:gridCol w:w="1061"/>
              <w:gridCol w:w="1558"/>
              <w:gridCol w:w="1558"/>
            </w:tblGrid>
            <w:tr w:rsidR="004B238D" w:rsidRPr="004B238D" w14:paraId="5A831B20" w14:textId="77777777" w:rsidTr="00275B3E">
              <w:trPr>
                <w:trHeight w:val="329"/>
              </w:trPr>
              <w:tc>
                <w:tcPr>
                  <w:tcW w:w="202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7A65DAF" w14:textId="77777777" w:rsidR="004B238D" w:rsidRPr="004B238D" w:rsidRDefault="004B238D" w:rsidP="004B238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B238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60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64C33E" w14:textId="77777777" w:rsidR="004B238D" w:rsidRPr="004B238D" w:rsidRDefault="004B238D" w:rsidP="004B238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B238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0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A2CBA1" w14:textId="77777777" w:rsidR="004B238D" w:rsidRPr="004B238D" w:rsidRDefault="004B238D" w:rsidP="004B238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B238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8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6AE2D7" w14:textId="77777777" w:rsidR="004B238D" w:rsidRPr="004B238D" w:rsidRDefault="004B238D" w:rsidP="004B238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B238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8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78D159D" w14:textId="77777777" w:rsidR="004B238D" w:rsidRPr="004B238D" w:rsidRDefault="004B238D" w:rsidP="004B238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B238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B238D" w:rsidRPr="004B238D" w14:paraId="7A6DCB93" w14:textId="77777777" w:rsidTr="00275B3E">
              <w:trPr>
                <w:trHeight w:val="329"/>
              </w:trPr>
              <w:tc>
                <w:tcPr>
                  <w:tcW w:w="202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B47476" w14:textId="77777777" w:rsidR="004B238D" w:rsidRPr="004B238D" w:rsidRDefault="004B238D" w:rsidP="004B238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B238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4B238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4B238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60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  <w:noWrap/>
                  <w:vAlign w:val="center"/>
                  <w:hideMark/>
                </w:tcPr>
                <w:p w14:paraId="0FE4CAE8" w14:textId="77777777" w:rsidR="004B238D" w:rsidRPr="004B238D" w:rsidRDefault="004B238D" w:rsidP="004B238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B238D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  <w:r w:rsidRPr="004B238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0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748D975" w14:textId="77777777" w:rsidR="004B238D" w:rsidRPr="004B238D" w:rsidRDefault="004B238D" w:rsidP="004B238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B238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8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0CB39AB" w14:textId="77777777" w:rsidR="004B238D" w:rsidRPr="004B238D" w:rsidRDefault="004B238D" w:rsidP="004B238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B238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8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7018A2" w14:textId="77777777" w:rsidR="004B238D" w:rsidRPr="004B238D" w:rsidRDefault="004B238D" w:rsidP="004B238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B238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B238D" w:rsidRPr="004B238D" w14:paraId="64037DDE" w14:textId="77777777" w:rsidTr="00275B3E">
              <w:trPr>
                <w:trHeight w:val="329"/>
              </w:trPr>
              <w:tc>
                <w:tcPr>
                  <w:tcW w:w="202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27C69A" w14:textId="77777777" w:rsidR="004B238D" w:rsidRPr="004B238D" w:rsidRDefault="004B238D" w:rsidP="004B238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B238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60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 w:themeFill="text2" w:themeFillTint="33"/>
                  <w:noWrap/>
                  <w:vAlign w:val="center"/>
                  <w:hideMark/>
                </w:tcPr>
                <w:p w14:paraId="4DFAFA0E" w14:textId="77777777" w:rsidR="004B238D" w:rsidRPr="004B238D" w:rsidRDefault="004B238D" w:rsidP="004B238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</w:p>
              </w:tc>
              <w:tc>
                <w:tcPr>
                  <w:tcW w:w="60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057CB72" w14:textId="77777777" w:rsidR="004B238D" w:rsidRPr="004B238D" w:rsidRDefault="004B238D" w:rsidP="004B238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B238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88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249E85" w14:textId="77777777" w:rsidR="004B238D" w:rsidRPr="004B238D" w:rsidRDefault="004B238D" w:rsidP="004B238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B238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8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E22072" w14:textId="77777777" w:rsidR="004B238D" w:rsidRPr="004B238D" w:rsidRDefault="004B238D" w:rsidP="004B238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B238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B238D" w:rsidRPr="004B238D" w14:paraId="05D401F7" w14:textId="77777777" w:rsidTr="00275B3E">
              <w:trPr>
                <w:trHeight w:val="329"/>
              </w:trPr>
              <w:tc>
                <w:tcPr>
                  <w:tcW w:w="202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00A049" w14:textId="77777777" w:rsidR="004B238D" w:rsidRPr="004B238D" w:rsidRDefault="004B238D" w:rsidP="004B238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B238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4B238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4B238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4B238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4B238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60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120D47" w14:textId="77777777" w:rsidR="004B238D" w:rsidRPr="004B238D" w:rsidRDefault="004B238D" w:rsidP="004B238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B238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0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9420E7" w14:textId="77777777" w:rsidR="004B238D" w:rsidRPr="004B238D" w:rsidRDefault="004B238D" w:rsidP="004B238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B238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8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BF1C07" w14:textId="77777777" w:rsidR="004B238D" w:rsidRPr="004B238D" w:rsidRDefault="004B238D" w:rsidP="004B238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B238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8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2A317C7" w14:textId="77777777" w:rsidR="004B238D" w:rsidRPr="004B238D" w:rsidRDefault="004B238D" w:rsidP="004B238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B238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B238D" w:rsidRPr="004B238D" w14:paraId="23658FE9" w14:textId="77777777" w:rsidTr="00275B3E">
              <w:trPr>
                <w:trHeight w:val="329"/>
              </w:trPr>
              <w:tc>
                <w:tcPr>
                  <w:tcW w:w="202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5C1DF3" w14:textId="77777777" w:rsidR="004B238D" w:rsidRPr="004B238D" w:rsidRDefault="004B238D" w:rsidP="004B238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4B238D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4B238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60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5F5B61D" w14:textId="77777777" w:rsidR="004B238D" w:rsidRPr="004B238D" w:rsidRDefault="004B238D" w:rsidP="004B238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B238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0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585146" w14:textId="77777777" w:rsidR="004B238D" w:rsidRPr="004B238D" w:rsidRDefault="004B238D" w:rsidP="004B238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B238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8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32C300" w14:textId="77777777" w:rsidR="004B238D" w:rsidRPr="004B238D" w:rsidRDefault="004B238D" w:rsidP="004B238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B238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8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F6F7EEF" w14:textId="77777777" w:rsidR="004B238D" w:rsidRPr="004B238D" w:rsidRDefault="004B238D" w:rsidP="004B238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B238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B238D" w:rsidRPr="004B238D" w14:paraId="09642956" w14:textId="77777777" w:rsidTr="00275B3E">
              <w:trPr>
                <w:trHeight w:val="329"/>
              </w:trPr>
              <w:tc>
                <w:tcPr>
                  <w:tcW w:w="202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4EA581" w14:textId="77777777" w:rsidR="004B238D" w:rsidRPr="004B238D" w:rsidRDefault="004B238D" w:rsidP="004B238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B238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60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63000C3" w14:textId="77777777" w:rsidR="004B238D" w:rsidRPr="004B238D" w:rsidRDefault="004B238D" w:rsidP="004B238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B238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0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99E379" w14:textId="77777777" w:rsidR="004B238D" w:rsidRPr="004B238D" w:rsidRDefault="004B238D" w:rsidP="004B238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B238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8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B8805B" w14:textId="77777777" w:rsidR="004B238D" w:rsidRPr="004B238D" w:rsidRDefault="004B238D" w:rsidP="004B238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B238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8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21165F" w14:textId="77777777" w:rsidR="004B238D" w:rsidRPr="004B238D" w:rsidRDefault="004B238D" w:rsidP="004B238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B238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B238D" w:rsidRPr="004B238D" w14:paraId="6CFA1220" w14:textId="77777777" w:rsidTr="00275B3E">
              <w:trPr>
                <w:trHeight w:val="329"/>
              </w:trPr>
              <w:tc>
                <w:tcPr>
                  <w:tcW w:w="202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926E27" w14:textId="77777777" w:rsidR="004B238D" w:rsidRPr="004B238D" w:rsidRDefault="004B238D" w:rsidP="004B238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B238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0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698CAED" w14:textId="77777777" w:rsidR="004B238D" w:rsidRPr="004B238D" w:rsidRDefault="004B238D" w:rsidP="004B238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B238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0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ADAA22" w14:textId="77777777" w:rsidR="004B238D" w:rsidRPr="004B238D" w:rsidRDefault="004B238D" w:rsidP="004B238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B238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1767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64B17D" w14:textId="77777777" w:rsidR="004B238D" w:rsidRPr="004B238D" w:rsidRDefault="004B238D" w:rsidP="004B238D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4B238D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consider assigning a skin notation</w:t>
                  </w:r>
                </w:p>
              </w:tc>
            </w:tr>
          </w:tbl>
          <w:p w14:paraId="5096506F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429C8C12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33872060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0AB66409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Content>
            <w:tc>
              <w:tcPr>
                <w:tcW w:w="4881" w:type="dxa"/>
                <w:vAlign w:val="center"/>
              </w:tcPr>
              <w:p w14:paraId="12286A6A" w14:textId="1D225C8C" w:rsidR="00EB3D1B" w:rsidRDefault="00BF4B28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61F1E1BC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102380C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76DC17E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Content>
            <w:tc>
              <w:tcPr>
                <w:tcW w:w="5165" w:type="dxa"/>
                <w:vAlign w:val="center"/>
              </w:tcPr>
              <w:p w14:paraId="68A4AA3B" w14:textId="77777777" w:rsidR="001B79E5" w:rsidRDefault="0001255F" w:rsidP="001B79E5">
                <w:pPr>
                  <w:pStyle w:val="Tablefont"/>
                </w:pPr>
                <w:r>
                  <w:t>65.11</w:t>
                </w:r>
              </w:p>
            </w:tc>
          </w:sdtContent>
        </w:sdt>
      </w:tr>
      <w:tr w:rsidR="00A31D99" w:rsidRPr="004C23F4" w14:paraId="7547907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D0F7ED3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16813128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42EA25C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57E0344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5E50200B" w14:textId="3E18BDFF" w:rsidR="00687890" w:rsidRPr="004C23F4" w:rsidRDefault="00AE0D94" w:rsidP="00717D45">
                <w:pPr>
                  <w:pStyle w:val="Tablefont"/>
                </w:pPr>
                <w:r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p>
            </w:tc>
          </w:sdtContent>
        </w:sdt>
      </w:tr>
      <w:tr w:rsidR="00687890" w:rsidRPr="004C23F4" w14:paraId="578DCACC" w14:textId="77777777" w:rsidTr="00EA6243">
        <w:trPr>
          <w:cantSplit/>
        </w:trPr>
        <w:tc>
          <w:tcPr>
            <w:tcW w:w="4077" w:type="dxa"/>
            <w:vAlign w:val="center"/>
          </w:tcPr>
          <w:p w14:paraId="2BB73C33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2F8D3743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C23506B" w14:textId="77777777" w:rsidTr="00EA6243">
        <w:trPr>
          <w:cantSplit/>
        </w:trPr>
        <w:tc>
          <w:tcPr>
            <w:tcW w:w="4077" w:type="dxa"/>
            <w:vAlign w:val="center"/>
          </w:tcPr>
          <w:p w14:paraId="75A9DC8E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107F3BBC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56295A01" w14:textId="77777777" w:rsidTr="00EA6243">
        <w:trPr>
          <w:cantSplit/>
        </w:trPr>
        <w:tc>
          <w:tcPr>
            <w:tcW w:w="4077" w:type="dxa"/>
            <w:vAlign w:val="center"/>
          </w:tcPr>
          <w:p w14:paraId="71D110C1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7C7CADED" w14:textId="77777777" w:rsidR="00E06F40" w:rsidRPr="00A006A0" w:rsidRDefault="0000000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0B6EAA6A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046AC188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F8C5404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57FD713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3F029F43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Content>
            <w:tc>
              <w:tcPr>
                <w:tcW w:w="4077" w:type="dxa"/>
                <w:vAlign w:val="center"/>
              </w:tcPr>
              <w:p w14:paraId="0E8F38C7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781F0E1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62A497AB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5F5B5C27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4EEB26A0" w14:textId="67563DE4" w:rsidR="00C01F09" w:rsidRDefault="00C01F09" w:rsidP="00BC796F">
      <w:r w:rsidRPr="002022B6">
        <w:t>Deutsche Forschungsgemeinschaft (DFG)</w:t>
      </w:r>
      <w:r>
        <w:t xml:space="preserve"> (</w:t>
      </w:r>
      <w:r w:rsidR="00BC796F">
        <w:t>20</w:t>
      </w:r>
      <w:r w:rsidR="00FC7DC1">
        <w:t>12</w:t>
      </w:r>
      <w:r>
        <w:t xml:space="preserve">) </w:t>
      </w:r>
      <w:r w:rsidR="00BC796F" w:rsidRPr="00BC796F">
        <w:t>Hydrogen cyanide, potassium cyanide and sodium cyanide</w:t>
      </w:r>
      <w:r>
        <w:t xml:space="preserve"> – MAK value documentation.</w:t>
      </w:r>
    </w:p>
    <w:p w14:paraId="2E359587" w14:textId="4A8AAA51" w:rsidR="00C01F09" w:rsidRDefault="00C01F09" w:rsidP="00084859">
      <w:r w:rsidRPr="002022B6">
        <w:t>EU Scientific Committee on Occupational Exposure Limits (SCOEL)</w:t>
      </w:r>
      <w:r>
        <w:t xml:space="preserve"> (</w:t>
      </w:r>
      <w:r w:rsidR="005159FD">
        <w:t>2010</w:t>
      </w:r>
      <w:r>
        <w:t xml:space="preserve">) Recommendation from the Scientific Committee on Occupational Exposure Limits for </w:t>
      </w:r>
      <w:r w:rsidR="00D616DE">
        <w:t>c</w:t>
      </w:r>
      <w:r w:rsidR="00CE0B77" w:rsidRPr="00CE0B77">
        <w:t>yanide (HCN, KCN, NaCN)</w:t>
      </w:r>
      <w:r>
        <w:t>. SCOEL/</w:t>
      </w:r>
      <w:r w:rsidR="00CE0B77">
        <w:t>SUM/115</w:t>
      </w:r>
      <w:r>
        <w:t>.</w:t>
      </w:r>
    </w:p>
    <w:p w14:paraId="2CE31207" w14:textId="77777777" w:rsidR="005030A0" w:rsidRDefault="005030A0" w:rsidP="005030A0">
      <w:r w:rsidRPr="002528C8">
        <w:t>Health Council</w:t>
      </w:r>
      <w:r>
        <w:t xml:space="preserve"> of the Netherlands (HCOTN) (200</w:t>
      </w:r>
      <w:r w:rsidRPr="002528C8">
        <w:t xml:space="preserve">2) </w:t>
      </w:r>
      <w:r>
        <w:t>Hydrogen cyanide, sodium cyanide, and potassium cyanide</w:t>
      </w:r>
      <w:r w:rsidRPr="002528C8">
        <w:t xml:space="preserve">. Health-based </w:t>
      </w:r>
      <w:r>
        <w:t>recommended</w:t>
      </w:r>
      <w:r w:rsidRPr="002528C8">
        <w:t xml:space="preserve"> occupational cancer risk values. The Hague: Health Council of the Netherlands; publication no. 2012/32.</w:t>
      </w:r>
    </w:p>
    <w:p w14:paraId="58B627DF" w14:textId="70AD442F" w:rsidR="009B5C46" w:rsidRDefault="009B5C46" w:rsidP="00084859">
      <w:r w:rsidRPr="002022B6">
        <w:t>Health Council of the Netherlands</w:t>
      </w:r>
      <w:r>
        <w:t xml:space="preserve"> (HCOTN) (</w:t>
      </w:r>
      <w:r w:rsidR="00FB625D">
        <w:t>2012</w:t>
      </w:r>
      <w:r>
        <w:t xml:space="preserve">) </w:t>
      </w:r>
      <w:r w:rsidR="001939BE" w:rsidRPr="001939BE">
        <w:t>Potassium cyanide</w:t>
      </w:r>
      <w:r w:rsidRPr="005F7416">
        <w:t xml:space="preserve">. </w:t>
      </w:r>
      <w:r w:rsidR="007E501E">
        <w:rPr>
          <w:rFonts w:cs="Arial"/>
          <w:szCs w:val="20"/>
          <w:lang w:val="en-US"/>
        </w:rPr>
        <w:t>Evaluation of the carcinogenicity and genotoxicity</w:t>
      </w:r>
      <w:r w:rsidRPr="005F7416">
        <w:t xml:space="preserve">. The Hague: Health Council of the Netherlands; publication no. </w:t>
      </w:r>
      <w:r w:rsidR="007E501E">
        <w:t>2012/03</w:t>
      </w:r>
      <w:r>
        <w:t>.</w:t>
      </w:r>
    </w:p>
    <w:p w14:paraId="077258C3" w14:textId="2C1C8E29" w:rsidR="005030A0" w:rsidRDefault="005030A0" w:rsidP="005030A0">
      <w:r w:rsidRPr="00F037D8">
        <w:t xml:space="preserve">US Environmental </w:t>
      </w:r>
      <w:r>
        <w:t>Protection Agency (US EPA) (2010</w:t>
      </w:r>
      <w:r w:rsidRPr="00F037D8">
        <w:t xml:space="preserve">) </w:t>
      </w:r>
      <w:r>
        <w:t>Toxicological Review of Hydrogen Cyanide and Cyanide Salts</w:t>
      </w:r>
      <w:r w:rsidRPr="00F037D8">
        <w:t>.</w:t>
      </w:r>
      <w:r>
        <w:t xml:space="preserve"> </w:t>
      </w:r>
      <w:r w:rsidRPr="00F037D8">
        <w:t>EPA/635/R-08/016F</w:t>
      </w:r>
      <w:r>
        <w:t>.</w:t>
      </w:r>
    </w:p>
    <w:p w14:paraId="6E0C41A7" w14:textId="15E03F3E" w:rsidR="00BF4B28" w:rsidRDefault="00BF4B28" w:rsidP="00BF4B28">
      <w:r>
        <w:t xml:space="preserve">US National Institute for Occupational Safety and Health (NIOSH) (1994) Immediately dangerous to life or health concentrations – cyanides. </w:t>
      </w:r>
    </w:p>
    <w:p w14:paraId="5E8692C9" w14:textId="77777777" w:rsidR="00BF4B28" w:rsidRDefault="00BF4B28" w:rsidP="005030A0"/>
    <w:p w14:paraId="421DBD07" w14:textId="77777777" w:rsidR="005030A0" w:rsidRPr="00351FE0" w:rsidRDefault="005030A0" w:rsidP="00084859"/>
    <w:sectPr w:rsidR="005030A0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C46B66" w14:textId="77777777" w:rsidR="00FF4E39" w:rsidRDefault="00FF4E39" w:rsidP="00F43AD5">
      <w:pPr>
        <w:spacing w:after="0" w:line="240" w:lineRule="auto"/>
      </w:pPr>
      <w:r>
        <w:separator/>
      </w:r>
    </w:p>
  </w:endnote>
  <w:endnote w:type="continuationSeparator" w:id="0">
    <w:p w14:paraId="75536A57" w14:textId="77777777" w:rsidR="00FF4E39" w:rsidRDefault="00FF4E39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03EAA9" w14:textId="77777777" w:rsidR="00972846" w:rsidRDefault="009728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A3F2BC2" w14:textId="2C827314" w:rsidR="008A36CF" w:rsidRDefault="0093483F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Cyanides (as CN</w:t>
        </w:r>
        <w:r w:rsidR="007D5111">
          <w:rPr>
            <w:b/>
            <w:sz w:val="18"/>
            <w:szCs w:val="18"/>
          </w:rPr>
          <w:t>, inorganic salts</w:t>
        </w:r>
        <w:r>
          <w:rPr>
            <w:b/>
            <w:sz w:val="18"/>
            <w:szCs w:val="18"/>
          </w:rPr>
          <w:t>)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151-50-8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747E87F1" w14:textId="6D5F8CDA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972846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3FB380" w14:textId="77777777" w:rsidR="00972846" w:rsidRDefault="009728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30469" w14:textId="77777777" w:rsidR="00FF4E39" w:rsidRDefault="00FF4E39" w:rsidP="00F43AD5">
      <w:pPr>
        <w:spacing w:after="0" w:line="240" w:lineRule="auto"/>
      </w:pPr>
      <w:r>
        <w:separator/>
      </w:r>
    </w:p>
  </w:footnote>
  <w:footnote w:type="continuationSeparator" w:id="0">
    <w:p w14:paraId="4AC8AE98" w14:textId="77777777" w:rsidR="00FF4E39" w:rsidRDefault="00FF4E39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60468" w14:textId="60E1A7DB" w:rsidR="00972846" w:rsidRDefault="009728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839A0" w14:textId="4BF16682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3032F868" wp14:editId="2E70839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76F67" w14:textId="691B8C48" w:rsidR="00972846" w:rsidRDefault="0097284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F1CB0" w14:textId="34579F74" w:rsidR="00972846" w:rsidRDefault="00972846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91F77" w14:textId="208CF730" w:rsidR="008A36CF" w:rsidRDefault="008A36CF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554A2" w14:textId="06F65CED" w:rsidR="00972846" w:rsidRDefault="009728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7BC14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791C066F"/>
    <w:multiLevelType w:val="hybridMultilevel"/>
    <w:tmpl w:val="FF3C6684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45174553">
    <w:abstractNumId w:val="0"/>
  </w:num>
  <w:num w:numId="2" w16cid:durableId="1333146328">
    <w:abstractNumId w:val="1"/>
  </w:num>
  <w:num w:numId="3" w16cid:durableId="305475205">
    <w:abstractNumId w:val="0"/>
  </w:num>
  <w:num w:numId="4" w16cid:durableId="1683774585">
    <w:abstractNumId w:val="0"/>
  </w:num>
  <w:num w:numId="5" w16cid:durableId="383675111">
    <w:abstractNumId w:val="0"/>
  </w:num>
  <w:num w:numId="6" w16cid:durableId="276066026">
    <w:abstractNumId w:val="0"/>
  </w:num>
  <w:num w:numId="7" w16cid:durableId="222108432">
    <w:abstractNumId w:val="0"/>
  </w:num>
  <w:num w:numId="8" w16cid:durableId="319895438">
    <w:abstractNumId w:val="0"/>
  </w:num>
  <w:num w:numId="9" w16cid:durableId="2004821594">
    <w:abstractNumId w:val="0"/>
  </w:num>
  <w:num w:numId="10" w16cid:durableId="488519482">
    <w:abstractNumId w:val="0"/>
  </w:num>
  <w:num w:numId="11" w16cid:durableId="1796832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2AC6"/>
    <w:rsid w:val="00007B80"/>
    <w:rsid w:val="0001255F"/>
    <w:rsid w:val="00013A22"/>
    <w:rsid w:val="00014C3F"/>
    <w:rsid w:val="00017C82"/>
    <w:rsid w:val="00032B88"/>
    <w:rsid w:val="00034045"/>
    <w:rsid w:val="00046DF5"/>
    <w:rsid w:val="00051A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15B0"/>
    <w:rsid w:val="000B3E12"/>
    <w:rsid w:val="000B3E78"/>
    <w:rsid w:val="000B7B48"/>
    <w:rsid w:val="000C096D"/>
    <w:rsid w:val="000C139A"/>
    <w:rsid w:val="000C2053"/>
    <w:rsid w:val="000C248C"/>
    <w:rsid w:val="000C63B8"/>
    <w:rsid w:val="000D291C"/>
    <w:rsid w:val="000D4B24"/>
    <w:rsid w:val="000D6C7F"/>
    <w:rsid w:val="000E5A54"/>
    <w:rsid w:val="000E63D3"/>
    <w:rsid w:val="000E67CF"/>
    <w:rsid w:val="000F33B2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63D"/>
    <w:rsid w:val="00160F47"/>
    <w:rsid w:val="0017447F"/>
    <w:rsid w:val="00177CA1"/>
    <w:rsid w:val="00183823"/>
    <w:rsid w:val="00183942"/>
    <w:rsid w:val="001939BE"/>
    <w:rsid w:val="001A009E"/>
    <w:rsid w:val="001A1287"/>
    <w:rsid w:val="001A3859"/>
    <w:rsid w:val="001A3C9D"/>
    <w:rsid w:val="001A43F8"/>
    <w:rsid w:val="001B79E5"/>
    <w:rsid w:val="001C5119"/>
    <w:rsid w:val="001D027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0F80"/>
    <w:rsid w:val="002046A6"/>
    <w:rsid w:val="00204956"/>
    <w:rsid w:val="00211437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5B3E"/>
    <w:rsid w:val="00276494"/>
    <w:rsid w:val="00277B0C"/>
    <w:rsid w:val="002931A5"/>
    <w:rsid w:val="00293838"/>
    <w:rsid w:val="002B1A2C"/>
    <w:rsid w:val="002B68F9"/>
    <w:rsid w:val="002C34F2"/>
    <w:rsid w:val="002C58FF"/>
    <w:rsid w:val="002C7AFE"/>
    <w:rsid w:val="002D05D2"/>
    <w:rsid w:val="002D41FD"/>
    <w:rsid w:val="002E0D61"/>
    <w:rsid w:val="002E4C7B"/>
    <w:rsid w:val="002E4FDA"/>
    <w:rsid w:val="002F0698"/>
    <w:rsid w:val="0030740C"/>
    <w:rsid w:val="00315833"/>
    <w:rsid w:val="003215EE"/>
    <w:rsid w:val="003224BF"/>
    <w:rsid w:val="003241A8"/>
    <w:rsid w:val="00324263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1291"/>
    <w:rsid w:val="00362895"/>
    <w:rsid w:val="00363003"/>
    <w:rsid w:val="00370DBF"/>
    <w:rsid w:val="0037360F"/>
    <w:rsid w:val="0038195E"/>
    <w:rsid w:val="00386093"/>
    <w:rsid w:val="003904A4"/>
    <w:rsid w:val="00391841"/>
    <w:rsid w:val="00391B6D"/>
    <w:rsid w:val="00394922"/>
    <w:rsid w:val="003A0E32"/>
    <w:rsid w:val="003A2B94"/>
    <w:rsid w:val="003A2C57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5790A"/>
    <w:rsid w:val="00460A03"/>
    <w:rsid w:val="00470CC4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24B2"/>
    <w:rsid w:val="004A5088"/>
    <w:rsid w:val="004A70B6"/>
    <w:rsid w:val="004B238D"/>
    <w:rsid w:val="004C1E3F"/>
    <w:rsid w:val="004C23F4"/>
    <w:rsid w:val="004C3475"/>
    <w:rsid w:val="004C58B6"/>
    <w:rsid w:val="004D16A3"/>
    <w:rsid w:val="004D4AA1"/>
    <w:rsid w:val="004D6D68"/>
    <w:rsid w:val="004E304E"/>
    <w:rsid w:val="004E5EDD"/>
    <w:rsid w:val="004F0E5E"/>
    <w:rsid w:val="004F448A"/>
    <w:rsid w:val="004F493D"/>
    <w:rsid w:val="004F65E8"/>
    <w:rsid w:val="0050005E"/>
    <w:rsid w:val="00502B88"/>
    <w:rsid w:val="005030A0"/>
    <w:rsid w:val="00505E31"/>
    <w:rsid w:val="005142C4"/>
    <w:rsid w:val="0051509C"/>
    <w:rsid w:val="005159FD"/>
    <w:rsid w:val="00516304"/>
    <w:rsid w:val="005272E2"/>
    <w:rsid w:val="0053108F"/>
    <w:rsid w:val="00532B56"/>
    <w:rsid w:val="00534B10"/>
    <w:rsid w:val="005446A2"/>
    <w:rsid w:val="00544D2F"/>
    <w:rsid w:val="00551BD8"/>
    <w:rsid w:val="00553E6C"/>
    <w:rsid w:val="00567E53"/>
    <w:rsid w:val="00576244"/>
    <w:rsid w:val="00581055"/>
    <w:rsid w:val="00591E38"/>
    <w:rsid w:val="005959CA"/>
    <w:rsid w:val="005A19C5"/>
    <w:rsid w:val="005A3034"/>
    <w:rsid w:val="005A462D"/>
    <w:rsid w:val="005B253B"/>
    <w:rsid w:val="005B423A"/>
    <w:rsid w:val="005B771D"/>
    <w:rsid w:val="005C429E"/>
    <w:rsid w:val="005C5D16"/>
    <w:rsid w:val="005D3193"/>
    <w:rsid w:val="005D4A6E"/>
    <w:rsid w:val="005E4A21"/>
    <w:rsid w:val="005E6979"/>
    <w:rsid w:val="005E75CB"/>
    <w:rsid w:val="005F069B"/>
    <w:rsid w:val="006013C1"/>
    <w:rsid w:val="0060669E"/>
    <w:rsid w:val="00610F2E"/>
    <w:rsid w:val="00611399"/>
    <w:rsid w:val="006130B9"/>
    <w:rsid w:val="00614B5B"/>
    <w:rsid w:val="006201EF"/>
    <w:rsid w:val="006205AE"/>
    <w:rsid w:val="00624C4E"/>
    <w:rsid w:val="00625200"/>
    <w:rsid w:val="006363A8"/>
    <w:rsid w:val="00636DB7"/>
    <w:rsid w:val="00642C77"/>
    <w:rsid w:val="00645446"/>
    <w:rsid w:val="00647CD3"/>
    <w:rsid w:val="00650905"/>
    <w:rsid w:val="006532ED"/>
    <w:rsid w:val="006549F2"/>
    <w:rsid w:val="006567B7"/>
    <w:rsid w:val="00657BFB"/>
    <w:rsid w:val="00661A58"/>
    <w:rsid w:val="0066333C"/>
    <w:rsid w:val="006639B4"/>
    <w:rsid w:val="006650FE"/>
    <w:rsid w:val="00666389"/>
    <w:rsid w:val="006668DC"/>
    <w:rsid w:val="00667716"/>
    <w:rsid w:val="0067305D"/>
    <w:rsid w:val="006758A2"/>
    <w:rsid w:val="006762E2"/>
    <w:rsid w:val="00677D9B"/>
    <w:rsid w:val="006867F3"/>
    <w:rsid w:val="00687890"/>
    <w:rsid w:val="006901A2"/>
    <w:rsid w:val="00690368"/>
    <w:rsid w:val="0069079C"/>
    <w:rsid w:val="00690B53"/>
    <w:rsid w:val="006940E8"/>
    <w:rsid w:val="00695B72"/>
    <w:rsid w:val="006A4AC4"/>
    <w:rsid w:val="006B160A"/>
    <w:rsid w:val="006B208B"/>
    <w:rsid w:val="006B4E6C"/>
    <w:rsid w:val="006B50B6"/>
    <w:rsid w:val="006D79EA"/>
    <w:rsid w:val="006E229F"/>
    <w:rsid w:val="006E5D05"/>
    <w:rsid w:val="00701053"/>
    <w:rsid w:val="00701507"/>
    <w:rsid w:val="00714021"/>
    <w:rsid w:val="00714F04"/>
    <w:rsid w:val="00716A0F"/>
    <w:rsid w:val="00717D45"/>
    <w:rsid w:val="007208F7"/>
    <w:rsid w:val="007218AF"/>
    <w:rsid w:val="007365D1"/>
    <w:rsid w:val="0074061F"/>
    <w:rsid w:val="00740E0E"/>
    <w:rsid w:val="00747C97"/>
    <w:rsid w:val="00750212"/>
    <w:rsid w:val="00754779"/>
    <w:rsid w:val="0075716D"/>
    <w:rsid w:val="007658A9"/>
    <w:rsid w:val="00765F14"/>
    <w:rsid w:val="00770E31"/>
    <w:rsid w:val="007770F1"/>
    <w:rsid w:val="00783565"/>
    <w:rsid w:val="00783FB1"/>
    <w:rsid w:val="00785CDD"/>
    <w:rsid w:val="00791847"/>
    <w:rsid w:val="007925F0"/>
    <w:rsid w:val="007925F7"/>
    <w:rsid w:val="007939B3"/>
    <w:rsid w:val="0079509C"/>
    <w:rsid w:val="00796708"/>
    <w:rsid w:val="007B1B42"/>
    <w:rsid w:val="007C30EB"/>
    <w:rsid w:val="007D5111"/>
    <w:rsid w:val="007E063C"/>
    <w:rsid w:val="007E2A4B"/>
    <w:rsid w:val="007E307D"/>
    <w:rsid w:val="007E501E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BA9"/>
    <w:rsid w:val="00835E00"/>
    <w:rsid w:val="00837113"/>
    <w:rsid w:val="008414E4"/>
    <w:rsid w:val="00843E21"/>
    <w:rsid w:val="008440D4"/>
    <w:rsid w:val="0084508E"/>
    <w:rsid w:val="00857A8A"/>
    <w:rsid w:val="00861D8F"/>
    <w:rsid w:val="008630EE"/>
    <w:rsid w:val="00864D13"/>
    <w:rsid w:val="00871CD5"/>
    <w:rsid w:val="008745A2"/>
    <w:rsid w:val="008768A8"/>
    <w:rsid w:val="0088798F"/>
    <w:rsid w:val="00887E4B"/>
    <w:rsid w:val="008915C8"/>
    <w:rsid w:val="00891CED"/>
    <w:rsid w:val="008A36CF"/>
    <w:rsid w:val="008A3BC4"/>
    <w:rsid w:val="008B3131"/>
    <w:rsid w:val="008B403C"/>
    <w:rsid w:val="008B6CB2"/>
    <w:rsid w:val="008B7582"/>
    <w:rsid w:val="008B7983"/>
    <w:rsid w:val="008C2511"/>
    <w:rsid w:val="008D026D"/>
    <w:rsid w:val="008D23AB"/>
    <w:rsid w:val="008D4B8B"/>
    <w:rsid w:val="008D529A"/>
    <w:rsid w:val="008D5A78"/>
    <w:rsid w:val="008D6E05"/>
    <w:rsid w:val="008E1FB5"/>
    <w:rsid w:val="008E7B64"/>
    <w:rsid w:val="008F5DCD"/>
    <w:rsid w:val="008F71BD"/>
    <w:rsid w:val="00900951"/>
    <w:rsid w:val="009118A6"/>
    <w:rsid w:val="00916909"/>
    <w:rsid w:val="00916E30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483F"/>
    <w:rsid w:val="00936CC6"/>
    <w:rsid w:val="0093760E"/>
    <w:rsid w:val="00943B01"/>
    <w:rsid w:val="00946044"/>
    <w:rsid w:val="0094660B"/>
    <w:rsid w:val="00946A33"/>
    <w:rsid w:val="0095260E"/>
    <w:rsid w:val="009578DD"/>
    <w:rsid w:val="00961124"/>
    <w:rsid w:val="009621B6"/>
    <w:rsid w:val="00972846"/>
    <w:rsid w:val="00974F2D"/>
    <w:rsid w:val="00977524"/>
    <w:rsid w:val="00977E88"/>
    <w:rsid w:val="00984920"/>
    <w:rsid w:val="0099247F"/>
    <w:rsid w:val="0099303A"/>
    <w:rsid w:val="009971C2"/>
    <w:rsid w:val="009A1254"/>
    <w:rsid w:val="009B2FF2"/>
    <w:rsid w:val="009B380C"/>
    <w:rsid w:val="009B3AE9"/>
    <w:rsid w:val="009B4843"/>
    <w:rsid w:val="009B5C46"/>
    <w:rsid w:val="009B6543"/>
    <w:rsid w:val="009C199D"/>
    <w:rsid w:val="009C278F"/>
    <w:rsid w:val="009C2B94"/>
    <w:rsid w:val="009C5874"/>
    <w:rsid w:val="009D11C9"/>
    <w:rsid w:val="009D37E7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01B9"/>
    <w:rsid w:val="00A00981"/>
    <w:rsid w:val="00A01D0C"/>
    <w:rsid w:val="00A0643F"/>
    <w:rsid w:val="00A067EE"/>
    <w:rsid w:val="00A10FCE"/>
    <w:rsid w:val="00A12215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704CE"/>
    <w:rsid w:val="00A74035"/>
    <w:rsid w:val="00A84504"/>
    <w:rsid w:val="00A845CB"/>
    <w:rsid w:val="00A8672F"/>
    <w:rsid w:val="00A93057"/>
    <w:rsid w:val="00A968B0"/>
    <w:rsid w:val="00AA37BC"/>
    <w:rsid w:val="00AB2672"/>
    <w:rsid w:val="00AB2817"/>
    <w:rsid w:val="00AB43C4"/>
    <w:rsid w:val="00AC32E7"/>
    <w:rsid w:val="00AC3A9F"/>
    <w:rsid w:val="00AC6D2F"/>
    <w:rsid w:val="00AC7DD2"/>
    <w:rsid w:val="00AE056F"/>
    <w:rsid w:val="00AE0D94"/>
    <w:rsid w:val="00AE2745"/>
    <w:rsid w:val="00AE2F64"/>
    <w:rsid w:val="00AF0E31"/>
    <w:rsid w:val="00AF42CB"/>
    <w:rsid w:val="00AF483F"/>
    <w:rsid w:val="00AF5E07"/>
    <w:rsid w:val="00AF5F06"/>
    <w:rsid w:val="00B004A9"/>
    <w:rsid w:val="00B00A25"/>
    <w:rsid w:val="00B1422A"/>
    <w:rsid w:val="00B1765C"/>
    <w:rsid w:val="00B213C4"/>
    <w:rsid w:val="00B21CF2"/>
    <w:rsid w:val="00B40C60"/>
    <w:rsid w:val="00B479A9"/>
    <w:rsid w:val="00B52EDF"/>
    <w:rsid w:val="00B71188"/>
    <w:rsid w:val="00B758F2"/>
    <w:rsid w:val="00B76A41"/>
    <w:rsid w:val="00B77384"/>
    <w:rsid w:val="00B87D4C"/>
    <w:rsid w:val="00B93646"/>
    <w:rsid w:val="00BA0B38"/>
    <w:rsid w:val="00BA1485"/>
    <w:rsid w:val="00BA1DBB"/>
    <w:rsid w:val="00BA4510"/>
    <w:rsid w:val="00BA529A"/>
    <w:rsid w:val="00BB1A18"/>
    <w:rsid w:val="00BB612A"/>
    <w:rsid w:val="00BC796F"/>
    <w:rsid w:val="00BC7F1E"/>
    <w:rsid w:val="00BD1029"/>
    <w:rsid w:val="00BD103A"/>
    <w:rsid w:val="00BD2794"/>
    <w:rsid w:val="00BD3403"/>
    <w:rsid w:val="00BD499F"/>
    <w:rsid w:val="00BD4C1D"/>
    <w:rsid w:val="00BD56DE"/>
    <w:rsid w:val="00BF2406"/>
    <w:rsid w:val="00BF43C5"/>
    <w:rsid w:val="00BF4B28"/>
    <w:rsid w:val="00C01F09"/>
    <w:rsid w:val="00C06E43"/>
    <w:rsid w:val="00C16315"/>
    <w:rsid w:val="00C171E0"/>
    <w:rsid w:val="00C22010"/>
    <w:rsid w:val="00C3091E"/>
    <w:rsid w:val="00C40FF1"/>
    <w:rsid w:val="00C419E2"/>
    <w:rsid w:val="00C5020E"/>
    <w:rsid w:val="00C57452"/>
    <w:rsid w:val="00C61EDF"/>
    <w:rsid w:val="00C6239D"/>
    <w:rsid w:val="00C62CC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0138"/>
    <w:rsid w:val="00CC1A68"/>
    <w:rsid w:val="00CC2123"/>
    <w:rsid w:val="00CD2BFD"/>
    <w:rsid w:val="00CD6478"/>
    <w:rsid w:val="00CE0B77"/>
    <w:rsid w:val="00CE5AD6"/>
    <w:rsid w:val="00CE617F"/>
    <w:rsid w:val="00CE78EF"/>
    <w:rsid w:val="00D048F7"/>
    <w:rsid w:val="00D0517E"/>
    <w:rsid w:val="00D104DC"/>
    <w:rsid w:val="00D140FC"/>
    <w:rsid w:val="00D21D8C"/>
    <w:rsid w:val="00D31357"/>
    <w:rsid w:val="00D33220"/>
    <w:rsid w:val="00D334D1"/>
    <w:rsid w:val="00D400B2"/>
    <w:rsid w:val="00D4288A"/>
    <w:rsid w:val="00D44C89"/>
    <w:rsid w:val="00D516CD"/>
    <w:rsid w:val="00D616DE"/>
    <w:rsid w:val="00D668E6"/>
    <w:rsid w:val="00D70670"/>
    <w:rsid w:val="00D71E15"/>
    <w:rsid w:val="00D74D80"/>
    <w:rsid w:val="00D76624"/>
    <w:rsid w:val="00D87570"/>
    <w:rsid w:val="00D91CB9"/>
    <w:rsid w:val="00D96A61"/>
    <w:rsid w:val="00D97989"/>
    <w:rsid w:val="00D97D8D"/>
    <w:rsid w:val="00DA352E"/>
    <w:rsid w:val="00DB519B"/>
    <w:rsid w:val="00DC7694"/>
    <w:rsid w:val="00DD00FE"/>
    <w:rsid w:val="00DD1BF6"/>
    <w:rsid w:val="00DD2F9B"/>
    <w:rsid w:val="00DE2513"/>
    <w:rsid w:val="00DE26E8"/>
    <w:rsid w:val="00DF3D68"/>
    <w:rsid w:val="00DF6F36"/>
    <w:rsid w:val="00E0084C"/>
    <w:rsid w:val="00E025AB"/>
    <w:rsid w:val="00E02B23"/>
    <w:rsid w:val="00E0380C"/>
    <w:rsid w:val="00E06F40"/>
    <w:rsid w:val="00E07CE8"/>
    <w:rsid w:val="00E12E4F"/>
    <w:rsid w:val="00E21B02"/>
    <w:rsid w:val="00E26A07"/>
    <w:rsid w:val="00E32595"/>
    <w:rsid w:val="00E37CFD"/>
    <w:rsid w:val="00E41A26"/>
    <w:rsid w:val="00E4497D"/>
    <w:rsid w:val="00E46BCB"/>
    <w:rsid w:val="00E51CAF"/>
    <w:rsid w:val="00E60F04"/>
    <w:rsid w:val="00E62AAC"/>
    <w:rsid w:val="00E652D0"/>
    <w:rsid w:val="00E67C2F"/>
    <w:rsid w:val="00E67EF5"/>
    <w:rsid w:val="00E7723B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B5CD8"/>
    <w:rsid w:val="00ED1D89"/>
    <w:rsid w:val="00ED66BC"/>
    <w:rsid w:val="00EF052D"/>
    <w:rsid w:val="00EF233A"/>
    <w:rsid w:val="00EF303E"/>
    <w:rsid w:val="00EF3A40"/>
    <w:rsid w:val="00EF7F78"/>
    <w:rsid w:val="00F01B08"/>
    <w:rsid w:val="00F01C4D"/>
    <w:rsid w:val="00F053FA"/>
    <w:rsid w:val="00F10C97"/>
    <w:rsid w:val="00F111CF"/>
    <w:rsid w:val="00F11C71"/>
    <w:rsid w:val="00F16019"/>
    <w:rsid w:val="00F209F0"/>
    <w:rsid w:val="00F20E68"/>
    <w:rsid w:val="00F21DC4"/>
    <w:rsid w:val="00F22093"/>
    <w:rsid w:val="00F236DF"/>
    <w:rsid w:val="00F34E92"/>
    <w:rsid w:val="00F43AD5"/>
    <w:rsid w:val="00F4402E"/>
    <w:rsid w:val="00F56DD0"/>
    <w:rsid w:val="00F6480A"/>
    <w:rsid w:val="00F6491C"/>
    <w:rsid w:val="00F67BBB"/>
    <w:rsid w:val="00F7546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625D"/>
    <w:rsid w:val="00FB755A"/>
    <w:rsid w:val="00FC11D4"/>
    <w:rsid w:val="00FC60A2"/>
    <w:rsid w:val="00FC7DC1"/>
    <w:rsid w:val="00FD1871"/>
    <w:rsid w:val="00FD282B"/>
    <w:rsid w:val="00FD3110"/>
    <w:rsid w:val="00FD6590"/>
    <w:rsid w:val="00FE1570"/>
    <w:rsid w:val="00FE2D0F"/>
    <w:rsid w:val="00FF4E39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449C28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A001B9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B62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625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625D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62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625D"/>
    <w:rPr>
      <w:b/>
      <w:bCs/>
      <w:szCs w:val="20"/>
    </w:rPr>
  </w:style>
  <w:style w:type="paragraph" w:styleId="Revision">
    <w:name w:val="Revision"/>
    <w:hidden/>
    <w:uiPriority w:val="99"/>
    <w:semiHidden/>
    <w:rsid w:val="00FB62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0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333459"/>
    <w:rsid w:val="003A32C1"/>
    <w:rsid w:val="00602F0F"/>
    <w:rsid w:val="00635BE3"/>
    <w:rsid w:val="009E7CFE"/>
    <w:rsid w:val="00B239D0"/>
    <w:rsid w:val="00BC6A1E"/>
    <w:rsid w:val="00D21A9F"/>
    <w:rsid w:val="00EB0B93"/>
    <w:rsid w:val="00EF0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239D0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FFDE270CB50461B826B0194984892C5">
    <w:name w:val="CFFDE270CB50461B826B0194984892C5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1370BC-0770-48C9-9FB6-77687D7112D0}"/>
</file>

<file path=customXml/itemProps3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BC49203-A00A-42EA-8A6C-3EE0300ED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1189</TotalTime>
  <Pages>6</Pages>
  <Words>1345</Words>
  <Characters>7670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8998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34</cp:revision>
  <cp:lastPrinted>2018-10-22T22:41:00Z</cp:lastPrinted>
  <dcterms:created xsi:type="dcterms:W3CDTF">2019-08-11T19:26:00Z</dcterms:created>
  <dcterms:modified xsi:type="dcterms:W3CDTF">2025-12-19T00:43:00Z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2025-12-19T00:43:03Z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5c83b905-0559-4b17-8d84-5ee4094e44f9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