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170E7D3" w14:textId="535E0C8B" w:rsidR="00BD499F" w:rsidRPr="004C23F4" w:rsidRDefault="005128A7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7108D6">
            <w:rPr>
              <w:rFonts w:ascii="Arial" w:hAnsi="Arial" w:cs="Arial"/>
            </w:rPr>
            <w:t>umene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581415F5" w14:textId="77777777" w:rsidTr="00B76A41">
        <w:trPr>
          <w:cantSplit/>
          <w:tblHeader/>
        </w:trPr>
        <w:tc>
          <w:tcPr>
            <w:tcW w:w="4077" w:type="dxa"/>
          </w:tcPr>
          <w:p w14:paraId="137A7CB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D105EDC" w14:textId="77777777" w:rsidR="00F43AD5" w:rsidRPr="00717D45" w:rsidRDefault="007108D6" w:rsidP="00B76A41">
            <w:pPr>
              <w:pStyle w:val="Tablefont"/>
            </w:pPr>
            <w:r>
              <w:t>98-82-8</w:t>
            </w:r>
          </w:p>
        </w:tc>
      </w:tr>
      <w:tr w:rsidR="00F43AD5" w:rsidRPr="004C23F4" w14:paraId="32FCAC20" w14:textId="77777777" w:rsidTr="00B76A41">
        <w:trPr>
          <w:cantSplit/>
        </w:trPr>
        <w:tc>
          <w:tcPr>
            <w:tcW w:w="4077" w:type="dxa"/>
          </w:tcPr>
          <w:p w14:paraId="159B316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DC2BDEA" w14:textId="127273A4" w:rsidR="00F43AD5" w:rsidRPr="00717D45" w:rsidRDefault="00796037" w:rsidP="00B044BC">
            <w:pPr>
              <w:pStyle w:val="Tablefont"/>
            </w:pPr>
            <w:r>
              <w:t>Cumol, isopropylbenzene, 2-phenylpropane</w:t>
            </w:r>
            <w:r w:rsidR="005128A7">
              <w:t>,</w:t>
            </w:r>
            <w:r w:rsidR="009A12EC">
              <w:t xml:space="preserve"> </w:t>
            </w:r>
            <w:r w:rsidR="005128A7">
              <w:t>b</w:t>
            </w:r>
            <w:r w:rsidR="009A12EC" w:rsidRPr="009A12EC">
              <w:t>enzene, (1-methylethyl)</w:t>
            </w:r>
          </w:p>
        </w:tc>
      </w:tr>
      <w:tr w:rsidR="00F43AD5" w:rsidRPr="004C23F4" w14:paraId="4B54926D" w14:textId="77777777" w:rsidTr="00B76A41">
        <w:trPr>
          <w:cantSplit/>
        </w:trPr>
        <w:tc>
          <w:tcPr>
            <w:tcW w:w="4077" w:type="dxa"/>
          </w:tcPr>
          <w:p w14:paraId="226413A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453BBB2" w14:textId="77777777" w:rsidR="00F43AD5" w:rsidRPr="00717D45" w:rsidRDefault="00A91331" w:rsidP="00B76A41">
            <w:pPr>
              <w:pStyle w:val="Tablefont"/>
            </w:pPr>
            <w:r>
              <w:t>C</w:t>
            </w:r>
            <w:r w:rsidRPr="00A91331">
              <w:rPr>
                <w:vertAlign w:val="subscript"/>
              </w:rPr>
              <w:t>9</w:t>
            </w:r>
            <w:r>
              <w:t>H</w:t>
            </w:r>
            <w:r w:rsidRPr="00A91331">
              <w:rPr>
                <w:vertAlign w:val="subscript"/>
              </w:rPr>
              <w:t>12</w:t>
            </w:r>
          </w:p>
        </w:tc>
      </w:tr>
      <w:tr w:rsidR="00F43AD5" w:rsidRPr="004C23F4" w14:paraId="174AA748" w14:textId="77777777" w:rsidTr="00B76A41">
        <w:trPr>
          <w:cantSplit/>
        </w:trPr>
        <w:tc>
          <w:tcPr>
            <w:tcW w:w="4077" w:type="dxa"/>
          </w:tcPr>
          <w:p w14:paraId="068235B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C5295D3" w14:textId="77777777" w:rsidR="00F43AD5" w:rsidRPr="00B40C60" w:rsidRDefault="00A91331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60030A7" w14:textId="247546B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E6FB3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A581C76" w14:textId="77777777" w:rsidTr="009F3937">
        <w:trPr>
          <w:cantSplit/>
          <w:tblHeader/>
        </w:trPr>
        <w:tc>
          <w:tcPr>
            <w:tcW w:w="4010" w:type="dxa"/>
            <w:vAlign w:val="center"/>
          </w:tcPr>
          <w:p w14:paraId="705732AF" w14:textId="77777777" w:rsidR="002C7AFE" w:rsidRPr="002C58FF" w:rsidRDefault="00921DE7" w:rsidP="00E10A55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  <w:vAlign w:val="center"/>
          </w:tcPr>
          <w:p w14:paraId="5C40505E" w14:textId="26002EAC" w:rsidR="002C7AFE" w:rsidRPr="005128A7" w:rsidRDefault="0016589C" w:rsidP="00E10A55">
            <w:pPr>
              <w:pStyle w:val="Tablerowright"/>
              <w:jc w:val="left"/>
            </w:pPr>
            <w:r>
              <w:t>0.1 ppm</w:t>
            </w:r>
            <w:r w:rsidR="0027173B" w:rsidDel="0027173B">
              <w:t xml:space="preserve"> </w:t>
            </w:r>
            <w:r w:rsidR="00807CF5">
              <w:rPr>
                <w:rFonts w:cs="Arial"/>
              </w:rPr>
              <w:t>(</w:t>
            </w:r>
            <w:r w:rsidR="00C80CC4">
              <w:rPr>
                <w:rFonts w:cs="Arial"/>
              </w:rPr>
              <w:t>0.5</w:t>
            </w:r>
            <w:r w:rsidR="00807CF5">
              <w:rPr>
                <w:rFonts w:cs="Arial"/>
              </w:rPr>
              <w:t xml:space="preserve"> mg/m</w:t>
            </w:r>
            <w:r w:rsidR="00807CF5" w:rsidRPr="00473B36">
              <w:rPr>
                <w:rFonts w:cs="Arial"/>
                <w:vertAlign w:val="superscript"/>
              </w:rPr>
              <w:t>3</w:t>
            </w:r>
            <w:r w:rsidR="00807CF5">
              <w:rPr>
                <w:rFonts w:cs="Arial"/>
              </w:rPr>
              <w:t>)</w:t>
            </w:r>
          </w:p>
        </w:tc>
      </w:tr>
      <w:tr w:rsidR="00A91331" w:rsidRPr="004C23F4" w14:paraId="28B0F098" w14:textId="77777777" w:rsidTr="009F3937">
        <w:trPr>
          <w:cantSplit/>
        </w:trPr>
        <w:tc>
          <w:tcPr>
            <w:tcW w:w="4010" w:type="dxa"/>
            <w:vAlign w:val="center"/>
          </w:tcPr>
          <w:p w14:paraId="1148AD71" w14:textId="77777777" w:rsidR="00A91331" w:rsidRPr="002C58FF" w:rsidRDefault="00A91331" w:rsidP="00E10A5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  <w:vAlign w:val="center"/>
          </w:tcPr>
          <w:p w14:paraId="2C3281F9" w14:textId="1DEFFCF2" w:rsidR="00A91331" w:rsidRPr="00344E36" w:rsidRDefault="005128A7" w:rsidP="00E10A55">
            <w:pPr>
              <w:pStyle w:val="Tablerowright"/>
              <w:jc w:val="left"/>
            </w:pPr>
            <w:r w:rsidRPr="006B6796">
              <w:t>—</w:t>
            </w:r>
          </w:p>
        </w:tc>
      </w:tr>
      <w:tr w:rsidR="00A91331" w:rsidRPr="004C23F4" w14:paraId="1BA6D2A6" w14:textId="77777777" w:rsidTr="009F3937">
        <w:trPr>
          <w:cantSplit/>
        </w:trPr>
        <w:tc>
          <w:tcPr>
            <w:tcW w:w="4010" w:type="dxa"/>
            <w:vAlign w:val="center"/>
          </w:tcPr>
          <w:p w14:paraId="270AC778" w14:textId="77777777" w:rsidR="00A91331" w:rsidRPr="002C58FF" w:rsidRDefault="00A91331" w:rsidP="00E10A55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  <w:vAlign w:val="center"/>
          </w:tcPr>
          <w:p w14:paraId="63930EAC" w14:textId="22FBE9A2" w:rsidR="00A91331" w:rsidRDefault="0027173B" w:rsidP="00E10A55">
            <w:pPr>
              <w:pStyle w:val="Tablerowright"/>
              <w:jc w:val="left"/>
            </w:pPr>
            <w:r w:rsidRPr="006B6796">
              <w:t>—</w:t>
            </w:r>
          </w:p>
        </w:tc>
      </w:tr>
      <w:tr w:rsidR="00A91331" w:rsidRPr="004C23F4" w14:paraId="27F70FDE" w14:textId="77777777" w:rsidTr="009F3937">
        <w:trPr>
          <w:cantSplit/>
        </w:trPr>
        <w:tc>
          <w:tcPr>
            <w:tcW w:w="4010" w:type="dxa"/>
            <w:vAlign w:val="center"/>
          </w:tcPr>
          <w:p w14:paraId="69EBEEF0" w14:textId="0AC5CD8B" w:rsidR="00A91331" w:rsidRPr="002C58FF" w:rsidRDefault="00A91331" w:rsidP="00E10A55">
            <w:pPr>
              <w:pStyle w:val="Tablerowright"/>
            </w:pP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  <w:vAlign w:val="center"/>
          </w:tcPr>
          <w:p w14:paraId="1B3A55B7" w14:textId="149EF732" w:rsidR="00A91331" w:rsidRDefault="0026072D" w:rsidP="00E10A55">
            <w:pPr>
              <w:pStyle w:val="Tablerowright"/>
              <w:jc w:val="left"/>
            </w:pPr>
            <w:r w:rsidRPr="00D12907">
              <w:t>Carc</w:t>
            </w:r>
            <w:r w:rsidR="00312AF6">
              <w:t>.</w:t>
            </w:r>
            <w:r w:rsidRPr="00D12907">
              <w:t xml:space="preserve"> </w:t>
            </w:r>
            <w:r w:rsidR="00312AF6">
              <w:t>1B</w:t>
            </w:r>
          </w:p>
        </w:tc>
      </w:tr>
      <w:tr w:rsidR="00A91331" w:rsidRPr="004C23F4" w14:paraId="6D0100BC" w14:textId="77777777" w:rsidTr="009F3937">
        <w:trPr>
          <w:cantSplit/>
        </w:trPr>
        <w:tc>
          <w:tcPr>
            <w:tcW w:w="4010" w:type="dxa"/>
            <w:vAlign w:val="center"/>
          </w:tcPr>
          <w:p w14:paraId="4C288EF1" w14:textId="77777777" w:rsidR="00A91331" w:rsidRPr="002C58FF" w:rsidRDefault="00A91331" w:rsidP="00E10A55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  <w:vAlign w:val="center"/>
          </w:tcPr>
          <w:p w14:paraId="4B007E7B" w14:textId="69BA1001" w:rsidR="00A91331" w:rsidRDefault="003E6FB3" w:rsidP="00E10A55">
            <w:pPr>
              <w:pStyle w:val="Tablerowright"/>
              <w:jc w:val="left"/>
            </w:pPr>
            <w:r w:rsidRPr="006B6796">
              <w:t>—</w:t>
            </w:r>
          </w:p>
        </w:tc>
      </w:tr>
      <w:tr w:rsidR="008A06DC" w:rsidRPr="004C23F4" w14:paraId="2C294EA7" w14:textId="77777777" w:rsidTr="00246D3F">
        <w:trPr>
          <w:cantSplit/>
        </w:trPr>
        <w:tc>
          <w:tcPr>
            <w:tcW w:w="9026" w:type="dxa"/>
            <w:gridSpan w:val="2"/>
          </w:tcPr>
          <w:p w14:paraId="64BFC65A" w14:textId="2D7B76D8" w:rsidR="008A06DC" w:rsidRDefault="008A06DC">
            <w:pPr>
              <w:pStyle w:val="Tablerowright"/>
              <w:jc w:val="left"/>
            </w:pPr>
            <w: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C2D7A32EA6714DABAEE0E5F85C37E78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80CC4">
                  <w:rPr>
                    <w:rStyle w:val="WESstatus"/>
                    <w:b w:val="0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47BB1BF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02D58AD" w14:textId="44968DED" w:rsidR="006639B4" w:rsidRDefault="00473B36" w:rsidP="006A7754">
      <w:pPr>
        <w:rPr>
          <w:rFonts w:cs="Arial"/>
        </w:rPr>
      </w:pPr>
      <w:r>
        <w:rPr>
          <w:rFonts w:cs="Arial"/>
        </w:rPr>
        <w:t>A</w:t>
      </w:r>
      <w:r w:rsidR="00B044BC">
        <w:rPr>
          <w:rFonts w:cs="Arial"/>
        </w:rPr>
        <w:t>n interim</w:t>
      </w:r>
      <w:r>
        <w:rPr>
          <w:rFonts w:cs="Arial"/>
        </w:rPr>
        <w:t xml:space="preserve"> TWA </w:t>
      </w:r>
      <w:r w:rsidR="005C6551">
        <w:rPr>
          <w:rFonts w:cs="Arial"/>
        </w:rPr>
        <w:t xml:space="preserve">of </w:t>
      </w:r>
      <w:r w:rsidR="0016589C">
        <w:rPr>
          <w:rFonts w:cs="Arial"/>
        </w:rPr>
        <w:t>0.1 ppm</w:t>
      </w:r>
      <w:r w:rsidR="0027173B">
        <w:rPr>
          <w:rFonts w:cs="Arial"/>
        </w:rPr>
        <w:t xml:space="preserve"> (</w:t>
      </w:r>
      <w:r w:rsidR="00C80CC4">
        <w:rPr>
          <w:rFonts w:cs="Arial"/>
        </w:rPr>
        <w:t>0.</w:t>
      </w:r>
      <w:r w:rsidR="00807CF5">
        <w:rPr>
          <w:rFonts w:cs="Arial"/>
        </w:rPr>
        <w:t>5</w:t>
      </w:r>
      <w:r w:rsidR="00B74AF7">
        <w:rPr>
          <w:rFonts w:cs="Arial"/>
        </w:rPr>
        <w:t xml:space="preserve"> </w:t>
      </w:r>
      <w:r>
        <w:rPr>
          <w:rFonts w:cs="Arial"/>
        </w:rPr>
        <w:t>mg/m</w:t>
      </w:r>
      <w:r w:rsidRPr="00473B36">
        <w:rPr>
          <w:rFonts w:cs="Arial"/>
          <w:vertAlign w:val="superscript"/>
        </w:rPr>
        <w:t>3</w:t>
      </w:r>
      <w:r w:rsidR="0027173B">
        <w:rPr>
          <w:rFonts w:cs="Arial"/>
        </w:rPr>
        <w:t>)</w:t>
      </w:r>
      <w:r w:rsidR="00BD3A12">
        <w:rPr>
          <w:rFonts w:cs="Arial"/>
        </w:rPr>
        <w:t xml:space="preserve"> </w:t>
      </w:r>
      <w:r>
        <w:rPr>
          <w:rFonts w:cs="Arial"/>
        </w:rPr>
        <w:t xml:space="preserve">is recommended to </w:t>
      </w:r>
      <w:r w:rsidR="009A3211">
        <w:rPr>
          <w:rFonts w:cs="Arial"/>
        </w:rPr>
        <w:t xml:space="preserve">protect for </w:t>
      </w:r>
      <w:r w:rsidR="006D354F">
        <w:rPr>
          <w:rFonts w:cs="Arial"/>
        </w:rPr>
        <w:t>the risk of nasal and</w:t>
      </w:r>
      <w:r w:rsidR="006A7754">
        <w:rPr>
          <w:rFonts w:cs="Arial"/>
        </w:rPr>
        <w:t xml:space="preserve"> lung cancer in exposed workers.</w:t>
      </w:r>
    </w:p>
    <w:p w14:paraId="5D5ADD8B" w14:textId="095EE55A" w:rsidR="00006E0B" w:rsidRDefault="00006E0B" w:rsidP="006A7754">
      <w:pPr>
        <w:rPr>
          <w:rFonts w:cs="Arial"/>
        </w:rPr>
      </w:pPr>
      <w:r>
        <w:rPr>
          <w:rFonts w:cs="Arial"/>
        </w:rPr>
        <w:t>The previous STEL of 75 ppm (375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be withdrawn </w:t>
      </w:r>
      <w:r w:rsidR="00CB4F12" w:rsidRPr="00CB4F12">
        <w:rPr>
          <w:rFonts w:cs="Arial"/>
        </w:rPr>
        <w:t>based on cumene’s characterisation as a non-threshold genotoxic carcinogen</w:t>
      </w:r>
      <w:r>
        <w:rPr>
          <w:rFonts w:cs="Arial"/>
        </w:rPr>
        <w:t>.</w:t>
      </w:r>
    </w:p>
    <w:p w14:paraId="307A9A7F" w14:textId="2F3FF270" w:rsidR="0077391A" w:rsidRPr="00473B36" w:rsidRDefault="0077391A" w:rsidP="006A7754">
      <w:pPr>
        <w:rPr>
          <w:rFonts w:cs="Arial"/>
        </w:rPr>
      </w:pPr>
      <w:r>
        <w:rPr>
          <w:rFonts w:cs="Arial"/>
        </w:rPr>
        <w:t xml:space="preserve">A </w:t>
      </w:r>
      <w:r w:rsidRPr="00F56F2D">
        <w:rPr>
          <w:rFonts w:cs="Arial"/>
        </w:rPr>
        <w:t>priority review of the data for the</w:t>
      </w:r>
      <w:r>
        <w:rPr>
          <w:rFonts w:cs="Arial"/>
        </w:rPr>
        <w:t xml:space="preserve"> chemical in the next scheduled </w:t>
      </w:r>
      <w:r w:rsidRPr="00F56F2D">
        <w:rPr>
          <w:rFonts w:cs="Arial"/>
        </w:rPr>
        <w:t>review of the workplace exposure standards</w:t>
      </w:r>
      <w:r>
        <w:rPr>
          <w:rFonts w:cs="Arial"/>
        </w:rPr>
        <w:t xml:space="preserve"> is recommended.</w:t>
      </w:r>
    </w:p>
    <w:p w14:paraId="16AFE5A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29E6718" w14:textId="77777777" w:rsidR="00235BD7" w:rsidRDefault="00717474" w:rsidP="006D354F">
      <w:pPr>
        <w:rPr>
          <w:rFonts w:cs="Arial"/>
        </w:rPr>
      </w:pPr>
      <w:r>
        <w:rPr>
          <w:rFonts w:cs="Arial"/>
        </w:rPr>
        <w:t xml:space="preserve">Cumene </w:t>
      </w:r>
      <w:r w:rsidR="0037453A">
        <w:rPr>
          <w:rFonts w:cs="Arial"/>
        </w:rPr>
        <w:t>i</w:t>
      </w:r>
      <w:r>
        <w:rPr>
          <w:rFonts w:cs="Arial"/>
        </w:rPr>
        <w:t>s used commercially as a thinner for paints, enamels and in some petroleum products.</w:t>
      </w:r>
      <w:r w:rsidR="0026072D">
        <w:rPr>
          <w:rFonts w:cs="Arial"/>
        </w:rPr>
        <w:t xml:space="preserve"> </w:t>
      </w:r>
    </w:p>
    <w:p w14:paraId="5DC7C974" w14:textId="47AC97DF" w:rsidR="006D354F" w:rsidRPr="006D354F" w:rsidRDefault="004E64D9" w:rsidP="006D354F">
      <w:pPr>
        <w:rPr>
          <w:rFonts w:cs="Arial"/>
        </w:rPr>
      </w:pPr>
      <w:r>
        <w:rPr>
          <w:rFonts w:cs="Arial"/>
        </w:rPr>
        <w:t>There is evidence to suggest carcinogenicity in experimental animals</w:t>
      </w:r>
      <w:r w:rsidR="00235BD7">
        <w:rPr>
          <w:rFonts w:cs="Arial"/>
        </w:rPr>
        <w:t>.</w:t>
      </w:r>
      <w:r>
        <w:rPr>
          <w:rFonts w:cs="Arial"/>
        </w:rPr>
        <w:t xml:space="preserve"> </w:t>
      </w:r>
      <w:r w:rsidR="00235BD7">
        <w:rPr>
          <w:rFonts w:cs="Arial"/>
        </w:rPr>
        <w:t>H</w:t>
      </w:r>
      <w:r>
        <w:rPr>
          <w:rFonts w:cs="Arial"/>
        </w:rPr>
        <w:t xml:space="preserve">owever, human carcinogenicity is inconclusive (DFG, 2018). </w:t>
      </w:r>
      <w:r w:rsidR="00EB7C15" w:rsidRPr="00B15B95">
        <w:rPr>
          <w:rFonts w:cs="Arial"/>
        </w:rPr>
        <w:t>Although c</w:t>
      </w:r>
      <w:r w:rsidR="00536399" w:rsidRPr="00B15B95">
        <w:rPr>
          <w:rFonts w:cs="Arial"/>
        </w:rPr>
        <w:t>umene is not considered to be genotoxic</w:t>
      </w:r>
      <w:r w:rsidR="00EB7C15" w:rsidRPr="00B15B95">
        <w:rPr>
          <w:rFonts w:cs="Arial"/>
        </w:rPr>
        <w:t xml:space="preserve">, there </w:t>
      </w:r>
      <w:r w:rsidR="002053EC">
        <w:rPr>
          <w:rFonts w:cs="Arial"/>
        </w:rPr>
        <w:t>is</w:t>
      </w:r>
      <w:r w:rsidR="00EB7C15" w:rsidRPr="00B15B95">
        <w:rPr>
          <w:rFonts w:cs="Arial"/>
        </w:rPr>
        <w:t xml:space="preserve"> e</w:t>
      </w:r>
      <w:r w:rsidR="00536399" w:rsidRPr="00B15B95">
        <w:rPr>
          <w:rFonts w:cs="Arial"/>
        </w:rPr>
        <w:t xml:space="preserve">vidence of genotoxicity for </w:t>
      </w:r>
      <w:r w:rsidR="00DA015F" w:rsidRPr="00B15B95">
        <w:rPr>
          <w:rFonts w:cs="Arial"/>
        </w:rPr>
        <w:t xml:space="preserve">its </w:t>
      </w:r>
      <w:r w:rsidR="00536399" w:rsidRPr="00B15B95">
        <w:rPr>
          <w:rFonts w:cs="Arial"/>
        </w:rPr>
        <w:t xml:space="preserve">metabolite </w:t>
      </w:r>
      <w:r w:rsidR="00536399" w:rsidRPr="00B044BC">
        <w:rPr>
          <w:rFonts w:cs="Arial"/>
          <w:i/>
        </w:rPr>
        <w:t>a-</w:t>
      </w:r>
      <w:r w:rsidR="00536399" w:rsidRPr="00B15B95">
        <w:rPr>
          <w:rFonts w:cs="Arial"/>
        </w:rPr>
        <w:t xml:space="preserve">methylstyrene oxide and a mutational mechanism is possible </w:t>
      </w:r>
      <w:r w:rsidR="00536399" w:rsidRPr="002053EC">
        <w:rPr>
          <w:rFonts w:cs="Arial"/>
        </w:rPr>
        <w:t>by which cumene could produce lung or nasal tumours in both rodents and humans (NICNAS, 2016; IARC, 2011).</w:t>
      </w:r>
      <w:r w:rsidR="006D354F" w:rsidRPr="002053EC">
        <w:rPr>
          <w:rFonts w:cs="Arial"/>
        </w:rPr>
        <w:t xml:space="preserve"> As such, it is </w:t>
      </w:r>
      <w:r w:rsidR="00235BD7" w:rsidRPr="002053EC">
        <w:rPr>
          <w:rFonts w:cs="Arial"/>
        </w:rPr>
        <w:t xml:space="preserve">characterised as </w:t>
      </w:r>
      <w:r w:rsidR="006D354F" w:rsidRPr="002053EC">
        <w:rPr>
          <w:rFonts w:cs="Arial"/>
        </w:rPr>
        <w:t>a non-threshold genotoxic carcinogen</w:t>
      </w:r>
      <w:r w:rsidR="006D354F" w:rsidRPr="00B15B95">
        <w:rPr>
          <w:rFonts w:cs="Arial"/>
        </w:rPr>
        <w:t>.</w:t>
      </w:r>
    </w:p>
    <w:p w14:paraId="0191F09D" w14:textId="111C0EB7" w:rsidR="00B044BC" w:rsidRDefault="00953639" w:rsidP="006639B4">
      <w:r>
        <w:rPr>
          <w:rFonts w:cs="Arial"/>
        </w:rPr>
        <w:t>Inhalation Unit Risk or Oral Slope Factors could not be identified</w:t>
      </w:r>
      <w:r w:rsidR="00A15772">
        <w:rPr>
          <w:rFonts w:cs="Arial"/>
        </w:rPr>
        <w:t xml:space="preserve">. </w:t>
      </w:r>
      <w:r>
        <w:rPr>
          <w:rStyle w:val="checkbox"/>
          <w:rFonts w:ascii="Arial" w:hAnsi="Arial" w:cs="Arial"/>
        </w:rPr>
        <w:t>DFG (2018) derive</w:t>
      </w:r>
      <w:r w:rsidR="002053EC">
        <w:rPr>
          <w:rStyle w:val="checkbox"/>
          <w:rFonts w:ascii="Arial" w:hAnsi="Arial" w:cs="Arial"/>
        </w:rPr>
        <w:t>d</w:t>
      </w:r>
      <w:r w:rsidR="00293B54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>the current MAK from</w:t>
      </w:r>
      <w:r w:rsidRPr="00953639">
        <w:t xml:space="preserve"> </w:t>
      </w:r>
      <w:r w:rsidRPr="008E34C7">
        <w:t>a lower confidence limit of the benchmark dose of 42 ppm</w:t>
      </w:r>
      <w:r>
        <w:t xml:space="preserve"> (BMDL</w:t>
      </w:r>
      <w:r>
        <w:rPr>
          <w:vertAlign w:val="subscript"/>
        </w:rPr>
        <w:t>05</w:t>
      </w:r>
      <w:r>
        <w:t>)</w:t>
      </w:r>
      <w:r w:rsidRPr="008E34C7">
        <w:t xml:space="preserve"> for nasa</w:t>
      </w:r>
      <w:r>
        <w:t>l a</w:t>
      </w:r>
      <w:r w:rsidR="00B044BC">
        <w:t xml:space="preserve">denoma in male rats in a two </w:t>
      </w:r>
      <w:r w:rsidRPr="008E34C7">
        <w:t>year inhalation study</w:t>
      </w:r>
      <w:r>
        <w:t>. By using the BMDL</w:t>
      </w:r>
      <w:r>
        <w:rPr>
          <w:vertAlign w:val="subscript"/>
        </w:rPr>
        <w:t>0</w:t>
      </w:r>
      <w:r w:rsidR="006A7754">
        <w:rPr>
          <w:vertAlign w:val="subscript"/>
        </w:rPr>
        <w:t>5</w:t>
      </w:r>
      <w:r>
        <w:t xml:space="preserve"> as a point of departure and dividing by 10,000 to provide an adequate margin of risk to </w:t>
      </w:r>
      <w:r w:rsidR="0016589C">
        <w:t>obtain a value</w:t>
      </w:r>
      <w:r w:rsidR="00C80CC4">
        <w:t xml:space="preserve"> of 5 ppb</w:t>
      </w:r>
      <w:r w:rsidR="00B044BC">
        <w:t xml:space="preserve"> </w:t>
      </w:r>
      <w:r w:rsidR="00C80CC4">
        <w:t>(</w:t>
      </w:r>
      <w:r w:rsidR="00B044BC">
        <w:t xml:space="preserve">when </w:t>
      </w:r>
      <w:r w:rsidR="00C80CC4">
        <w:t>rounded).</w:t>
      </w:r>
      <w:r w:rsidR="00B044BC">
        <w:t xml:space="preserve"> </w:t>
      </w:r>
      <w:r w:rsidR="0016589C">
        <w:t>Given the conflicting information about the</w:t>
      </w:r>
      <w:r w:rsidR="0016589C" w:rsidRPr="0016589C">
        <w:t xml:space="preserve"> chemical-specific genotoxic</w:t>
      </w:r>
      <w:r w:rsidR="0016589C">
        <w:t>ity in humans, this value is multiplied by 20 to arrive at a recommended TWA of 0.1 ppm.</w:t>
      </w:r>
      <w:r w:rsidR="009A3211">
        <w:t xml:space="preserve"> The recommended TWA of </w:t>
      </w:r>
      <w:r w:rsidR="0016589C">
        <w:t>0.1 ppm</w:t>
      </w:r>
      <w:r w:rsidR="009A3211">
        <w:t xml:space="preserve"> is considered sufficiently low to protect for cancer in exposed workers. </w:t>
      </w:r>
    </w:p>
    <w:p w14:paraId="26CFD255" w14:textId="1919F60D" w:rsidR="009A3211" w:rsidRDefault="00B044BC" w:rsidP="006639B4">
      <w:r>
        <w:lastRenderedPageBreak/>
        <w:t>Based on the uncertainties associated with the data, i</w:t>
      </w:r>
      <w:r w:rsidR="009A3211" w:rsidRPr="009A3211">
        <w:t>nvestigation of additional data sources is recommended at the next scheduled review.</w:t>
      </w:r>
    </w:p>
    <w:p w14:paraId="733E06F5" w14:textId="4539BFB3" w:rsidR="002342F7" w:rsidRPr="00CB4F12" w:rsidRDefault="00D37E2E" w:rsidP="006639B4">
      <w:r>
        <w:rPr>
          <w:rFonts w:cs="Arial"/>
        </w:rPr>
        <w:t>T</w:t>
      </w:r>
      <w:r w:rsidR="002342F7" w:rsidRPr="00CB4F12">
        <w:rPr>
          <w:rFonts w:cs="Arial"/>
        </w:rPr>
        <w:t>he previous STEL of 75 ppm is recommended to be withdrawn</w:t>
      </w:r>
      <w:r>
        <w:rPr>
          <w:rFonts w:cs="Arial"/>
        </w:rPr>
        <w:t xml:space="preserve"> given the carcinogenic characterisation of cumene</w:t>
      </w:r>
      <w:r w:rsidR="00B044BC">
        <w:rPr>
          <w:rFonts w:cs="Arial"/>
        </w:rPr>
        <w:t xml:space="preserve"> and genotoxic characteristics of its metabolite.</w:t>
      </w:r>
      <w:r w:rsidR="002342F7" w:rsidRPr="00CB4F12">
        <w:rPr>
          <w:rFonts w:cs="Arial"/>
        </w:rPr>
        <w:t>.</w:t>
      </w:r>
    </w:p>
    <w:p w14:paraId="19F32C1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0EEC885" w14:textId="66C9D97A" w:rsidR="00A91331" w:rsidRPr="0088628B" w:rsidRDefault="00312AF6" w:rsidP="00A91331">
      <w:pPr>
        <w:rPr>
          <w:rFonts w:cs="Arial"/>
        </w:rPr>
      </w:pPr>
      <w:r>
        <w:rPr>
          <w:rFonts w:cs="Arial"/>
        </w:rPr>
        <w:t>C</w:t>
      </w:r>
      <w:r w:rsidR="00A91331" w:rsidRPr="00312AF6">
        <w:rPr>
          <w:rFonts w:cs="Arial"/>
        </w:rPr>
        <w:t xml:space="preserve">lassified as a </w:t>
      </w:r>
      <w:r w:rsidR="0077391A">
        <w:rPr>
          <w:rFonts w:cs="Arial"/>
        </w:rPr>
        <w:t>category 1B</w:t>
      </w:r>
      <w:r w:rsidR="0077391A" w:rsidRPr="0088628B">
        <w:rPr>
          <w:rFonts w:cs="Arial"/>
        </w:rPr>
        <w:t xml:space="preserve"> </w:t>
      </w:r>
      <w:r w:rsidR="00A91331" w:rsidRPr="00312AF6">
        <w:rPr>
          <w:rFonts w:cs="Arial"/>
        </w:rPr>
        <w:t>carcinogen</w:t>
      </w:r>
      <w:r>
        <w:rPr>
          <w:rFonts w:cs="Arial"/>
        </w:rPr>
        <w:t xml:space="preserve"> </w:t>
      </w:r>
      <w:r w:rsidR="00A91331" w:rsidRPr="0088628B">
        <w:rPr>
          <w:rFonts w:cs="Arial"/>
        </w:rPr>
        <w:t>according to the Globally Harmonized System of Classification and Labelling o</w:t>
      </w:r>
      <w:r w:rsidR="000F3FAA">
        <w:rPr>
          <w:rFonts w:cs="Arial"/>
        </w:rPr>
        <w:t>f</w:t>
      </w:r>
      <w:r w:rsidR="00A91331" w:rsidRPr="0088628B">
        <w:rPr>
          <w:rFonts w:cs="Arial"/>
        </w:rPr>
        <w:t xml:space="preserve"> Chemicals (GHS). </w:t>
      </w:r>
      <w:r w:rsidR="00BB7BBF" w:rsidRPr="00BB7BBF">
        <w:t xml:space="preserve"> </w:t>
      </w:r>
      <w:r w:rsidR="00BB7BBF" w:rsidRPr="00BB7BBF">
        <w:rPr>
          <w:rFonts w:cs="Arial"/>
        </w:rPr>
        <w:t>An examination of additional data sources is recommended at the next scheduled review</w:t>
      </w:r>
      <w:r w:rsidR="00BB7BBF">
        <w:rPr>
          <w:rFonts w:cs="Arial"/>
        </w:rPr>
        <w:t xml:space="preserve"> due to the conflicting </w:t>
      </w:r>
      <w:r w:rsidR="00937CF7">
        <w:rPr>
          <w:rFonts w:cs="Arial"/>
        </w:rPr>
        <w:t>chemical-specific genotoxic information in the primary sources</w:t>
      </w:r>
      <w:r w:rsidR="00BB7BBF" w:rsidRPr="00BB7BBF">
        <w:rPr>
          <w:rFonts w:cs="Arial"/>
        </w:rPr>
        <w:t>.</w:t>
      </w:r>
    </w:p>
    <w:p w14:paraId="038F5436" w14:textId="1FC836E3" w:rsidR="00A91331" w:rsidRPr="004E64D9" w:rsidRDefault="00A91331" w:rsidP="00A91331">
      <w:pPr>
        <w:rPr>
          <w:rFonts w:cs="Arial"/>
        </w:rPr>
      </w:pPr>
      <w:r w:rsidRPr="004E64D9">
        <w:rPr>
          <w:rFonts w:cs="Arial"/>
        </w:rPr>
        <w:t>Not classified as a skin</w:t>
      </w:r>
      <w:r w:rsidR="00E97AEE">
        <w:rPr>
          <w:rFonts w:cs="Arial"/>
        </w:rPr>
        <w:t xml:space="preserve"> </w:t>
      </w:r>
      <w:r w:rsidR="00E97AEE" w:rsidRPr="004E64D9">
        <w:rPr>
          <w:rFonts w:cs="Arial"/>
        </w:rPr>
        <w:t>sensitiser</w:t>
      </w:r>
      <w:r w:rsidRPr="004E64D9">
        <w:rPr>
          <w:rFonts w:cs="Arial"/>
        </w:rPr>
        <w:t xml:space="preserve"> or respiratory sensitiser according to the GHS.</w:t>
      </w:r>
    </w:p>
    <w:p w14:paraId="76CBE2BE" w14:textId="2B8CCD76" w:rsidR="006F4FB6" w:rsidRPr="006F4FB6" w:rsidRDefault="00EB7C15" w:rsidP="006F4FB6">
      <w:pPr>
        <w:rPr>
          <w:rFonts w:cs="Arial"/>
        </w:rPr>
      </w:pPr>
      <w:r>
        <w:t xml:space="preserve">There are insufficient </w:t>
      </w:r>
      <w:r w:rsidR="002342F7">
        <w:t xml:space="preserve">data to recommend retaining the skin notation </w:t>
      </w:r>
      <w:r w:rsidR="006F4FB6" w:rsidRPr="006F4FB6">
        <w:t xml:space="preserve">as there is no indication of systemic effects resulting from skin absorption. </w:t>
      </w:r>
      <w:r w:rsidR="002342F7">
        <w:t>Therefore, a</w:t>
      </w:r>
      <w:r w:rsidR="002342F7" w:rsidRPr="006F4FB6">
        <w:t xml:space="preserve"> skin notation is not </w:t>
      </w:r>
      <w:r w:rsidR="002342F7">
        <w:t>recommended.</w:t>
      </w:r>
    </w:p>
    <w:p w14:paraId="7A60D0BF" w14:textId="75B3434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F352AB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5B4AE1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309780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F87425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EC4E9D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D4E4549" w14:textId="55ADC95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91331" w:rsidRPr="00E10A55">
                  <w:t>2001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0695F">
                  <w:t>TWA: 25 ppm (125 mg/m</w:t>
                </w:r>
                <w:r w:rsidR="0010695F" w:rsidRPr="0010695F">
                  <w:rPr>
                    <w:vertAlign w:val="superscript"/>
                  </w:rPr>
                  <w:t>3</w:t>
                </w:r>
                <w:r w:rsidR="0010695F">
                  <w:t>); STEL: 75 ppm (375 mg/m</w:t>
                </w:r>
                <w:r w:rsidR="0010695F" w:rsidRPr="0010695F">
                  <w:rPr>
                    <w:vertAlign w:val="superscript"/>
                  </w:rPr>
                  <w:t>3</w:t>
                </w:r>
                <w:r w:rsidR="0010695F">
                  <w:t>)</w:t>
                </w:r>
              </w:sdtContent>
            </w:sdt>
          </w:p>
        </w:tc>
      </w:tr>
      <w:tr w:rsidR="00C978F0" w:rsidRPr="00DA352E" w14:paraId="0D1189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4AF12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C0FC70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C1DB87" w14:textId="11DBBCE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970D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A561F">
                  <w:t>TLV-TWA: 50 ppm (246 mg/m</w:t>
                </w:r>
                <w:r w:rsidR="00DA561F" w:rsidRPr="00DA561F">
                  <w:rPr>
                    <w:vertAlign w:val="superscript"/>
                  </w:rPr>
                  <w:t>3</w:t>
                </w:r>
                <w:r w:rsidR="00DA561F">
                  <w:t>)</w:t>
                </w:r>
              </w:sdtContent>
            </w:sdt>
          </w:p>
        </w:tc>
      </w:tr>
      <w:tr w:rsidR="00C978F0" w:rsidRPr="00DA352E" w14:paraId="50B8120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D80F58" w14:textId="7454B80A" w:rsidR="00C978F0" w:rsidRDefault="003555AF" w:rsidP="003555AF">
            <w:pPr>
              <w:pStyle w:val="Tabletextprimarysource"/>
              <w:tabs>
                <w:tab w:val="left" w:pos="2952"/>
              </w:tabs>
            </w:pPr>
            <w:r>
              <w:t>TLV-TWA of 50 ppm recommended to minimi</w:t>
            </w:r>
            <w:r w:rsidR="00E10A55">
              <w:t>s</w:t>
            </w:r>
            <w:r>
              <w:t xml:space="preserve">e potential for dermal, ocular and respiratory tract irritation as well </w:t>
            </w:r>
            <w:r w:rsidRPr="00312AF6">
              <w:t xml:space="preserve">as </w:t>
            </w:r>
            <w:r w:rsidR="00E10A55" w:rsidRPr="00312AF6">
              <w:t>CNS</w:t>
            </w:r>
            <w:r w:rsidRPr="00312AF6">
              <w:t xml:space="preserve"> depression in exposed</w:t>
            </w:r>
            <w:r>
              <w:t xml:space="preserve"> workers. </w:t>
            </w:r>
          </w:p>
          <w:p w14:paraId="39EC4CC5" w14:textId="77777777" w:rsidR="003E6FB3" w:rsidRDefault="00BB1F98" w:rsidP="00E10A55">
            <w:pPr>
              <w:pStyle w:val="Tabletextprimarysource"/>
              <w:tabs>
                <w:tab w:val="left" w:pos="2952"/>
              </w:tabs>
            </w:pPr>
            <w:r>
              <w:t>Summary of data</w:t>
            </w:r>
            <w:r w:rsidR="005128A7">
              <w:t>:</w:t>
            </w:r>
            <w:r w:rsidR="003E6FB3">
              <w:t xml:space="preserve"> </w:t>
            </w:r>
          </w:p>
          <w:p w14:paraId="28003E21" w14:textId="6D182792" w:rsidR="00BB1F98" w:rsidRDefault="00BB1F98" w:rsidP="00E10A55">
            <w:pPr>
              <w:pStyle w:val="Tabletextprimarysource"/>
              <w:tabs>
                <w:tab w:val="left" w:pos="2952"/>
              </w:tabs>
            </w:pPr>
            <w:r>
              <w:t>Human data:</w:t>
            </w:r>
          </w:p>
          <w:p w14:paraId="29530B74" w14:textId="5EB8907E" w:rsidR="00BB1F98" w:rsidRDefault="00BB1F98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>No reports</w:t>
            </w:r>
            <w:r w:rsidR="00001B6D">
              <w:t xml:space="preserve"> regarding toxicity</w:t>
            </w:r>
            <w:r>
              <w:t xml:space="preserve"> </w:t>
            </w:r>
            <w:r w:rsidR="00A572D5">
              <w:t>available</w:t>
            </w:r>
          </w:p>
          <w:p w14:paraId="77B92C3A" w14:textId="12318DD2" w:rsidR="000F3FAA" w:rsidRDefault="00277175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 xml:space="preserve">50% inhalation uptake </w:t>
            </w:r>
            <w:r w:rsidR="0098000E">
              <w:t xml:space="preserve">(three doses from 49 ppm </w:t>
            </w:r>
            <w:r>
              <w:t>up to 14</w:t>
            </w:r>
            <w:r w:rsidR="00624983">
              <w:t>7</w:t>
            </w:r>
            <w:r>
              <w:t xml:space="preserve"> ppm</w:t>
            </w:r>
            <w:r w:rsidR="0098000E">
              <w:t>)</w:t>
            </w:r>
            <w:r w:rsidR="005128A7">
              <w:t xml:space="preserve"> </w:t>
            </w:r>
            <w:r w:rsidR="0098000E">
              <w:t xml:space="preserve">with </w:t>
            </w:r>
            <w:r>
              <w:t xml:space="preserve">excretion of the metabolite </w:t>
            </w:r>
            <w:r w:rsidR="0098000E">
              <w:t>(</w:t>
            </w:r>
            <w:r>
              <w:t>2-phenylpropan-2-ol</w:t>
            </w:r>
            <w:r w:rsidR="0098000E">
              <w:t>)</w:t>
            </w:r>
            <w:r>
              <w:t xml:space="preserve"> in urine proportional to concentration</w:t>
            </w:r>
            <w:r w:rsidR="000F3FAA">
              <w:t>.</w:t>
            </w:r>
          </w:p>
          <w:p w14:paraId="53564880" w14:textId="567F9663" w:rsidR="00277175" w:rsidRDefault="00277175" w:rsidP="00E10A55">
            <w:pPr>
              <w:pStyle w:val="Tabletextprimarysource"/>
              <w:tabs>
                <w:tab w:val="left" w:pos="2952"/>
              </w:tabs>
            </w:pPr>
            <w:r>
              <w:t>Animal data:</w:t>
            </w:r>
          </w:p>
          <w:p w14:paraId="3620788E" w14:textId="35BF5AC3" w:rsidR="00E10A55" w:rsidRDefault="00E415E9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>LD</w:t>
            </w:r>
            <w:r w:rsidRPr="00F059E2">
              <w:rPr>
                <w:vertAlign w:val="subscript"/>
              </w:rPr>
              <w:t>50</w:t>
            </w:r>
            <w:r>
              <w:t>: 1</w:t>
            </w:r>
            <w:r w:rsidR="005128A7">
              <w:t>,</w:t>
            </w:r>
            <w:r>
              <w:t>400</w:t>
            </w:r>
            <w:r w:rsidR="00BF62F2">
              <w:t>–</w:t>
            </w:r>
            <w:r>
              <w:t>8</w:t>
            </w:r>
            <w:r w:rsidR="005128A7">
              <w:t>,</w:t>
            </w:r>
            <w:r>
              <w:t xml:space="preserve">620 mg/kg (rats); effects included sluggishness, prostration, narcosis with autopsy indicating pneumonitis, pulmonary </w:t>
            </w:r>
            <w:r w:rsidR="00E97AEE">
              <w:t>oedema</w:t>
            </w:r>
            <w:r>
              <w:t xml:space="preserve"> and haemorrhage, gastrointe</w:t>
            </w:r>
            <w:r w:rsidR="0091509C">
              <w:t>st</w:t>
            </w:r>
            <w:r>
              <w:t>inal inflammation and liver discoloration</w:t>
            </w:r>
            <w:r w:rsidR="00F059E2">
              <w:t xml:space="preserve">. </w:t>
            </w:r>
          </w:p>
          <w:p w14:paraId="21A0204E" w14:textId="54BADCEA" w:rsidR="00E10A55" w:rsidRDefault="00F059E2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>De</w:t>
            </w:r>
            <w:r w:rsidR="0091509C">
              <w:t>rmal LD</w:t>
            </w:r>
            <w:r w:rsidR="0091509C" w:rsidRPr="00F059E2">
              <w:rPr>
                <w:vertAlign w:val="subscript"/>
              </w:rPr>
              <w:t>50</w:t>
            </w:r>
            <w:r w:rsidR="00BD3A12">
              <w:t xml:space="preserve">: 10.6 </w:t>
            </w:r>
            <w:r w:rsidR="0091509C">
              <w:t>g/kg (rats) an</w:t>
            </w:r>
            <w:r w:rsidR="00E10A55">
              <w:t>d &gt;3.16 g/kg (albino rabbits).</w:t>
            </w:r>
          </w:p>
          <w:p w14:paraId="1150ABE9" w14:textId="38B63389" w:rsidR="0091509C" w:rsidRDefault="0091509C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>LC</w:t>
            </w:r>
            <w:r w:rsidRPr="0091509C">
              <w:rPr>
                <w:vertAlign w:val="subscript"/>
              </w:rPr>
              <w:t>50</w:t>
            </w:r>
            <w:r>
              <w:t>: 2</w:t>
            </w:r>
            <w:r w:rsidR="005128A7">
              <w:t>,</w:t>
            </w:r>
            <w:r>
              <w:t xml:space="preserve">000 </w:t>
            </w:r>
            <w:r w:rsidR="002459EB">
              <w:t>ppm (albino mice, 7 h</w:t>
            </w:r>
            <w:r w:rsidR="00E10A55">
              <w:t xml:space="preserve"> inhalation</w:t>
            </w:r>
            <w:r>
              <w:t>)</w:t>
            </w:r>
          </w:p>
          <w:p w14:paraId="40E3D3B4" w14:textId="4D4C1B25" w:rsidR="00312AF6" w:rsidRDefault="00312AF6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>Acute exposures can result in CNS depression</w:t>
            </w:r>
          </w:p>
          <w:p w14:paraId="2EDD1024" w14:textId="57AFBA43" w:rsidR="00624983" w:rsidRDefault="00F059E2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>Sub</w:t>
            </w:r>
            <w:r w:rsidR="00161AD3">
              <w:t>-</w:t>
            </w:r>
            <w:r>
              <w:t xml:space="preserve">chronic inhalation </w:t>
            </w:r>
            <w:r>
              <w:rPr>
                <w:rFonts w:cs="Arial"/>
              </w:rPr>
              <w:t>≥</w:t>
            </w:r>
            <w:r>
              <w:t xml:space="preserve">500 ppm </w:t>
            </w:r>
            <w:r w:rsidR="008003FA">
              <w:t xml:space="preserve">and oral </w:t>
            </w:r>
            <w:r w:rsidR="008003FA">
              <w:rPr>
                <w:rFonts w:cs="Arial"/>
              </w:rPr>
              <w:t>≥</w:t>
            </w:r>
            <w:r w:rsidR="008003FA">
              <w:t>462</w:t>
            </w:r>
            <w:r w:rsidR="00BF62F2">
              <w:t xml:space="preserve"> ppm</w:t>
            </w:r>
            <w:r w:rsidR="008003FA">
              <w:t xml:space="preserve"> resulted in </w:t>
            </w:r>
            <w:r>
              <w:t xml:space="preserve">mild to moderate </w:t>
            </w:r>
            <w:r w:rsidR="008003FA">
              <w:t xml:space="preserve">toxicity </w:t>
            </w:r>
          </w:p>
          <w:p w14:paraId="3FCBBC1D" w14:textId="0B896E64" w:rsidR="00624983" w:rsidRDefault="008003FA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 xml:space="preserve">Slight and moderate increase in kidney weight in rats from oral administration of </w:t>
            </w:r>
            <w:r w:rsidR="00161AD3">
              <w:t>462 </w:t>
            </w:r>
            <w:r>
              <w:t>mg/kg</w:t>
            </w:r>
            <w:r w:rsidR="00161AD3">
              <w:t>/d</w:t>
            </w:r>
            <w:r>
              <w:t xml:space="preserve"> and 740 mg/kg</w:t>
            </w:r>
            <w:r w:rsidR="00161AD3">
              <w:t>/d,</w:t>
            </w:r>
            <w:r>
              <w:t xml:space="preserve"> respectively</w:t>
            </w:r>
            <w:r w:rsidR="00901ADB">
              <w:t xml:space="preserve">; </w:t>
            </w:r>
            <w:r w:rsidR="00397262">
              <w:t>hyperaemia</w:t>
            </w:r>
            <w:r w:rsidR="00901ADB">
              <w:t xml:space="preserve"> and congestion in liver, lungs and kidney at 500</w:t>
            </w:r>
            <w:r w:rsidR="00BF62F2">
              <w:t> </w:t>
            </w:r>
            <w:r w:rsidR="00901ADB">
              <w:t xml:space="preserve">ppm (rats and rabbits, </w:t>
            </w:r>
            <w:r w:rsidR="009D050C">
              <w:t>inhalation, 8 h/d for 6 d/wk for 150 d)</w:t>
            </w:r>
          </w:p>
          <w:p w14:paraId="4F5FC6B2" w14:textId="09544184" w:rsidR="00624983" w:rsidRDefault="009D050C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>No toxic effects on rats, dogs, guinea pigs or monkeys in similar inhalation study up to 244</w:t>
            </w:r>
            <w:r w:rsidR="00BF62F2">
              <w:t> </w:t>
            </w:r>
            <w:r>
              <w:t>ppm</w:t>
            </w:r>
          </w:p>
          <w:p w14:paraId="203FEA2E" w14:textId="4A4B8CA7" w:rsidR="00F059E2" w:rsidRDefault="009D050C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>Decrease</w:t>
            </w:r>
            <w:r w:rsidR="005128A7">
              <w:t>d</w:t>
            </w:r>
            <w:r>
              <w:t xml:space="preserve"> startle </w:t>
            </w:r>
            <w:r w:rsidR="00BA734E">
              <w:t>response</w:t>
            </w:r>
            <w:r>
              <w:t>, blepharospasm, increased water consumption, pe</w:t>
            </w:r>
            <w:r w:rsidR="007C4937">
              <w:t>r</w:t>
            </w:r>
            <w:r>
              <w:t>iocular swelling and increase in leukocytes, lymphocytes, platelets, protein and liver, kidney and adrenal weights up to 1</w:t>
            </w:r>
            <w:r w:rsidR="005128A7">
              <w:t>,</w:t>
            </w:r>
            <w:r>
              <w:t>20</w:t>
            </w:r>
            <w:r w:rsidR="002459EB">
              <w:t>0 ppm (rats, inhalation, 6 h</w:t>
            </w:r>
            <w:r>
              <w:t>/d, 5 d/wk for 13 w</w:t>
            </w:r>
            <w:r w:rsidR="00397262">
              <w:t>k</w:t>
            </w:r>
            <w:r>
              <w:t>)</w:t>
            </w:r>
            <w:r w:rsidR="005128A7">
              <w:t xml:space="preserve"> </w:t>
            </w:r>
          </w:p>
          <w:p w14:paraId="218514BA" w14:textId="3B754F18" w:rsidR="0098000E" w:rsidRDefault="0027639D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 xml:space="preserve">No carcinogenic studies </w:t>
            </w:r>
            <w:r w:rsidR="0098000E">
              <w:t>available</w:t>
            </w:r>
          </w:p>
          <w:p w14:paraId="74D70D0C" w14:textId="78AAB8C6" w:rsidR="000F3FAA" w:rsidRDefault="0027639D" w:rsidP="00E10A55">
            <w:pPr>
              <w:pStyle w:val="Tabletextprimarysource"/>
              <w:numPr>
                <w:ilvl w:val="0"/>
                <w:numId w:val="1"/>
              </w:numPr>
              <w:tabs>
                <w:tab w:val="left" w:pos="2952"/>
              </w:tabs>
            </w:pPr>
            <w:r>
              <w:t xml:space="preserve">No evidence of </w:t>
            </w:r>
            <w:r w:rsidR="0098000E">
              <w:t>reproductive/developmental</w:t>
            </w:r>
            <w:r>
              <w:t xml:space="preserve"> or genotoxic</w:t>
            </w:r>
            <w:r w:rsidR="0098000E">
              <w:t xml:space="preserve"> effects</w:t>
            </w:r>
            <w:r w:rsidR="00296843">
              <w:t xml:space="preserve"> in studies reported</w:t>
            </w:r>
            <w:r>
              <w:t>.</w:t>
            </w:r>
          </w:p>
          <w:p w14:paraId="102C2BE3" w14:textId="39C27660" w:rsidR="00A71977" w:rsidRDefault="00A71977" w:rsidP="008A06DC">
            <w:pPr>
              <w:pStyle w:val="Tabletextprimarysource"/>
              <w:tabs>
                <w:tab w:val="left" w:pos="2952"/>
              </w:tabs>
            </w:pPr>
          </w:p>
          <w:p w14:paraId="7FF97AF5" w14:textId="77777777" w:rsidR="0027639D" w:rsidRDefault="00A71977" w:rsidP="008A06DC">
            <w:pPr>
              <w:pStyle w:val="Tabletextprimarysource"/>
              <w:tabs>
                <w:tab w:val="left" w:pos="2952"/>
              </w:tabs>
            </w:pPr>
            <w:r>
              <w:t>There are</w:t>
            </w:r>
            <w:r w:rsidRPr="00A71977">
              <w:t xml:space="preserve"> inadequate data to recommend a Skin, SEN or carcinogenic notations or a TLV-STEL.</w:t>
            </w:r>
          </w:p>
          <w:p w14:paraId="14530A1F" w14:textId="14CFB904" w:rsidR="003511B8" w:rsidRPr="00DA352E" w:rsidRDefault="003511B8" w:rsidP="008A06DC">
            <w:pPr>
              <w:pStyle w:val="Tabletextprimarysource"/>
              <w:tabs>
                <w:tab w:val="left" w:pos="2952"/>
              </w:tabs>
            </w:pPr>
          </w:p>
        </w:tc>
      </w:tr>
      <w:tr w:rsidR="00C978F0" w:rsidRPr="00DA352E" w14:paraId="45F3984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98EE1D" w14:textId="3CD9F93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63B9F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63B9F">
                  <w:t>MAK: 10 ppm (50 mg/m</w:t>
                </w:r>
                <w:r w:rsidR="00263B9F" w:rsidRPr="00263B9F">
                  <w:rPr>
                    <w:vertAlign w:val="superscript"/>
                  </w:rPr>
                  <w:t>3</w:t>
                </w:r>
                <w:r w:rsidR="00263B9F">
                  <w:t>)</w:t>
                </w:r>
              </w:sdtContent>
            </w:sdt>
          </w:p>
        </w:tc>
      </w:tr>
      <w:tr w:rsidR="00C978F0" w:rsidRPr="00DA352E" w14:paraId="07EFB1C3" w14:textId="77777777" w:rsidTr="005B3DCA">
        <w:trPr>
          <w:gridAfter w:val="1"/>
          <w:wAfter w:w="8" w:type="pct"/>
        </w:trPr>
        <w:tc>
          <w:tcPr>
            <w:tcW w:w="4992" w:type="pct"/>
          </w:tcPr>
          <w:p w14:paraId="1D9C1003" w14:textId="77777777" w:rsidR="00E10A55" w:rsidRDefault="00E10A55" w:rsidP="00E10A55">
            <w:pPr>
              <w:pStyle w:val="Tabletextprimarysource"/>
            </w:pPr>
            <w:r>
              <w:t>Summary of additional data:</w:t>
            </w:r>
          </w:p>
          <w:p w14:paraId="7B84CC45" w14:textId="77777777" w:rsidR="00832158" w:rsidRDefault="00832158" w:rsidP="003365A5">
            <w:pPr>
              <w:pStyle w:val="Tabletextprimarysource"/>
            </w:pPr>
            <w:r>
              <w:t>Human data:</w:t>
            </w:r>
          </w:p>
          <w:p w14:paraId="64DB7C82" w14:textId="583392BD" w:rsidR="00832158" w:rsidRDefault="00E10A55" w:rsidP="00832158">
            <w:pPr>
              <w:pStyle w:val="Tabletextprimarysource"/>
              <w:numPr>
                <w:ilvl w:val="0"/>
                <w:numId w:val="2"/>
              </w:numPr>
            </w:pPr>
            <w:r>
              <w:t>No data on sensitis</w:t>
            </w:r>
            <w:r w:rsidR="00832158">
              <w:t>ation reported</w:t>
            </w:r>
          </w:p>
          <w:p w14:paraId="5B2CEBDD" w14:textId="33F6302F" w:rsidR="00DB7373" w:rsidRDefault="00DF2737" w:rsidP="00832158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Negative effects on adaptation to darkness, optical chronaxie and electrocortical reflexes reported for inhalation </w:t>
            </w:r>
            <w:r w:rsidR="00E97AEE">
              <w:rPr>
                <w:rFonts w:cs="Arial"/>
              </w:rPr>
              <w:t>≥</w:t>
            </w:r>
            <w:r>
              <w:t>0.028 mg/m</w:t>
            </w:r>
            <w:r w:rsidRPr="00DF2737">
              <w:rPr>
                <w:vertAlign w:val="superscript"/>
              </w:rPr>
              <w:t>3</w:t>
            </w:r>
            <w:r>
              <w:t>. No other details provided</w:t>
            </w:r>
          </w:p>
          <w:p w14:paraId="7E53C11C" w14:textId="1ABB3BD7" w:rsidR="000F3FAA" w:rsidRDefault="00832158" w:rsidP="008A06DC">
            <w:pPr>
              <w:pStyle w:val="Tabletextprimarysource"/>
              <w:numPr>
                <w:ilvl w:val="0"/>
                <w:numId w:val="2"/>
              </w:numPr>
            </w:pPr>
            <w:r>
              <w:t>Eye and nose irritation threshold values of 1</w:t>
            </w:r>
            <w:r w:rsidR="005128A7">
              <w:t>,</w:t>
            </w:r>
            <w:r>
              <w:t>800</w:t>
            </w:r>
            <w:r w:rsidR="00BF62F2">
              <w:t>–</w:t>
            </w:r>
            <w:r>
              <w:t>4</w:t>
            </w:r>
            <w:r w:rsidR="005128A7">
              <w:t>,</w:t>
            </w:r>
            <w:r>
              <w:t>000 ppm is reported with effects of painful eye and pain in the upper respiratory tract after exposure to 300</w:t>
            </w:r>
            <w:r w:rsidR="00BF62F2">
              <w:t>–</w:t>
            </w:r>
            <w:r>
              <w:t>400 ppm</w:t>
            </w:r>
            <w:r w:rsidR="000F3FAA">
              <w:t>.</w:t>
            </w:r>
          </w:p>
          <w:p w14:paraId="4A52E955" w14:textId="751694B4" w:rsidR="00832158" w:rsidRDefault="00832158" w:rsidP="00832158">
            <w:pPr>
              <w:pStyle w:val="Tabletextprimarysource"/>
            </w:pPr>
            <w:r>
              <w:t>Animal data:</w:t>
            </w:r>
          </w:p>
          <w:p w14:paraId="373361BF" w14:textId="3EE2E51D" w:rsidR="00C978F0" w:rsidRDefault="002B16D3" w:rsidP="00832158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Slight </w:t>
            </w:r>
            <w:r w:rsidRPr="00312AF6">
              <w:t>skin</w:t>
            </w:r>
            <w:r w:rsidR="00832158" w:rsidRPr="00312AF6">
              <w:t>, eye and respiratory tract</w:t>
            </w:r>
            <w:r w:rsidRPr="00312AF6">
              <w:t xml:space="preserve"> irritation</w:t>
            </w:r>
            <w:r w:rsidR="00832158" w:rsidRPr="00312AF6">
              <w:t xml:space="preserve"> reported with tumour-inducing effects on the lungs of mice and nose of rats after repeated inhalation</w:t>
            </w:r>
          </w:p>
          <w:p w14:paraId="07EF4609" w14:textId="33414107" w:rsidR="00DF2737" w:rsidRDefault="00DF2737" w:rsidP="00832158">
            <w:pPr>
              <w:pStyle w:val="Tabletextprimarysource"/>
              <w:numPr>
                <w:ilvl w:val="0"/>
                <w:numId w:val="2"/>
              </w:numPr>
            </w:pPr>
            <w:r>
              <w:lastRenderedPageBreak/>
              <w:t>LD</w:t>
            </w:r>
            <w:r w:rsidRPr="00DF2737">
              <w:rPr>
                <w:vertAlign w:val="subscript"/>
              </w:rPr>
              <w:t>50</w:t>
            </w:r>
            <w:r>
              <w:t>: &gt;3</w:t>
            </w:r>
            <w:r w:rsidR="005128A7">
              <w:t>,</w:t>
            </w:r>
            <w:r>
              <w:t>160 mg/kg (rabbits); effects included weight loss with pulmonary haemorrhage discoloration of liver, kidney, spleen, enlarged gallbladder and inflammation of gastrointestinal tract reported in some of the animals</w:t>
            </w:r>
          </w:p>
          <w:p w14:paraId="1E1FA1E9" w14:textId="51549AD6" w:rsidR="00DF2737" w:rsidRDefault="00DF2737" w:rsidP="00832158">
            <w:pPr>
              <w:pStyle w:val="Tabletextprimarysource"/>
              <w:numPr>
                <w:ilvl w:val="0"/>
                <w:numId w:val="2"/>
              </w:numPr>
            </w:pPr>
            <w:r>
              <w:t>NO</w:t>
            </w:r>
            <w:r w:rsidR="007C4937">
              <w:t>A</w:t>
            </w:r>
            <w:r>
              <w:t>EC: 100 ppm (rats, 90</w:t>
            </w:r>
            <w:r w:rsidR="005128A7">
              <w:t xml:space="preserve"> </w:t>
            </w:r>
            <w:r>
              <w:t>d inhalation study)</w:t>
            </w:r>
          </w:p>
          <w:p w14:paraId="2EFDEE7E" w14:textId="6617078F" w:rsidR="00DF2737" w:rsidRDefault="00DF2737" w:rsidP="00832158">
            <w:pPr>
              <w:pStyle w:val="Tabletextprimarysource"/>
              <w:numPr>
                <w:ilvl w:val="0"/>
                <w:numId w:val="2"/>
              </w:numPr>
            </w:pPr>
            <w:r>
              <w:t>No fetotoxic or teratogenic effects in rats and rabbits up to 1</w:t>
            </w:r>
            <w:r w:rsidR="005128A7">
              <w:t>,</w:t>
            </w:r>
            <w:r>
              <w:t>200 and 2</w:t>
            </w:r>
            <w:r w:rsidR="005128A7">
              <w:t>,</w:t>
            </w:r>
            <w:r>
              <w:t xml:space="preserve">300 ppm for 6 </w:t>
            </w:r>
            <w:r w:rsidR="0080715B">
              <w:t>h/d from gestation days 6</w:t>
            </w:r>
            <w:r w:rsidR="00BF62F2">
              <w:t>–</w:t>
            </w:r>
            <w:r w:rsidR="0080715B">
              <w:t>15 and 16</w:t>
            </w:r>
            <w:r w:rsidR="00BF62F2">
              <w:t>–</w:t>
            </w:r>
            <w:r w:rsidR="0080715B">
              <w:t>18, respectively. Maternal toxicity reported for concentrations &gt;100 and &gt;500 ppm in rats and rabbits, respectively</w:t>
            </w:r>
          </w:p>
          <w:p w14:paraId="18FC2748" w14:textId="453F411F" w:rsidR="001C5C0D" w:rsidRDefault="0080715B" w:rsidP="00E10A55">
            <w:pPr>
              <w:pStyle w:val="Tabletextprimarysource"/>
              <w:numPr>
                <w:ilvl w:val="0"/>
                <w:numId w:val="2"/>
              </w:numPr>
            </w:pPr>
            <w:r>
              <w:t>No</w:t>
            </w:r>
            <w:r w:rsidR="000A4C00">
              <w:t>t considered</w:t>
            </w:r>
            <w:r>
              <w:t xml:space="preserve"> genotoxic </w:t>
            </w:r>
            <w:r w:rsidR="00174AC1">
              <w:t xml:space="preserve">and no data on </w:t>
            </w:r>
            <w:r w:rsidR="000A4C00">
              <w:t xml:space="preserve">germ cell </w:t>
            </w:r>
            <w:r w:rsidR="00174AC1">
              <w:t>mutagenicity is available</w:t>
            </w:r>
            <w:r w:rsidR="001C5C0D">
              <w:t>.</w:t>
            </w:r>
            <w:r w:rsidR="000A4C00">
              <w:t xml:space="preserve"> However, the prevalence of mutations in </w:t>
            </w:r>
            <w:r w:rsidR="000A4C00" w:rsidRPr="000A4C00">
              <w:rPr>
                <w:i/>
              </w:rPr>
              <w:t xml:space="preserve">K-ras </w:t>
            </w:r>
            <w:r w:rsidR="000A4C00" w:rsidRPr="000A4C00">
              <w:t>and</w:t>
            </w:r>
            <w:r w:rsidR="000A4C00" w:rsidRPr="000A4C00">
              <w:rPr>
                <w:i/>
              </w:rPr>
              <w:t xml:space="preserve"> p5</w:t>
            </w:r>
            <w:r w:rsidR="000A4C00">
              <w:t>3 mutations have been observed, although inconclusive. C</w:t>
            </w:r>
            <w:r w:rsidR="00174AC1">
              <w:t xml:space="preserve">arcinomas, adenomas, metaplasia and hyperplasia in the lungs and hyperplasia and adenomas in the nose have been reported in </w:t>
            </w:r>
            <w:r w:rsidR="00E97AEE">
              <w:t xml:space="preserve">exposed </w:t>
            </w:r>
            <w:r w:rsidR="008E34C7">
              <w:t>rats</w:t>
            </w:r>
            <w:r w:rsidR="000F3FAA">
              <w:t>.</w:t>
            </w:r>
          </w:p>
          <w:p w14:paraId="643DC66F" w14:textId="77777777" w:rsidR="000F3FAA" w:rsidRDefault="000F3FAA" w:rsidP="008E34C7">
            <w:pPr>
              <w:pStyle w:val="Tabletextprimarysource"/>
            </w:pPr>
          </w:p>
          <w:p w14:paraId="42814C81" w14:textId="52D58435" w:rsidR="008E34C7" w:rsidRDefault="008E34C7" w:rsidP="008E34C7">
            <w:pPr>
              <w:pStyle w:val="Tabletextprimarysource"/>
            </w:pPr>
            <w:r>
              <w:t>MAK</w:t>
            </w:r>
            <w:r w:rsidRPr="008E34C7">
              <w:t xml:space="preserve"> derived from a lower confidence limit of the benchmark dose of 42 ppm for nasal adenoma in male rats in a </w:t>
            </w:r>
            <w:r w:rsidR="003E6FB3">
              <w:t>2 yr</w:t>
            </w:r>
            <w:r w:rsidRPr="008E34C7">
              <w:t xml:space="preserve"> inhalation study</w:t>
            </w:r>
            <w:r>
              <w:t>.</w:t>
            </w:r>
          </w:p>
          <w:p w14:paraId="2D25385A" w14:textId="389B8D1C" w:rsidR="000F3FAA" w:rsidRPr="008E34C7" w:rsidRDefault="000F3FAA" w:rsidP="008E34C7">
            <w:pPr>
              <w:pStyle w:val="Tabletextprimarysource"/>
            </w:pPr>
          </w:p>
        </w:tc>
      </w:tr>
      <w:tr w:rsidR="00C978F0" w:rsidRPr="00DA352E" w14:paraId="6FEA84B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8329E2" w14:textId="7DAD552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148DA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148DA" w:rsidRPr="00E10A55">
                  <w:t>Not assigned</w:t>
                </w:r>
              </w:sdtContent>
            </w:sdt>
          </w:p>
        </w:tc>
      </w:tr>
      <w:tr w:rsidR="00C978F0" w:rsidRPr="00DA352E" w14:paraId="14DF18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F324FF" w14:textId="73AE2128" w:rsidR="00C978F0" w:rsidRPr="00DA352E" w:rsidRDefault="005128A7" w:rsidP="003365A5">
            <w:pPr>
              <w:pStyle w:val="Tabletextprimarysource"/>
            </w:pPr>
            <w:r>
              <w:t>No report</w:t>
            </w:r>
            <w:r w:rsidR="000F3FAA">
              <w:t>.</w:t>
            </w:r>
          </w:p>
        </w:tc>
      </w:tr>
      <w:tr w:rsidR="00DA352E" w:rsidRPr="00DA352E" w14:paraId="23FA142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BB42AF" w14:textId="5CA3DB6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A12E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A12EC">
                  <w:t>NA</w:t>
                </w:r>
              </w:sdtContent>
            </w:sdt>
          </w:p>
        </w:tc>
      </w:tr>
      <w:tr w:rsidR="00DA352E" w:rsidRPr="00DA352E" w14:paraId="09E7914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E4218A" w14:textId="53E15AC6" w:rsidR="00DA352E" w:rsidRPr="00DA352E" w:rsidRDefault="009A12EC" w:rsidP="003365A5">
            <w:pPr>
              <w:pStyle w:val="Tabletextprimarysource"/>
            </w:pPr>
            <w:r>
              <w:t>No report</w:t>
            </w:r>
            <w:r w:rsidR="000F3FAA">
              <w:t>.</w:t>
            </w:r>
          </w:p>
        </w:tc>
      </w:tr>
      <w:tr w:rsidR="00DA352E" w:rsidRPr="00DA352E" w14:paraId="41AA9F7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BC80EC" w14:textId="6B70B09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A12E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A12EC">
                  <w:t>NA</w:t>
                </w:r>
              </w:sdtContent>
            </w:sdt>
          </w:p>
        </w:tc>
      </w:tr>
      <w:tr w:rsidR="00DA352E" w:rsidRPr="00DA352E" w14:paraId="0F8205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B3BDB8" w14:textId="5EA8B3D1" w:rsidR="00DA352E" w:rsidRPr="00DA352E" w:rsidRDefault="009A12EC" w:rsidP="003365A5">
            <w:pPr>
              <w:pStyle w:val="Tabletextprimarysource"/>
            </w:pPr>
            <w:r>
              <w:t>No report</w:t>
            </w:r>
            <w:r w:rsidR="000F3FAA">
              <w:t>.</w:t>
            </w:r>
          </w:p>
        </w:tc>
      </w:tr>
    </w:tbl>
    <w:p w14:paraId="0A19C82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3F8E351F" w14:textId="77777777" w:rsidTr="00E97AEE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1A216DE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F81B43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DEBB3D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5660183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B5CFB94" w14:textId="77777777" w:rsidTr="00E97AEE">
        <w:trPr>
          <w:cantSplit/>
        </w:trPr>
        <w:tc>
          <w:tcPr>
            <w:tcW w:w="1491" w:type="dxa"/>
          </w:tcPr>
          <w:p w14:paraId="0E1CEF8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071CF8A4" w14:textId="1C1DAC89" w:rsidR="004966BF" w:rsidRPr="00CE617F" w:rsidRDefault="008E3C7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109D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D7B57B5" w14:textId="51A1F98E" w:rsidR="004966BF" w:rsidRPr="004C23F4" w:rsidRDefault="00B109D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1988</w:t>
            </w:r>
            <w:r w:rsidR="005128A7">
              <w:rPr>
                <w:rStyle w:val="checkbox"/>
                <w:rFonts w:ascii="Arial" w:hAnsi="Arial" w:cs="Arial"/>
              </w:rPr>
              <w:t xml:space="preserve"> </w:t>
            </w:r>
          </w:p>
        </w:tc>
        <w:tc>
          <w:tcPr>
            <w:tcW w:w="6451" w:type="dxa"/>
          </w:tcPr>
          <w:p w14:paraId="0EE28B8F" w14:textId="04807AE8" w:rsidR="00B109D9" w:rsidRDefault="00AC67E3" w:rsidP="008A06DC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Inadequate human or animal data to assign </w:t>
            </w:r>
            <w:r w:rsidR="00B109D9">
              <w:rPr>
                <w:rStyle w:val="checkbox"/>
                <w:rFonts w:ascii="Arial" w:hAnsi="Arial" w:cs="Arial"/>
              </w:rPr>
              <w:t xml:space="preserve">carcinogenicity </w:t>
            </w:r>
            <w:r>
              <w:rPr>
                <w:rStyle w:val="checkbox"/>
                <w:rFonts w:ascii="Arial" w:hAnsi="Arial" w:cs="Arial"/>
              </w:rPr>
              <w:t>classification</w:t>
            </w:r>
          </w:p>
          <w:p w14:paraId="7FE0BA6E" w14:textId="4BCB0C2C" w:rsidR="004966BF" w:rsidRPr="004C23F4" w:rsidRDefault="00AC67E3" w:rsidP="008A06DC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Inhalation Reference Concentration (RfC) of 0.4 mg/m</w:t>
            </w:r>
            <w:r w:rsidRPr="00E97AEE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was derived based on </w:t>
            </w:r>
            <w:r w:rsidR="00B109D9">
              <w:rPr>
                <w:rStyle w:val="checkbox"/>
                <w:rFonts w:ascii="Arial" w:hAnsi="Arial" w:cs="Arial"/>
              </w:rPr>
              <w:t>NOAEL</w:t>
            </w:r>
            <w:r>
              <w:rPr>
                <w:rStyle w:val="checkbox"/>
                <w:rFonts w:ascii="Arial" w:hAnsi="Arial" w:cs="Arial"/>
              </w:rPr>
              <w:t xml:space="preserve"> of</w:t>
            </w:r>
            <w:r w:rsidR="00E645CC">
              <w:rPr>
                <w:rStyle w:val="checkbox"/>
                <w:rFonts w:ascii="Arial" w:hAnsi="Arial" w:cs="Arial"/>
              </w:rPr>
              <w:t xml:space="preserve"> 2</w:t>
            </w:r>
            <w:r w:rsidR="005128A7">
              <w:rPr>
                <w:rStyle w:val="checkbox"/>
                <w:rFonts w:ascii="Arial" w:hAnsi="Arial" w:cs="Arial"/>
              </w:rPr>
              <w:t>,</w:t>
            </w:r>
            <w:r w:rsidR="00E645CC">
              <w:rPr>
                <w:rStyle w:val="checkbox"/>
                <w:rFonts w:ascii="Arial" w:hAnsi="Arial" w:cs="Arial"/>
              </w:rPr>
              <w:t>438 mg/m</w:t>
            </w:r>
            <w:r w:rsidR="00E645CC" w:rsidRPr="00E645CC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E645CC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(496 ppm) </w:t>
            </w:r>
            <w:r w:rsidR="00E645CC">
              <w:rPr>
                <w:rStyle w:val="checkbox"/>
                <w:rFonts w:ascii="Arial" w:hAnsi="Arial" w:cs="Arial"/>
              </w:rPr>
              <w:t>and LOAEL</w:t>
            </w:r>
            <w:r>
              <w:rPr>
                <w:rStyle w:val="checkbox"/>
                <w:rFonts w:ascii="Arial" w:hAnsi="Arial" w:cs="Arial"/>
              </w:rPr>
              <w:t xml:space="preserve"> of</w:t>
            </w:r>
            <w:r w:rsidR="00E645CC">
              <w:rPr>
                <w:rStyle w:val="checkbox"/>
                <w:rFonts w:ascii="Arial" w:hAnsi="Arial" w:cs="Arial"/>
              </w:rPr>
              <w:t xml:space="preserve"> 5</w:t>
            </w:r>
            <w:r w:rsidR="005128A7">
              <w:rPr>
                <w:rStyle w:val="checkbox"/>
                <w:rFonts w:ascii="Arial" w:hAnsi="Arial" w:cs="Arial"/>
              </w:rPr>
              <w:t>,</w:t>
            </w:r>
            <w:r w:rsidR="00E645CC">
              <w:rPr>
                <w:rStyle w:val="checkbox"/>
                <w:rFonts w:ascii="Arial" w:hAnsi="Arial" w:cs="Arial"/>
              </w:rPr>
              <w:t>909 mg/m</w:t>
            </w:r>
            <w:r w:rsidR="00E645CC" w:rsidRPr="00E645CC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E645CC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(1202 ppm) </w:t>
            </w:r>
            <w:r w:rsidR="00E645CC">
              <w:rPr>
                <w:rStyle w:val="checkbox"/>
                <w:rFonts w:ascii="Arial" w:hAnsi="Arial" w:cs="Arial"/>
              </w:rPr>
              <w:t>for increased kidney and adrenal weight</w:t>
            </w:r>
            <w:r w:rsidR="00D939A3">
              <w:rPr>
                <w:rStyle w:val="checkbox"/>
                <w:rFonts w:ascii="Arial" w:hAnsi="Arial" w:cs="Arial"/>
              </w:rPr>
              <w:t>s</w:t>
            </w:r>
            <w:r w:rsidR="00E645CC">
              <w:rPr>
                <w:rStyle w:val="checkbox"/>
                <w:rFonts w:ascii="Arial" w:hAnsi="Arial" w:cs="Arial"/>
              </w:rPr>
              <w:t xml:space="preserve"> (rats,</w:t>
            </w:r>
            <w:r w:rsidR="00D939A3">
              <w:rPr>
                <w:rStyle w:val="checkbox"/>
                <w:rFonts w:ascii="Arial" w:hAnsi="Arial" w:cs="Arial"/>
              </w:rPr>
              <w:t xml:space="preserve"> 13</w:t>
            </w:r>
            <w:r w:rsidR="005128A7">
              <w:rPr>
                <w:rStyle w:val="checkbox"/>
                <w:rFonts w:ascii="Arial" w:hAnsi="Arial" w:cs="Arial"/>
              </w:rPr>
              <w:t xml:space="preserve"> </w:t>
            </w:r>
            <w:r w:rsidR="00D939A3">
              <w:rPr>
                <w:rStyle w:val="checkbox"/>
                <w:rFonts w:ascii="Arial" w:hAnsi="Arial" w:cs="Arial"/>
              </w:rPr>
              <w:t>w</w:t>
            </w:r>
            <w:r w:rsidR="00BA734E">
              <w:rPr>
                <w:rStyle w:val="checkbox"/>
                <w:rFonts w:ascii="Arial" w:hAnsi="Arial" w:cs="Arial"/>
              </w:rPr>
              <w:t>k</w:t>
            </w:r>
            <w:r w:rsidR="00D939A3">
              <w:rPr>
                <w:rStyle w:val="checkbox"/>
                <w:rFonts w:ascii="Arial" w:hAnsi="Arial" w:cs="Arial"/>
              </w:rPr>
              <w:t xml:space="preserve"> inhalation study)</w:t>
            </w:r>
            <w:r w:rsidR="005128A7">
              <w:rPr>
                <w:rStyle w:val="checkbox"/>
                <w:rFonts w:ascii="Arial" w:hAnsi="Arial" w:cs="Arial"/>
              </w:rPr>
              <w:t>.</w:t>
            </w:r>
            <w:r w:rsidR="00E645CC"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  <w:tr w:rsidR="00D12907" w:rsidRPr="004C23F4" w14:paraId="41AAD3D7" w14:textId="77777777" w:rsidTr="00E97AEE">
        <w:trPr>
          <w:cantSplit/>
        </w:trPr>
        <w:tc>
          <w:tcPr>
            <w:tcW w:w="1491" w:type="dxa"/>
          </w:tcPr>
          <w:p w14:paraId="32D61EA1" w14:textId="5D0E128D" w:rsidR="00D12907" w:rsidRPr="00A7623A" w:rsidRDefault="00D12907" w:rsidP="00224EE2">
            <w:pPr>
              <w:pStyle w:val="Tablefont"/>
            </w:pPr>
            <w:r w:rsidRPr="00A7623A">
              <w:t>IARC</w:t>
            </w:r>
          </w:p>
        </w:tc>
        <w:tc>
          <w:tcPr>
            <w:tcW w:w="423" w:type="dxa"/>
          </w:tcPr>
          <w:p w14:paraId="5B61C534" w14:textId="6CD33AB1" w:rsidR="00D12907" w:rsidRPr="00A7623A" w:rsidRDefault="008E3C7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943345494"/>
                <w:placeholder>
                  <w:docPart w:val="3F318254B2294BB981845B47DEA1AD2B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473FA" w:rsidRPr="00A7623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0D73701" w14:textId="513E4DA3" w:rsidR="00D12907" w:rsidRPr="00A7623A" w:rsidRDefault="00E473F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7623A"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51" w:type="dxa"/>
          </w:tcPr>
          <w:p w14:paraId="07EA14CC" w14:textId="05D97877" w:rsidR="00D12907" w:rsidRDefault="00A7623A" w:rsidP="008A06D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Not mutagenic in </w:t>
            </w:r>
            <w:r w:rsidR="00536399">
              <w:rPr>
                <w:rStyle w:val="checkbox"/>
                <w:rFonts w:ascii="Arial" w:hAnsi="Arial" w:cs="Arial"/>
                <w:i/>
              </w:rPr>
              <w:t>Salmonella</w:t>
            </w:r>
            <w:r w:rsidR="00536399">
              <w:rPr>
                <w:rStyle w:val="checkbox"/>
                <w:rFonts w:ascii="Arial" w:hAnsi="Arial" w:cs="Arial"/>
              </w:rPr>
              <w:t xml:space="preserve">; </w:t>
            </w:r>
            <w:r w:rsidR="00536399" w:rsidRPr="00A7623A">
              <w:rPr>
                <w:rStyle w:val="checkbox"/>
                <w:rFonts w:ascii="Arial" w:hAnsi="Arial" w:cs="Arial"/>
              </w:rPr>
              <w:t>some</w:t>
            </w:r>
            <w:r>
              <w:rPr>
                <w:rStyle w:val="checkbox"/>
                <w:rFonts w:ascii="Arial" w:hAnsi="Arial" w:cs="Arial"/>
              </w:rPr>
              <w:t xml:space="preserve"> metabolites are mutagenic</w:t>
            </w:r>
          </w:p>
          <w:p w14:paraId="69DAEA4A" w14:textId="1EC6BA5B" w:rsidR="00A7623A" w:rsidRDefault="00A7623A" w:rsidP="008A06D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Mutational mechanism possible </w:t>
            </w:r>
            <w:r w:rsidR="003E6FB3">
              <w:rPr>
                <w:rStyle w:val="checkbox"/>
                <w:rFonts w:ascii="Arial" w:hAnsi="Arial" w:cs="Arial"/>
              </w:rPr>
              <w:t>to</w:t>
            </w:r>
            <w:r>
              <w:rPr>
                <w:rStyle w:val="checkbox"/>
                <w:rFonts w:ascii="Arial" w:hAnsi="Arial" w:cs="Arial"/>
              </w:rPr>
              <w:t xml:space="preserve"> produce lung or nasal tumours in both rodents and humans</w:t>
            </w:r>
          </w:p>
          <w:p w14:paraId="6B65F668" w14:textId="594A0A2D" w:rsidR="008E34C7" w:rsidRPr="00A7623A" w:rsidRDefault="008E34C7" w:rsidP="008A06D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Dose related increase in the incidence of nasal tumours in male and female rats exposed via inhalation to 0, 250, 500 or 1,000 ppm; 12 min/d, 5 d/wk for 105 wk</w:t>
            </w:r>
            <w:r w:rsidR="000F3FAA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E473FA" w:rsidRPr="004C23F4" w14:paraId="0FFFF883" w14:textId="77777777" w:rsidTr="00E97AEE">
        <w:trPr>
          <w:cantSplit/>
        </w:trPr>
        <w:tc>
          <w:tcPr>
            <w:tcW w:w="1491" w:type="dxa"/>
          </w:tcPr>
          <w:p w14:paraId="620A5E14" w14:textId="2EEE2AAA" w:rsidR="00E473FA" w:rsidRPr="00536399" w:rsidRDefault="00E473FA" w:rsidP="00224EE2">
            <w:pPr>
              <w:pStyle w:val="Tablefont"/>
            </w:pPr>
            <w:r w:rsidRPr="00536399">
              <w:t>NICNAS</w:t>
            </w:r>
          </w:p>
        </w:tc>
        <w:tc>
          <w:tcPr>
            <w:tcW w:w="423" w:type="dxa"/>
          </w:tcPr>
          <w:p w14:paraId="42C8144F" w14:textId="5F6BF037" w:rsidR="00E473FA" w:rsidRPr="00536399" w:rsidRDefault="008E3C7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43108177"/>
                <w:placeholder>
                  <w:docPart w:val="243181D0CF644639A63DAAD226EF5B64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473FA" w:rsidRPr="0053639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0BFFBE2" w14:textId="5172AFD4" w:rsidR="00E473FA" w:rsidRPr="00536399" w:rsidRDefault="00E473F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536399"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1" w:type="dxa"/>
          </w:tcPr>
          <w:p w14:paraId="14B3F5B0" w14:textId="6734AFBB" w:rsidR="00536399" w:rsidRDefault="00536399" w:rsidP="000F3FA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536399">
              <w:rPr>
                <w:rStyle w:val="checkbox"/>
                <w:rFonts w:ascii="Arial" w:hAnsi="Arial" w:cs="Arial"/>
              </w:rPr>
              <w:t>ritical health effect</w:t>
            </w:r>
            <w:r>
              <w:rPr>
                <w:rStyle w:val="checkbox"/>
                <w:rFonts w:ascii="Arial" w:hAnsi="Arial" w:cs="Arial"/>
              </w:rPr>
              <w:t xml:space="preserve"> is carcinogenicity</w:t>
            </w:r>
          </w:p>
          <w:p w14:paraId="770FC8F4" w14:textId="39372C86" w:rsidR="00536399" w:rsidRDefault="00536399" w:rsidP="000F3FA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536399">
              <w:rPr>
                <w:rStyle w:val="checkbox"/>
                <w:rFonts w:ascii="Arial" w:hAnsi="Arial" w:cs="Arial"/>
              </w:rPr>
              <w:t>an also cause respiratory irritation and reversible neurotoxic effects</w:t>
            </w:r>
          </w:p>
          <w:p w14:paraId="49BFBC08" w14:textId="07C70ADA" w:rsidR="00E473FA" w:rsidRDefault="00536399" w:rsidP="000F3FA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36399">
              <w:rPr>
                <w:rStyle w:val="checkbox"/>
                <w:rFonts w:ascii="Arial" w:hAnsi="Arial" w:cs="Arial"/>
              </w:rPr>
              <w:t xml:space="preserve">Evidence of genotoxicity for the metabolite </w:t>
            </w:r>
            <w:r w:rsidR="005401AB">
              <w:rPr>
                <w:rStyle w:val="checkbox"/>
                <w:rFonts w:ascii="Arial" w:hAnsi="Arial" w:cs="Arial"/>
              </w:rPr>
              <w:br/>
            </w:r>
            <w:r w:rsidRPr="00536399">
              <w:rPr>
                <w:rStyle w:val="checkbox"/>
                <w:rFonts w:ascii="Arial" w:hAnsi="Arial" w:cs="Arial"/>
              </w:rPr>
              <w:t>a-methylstyrene</w:t>
            </w:r>
            <w:r w:rsidR="00161AD3">
              <w:rPr>
                <w:rStyle w:val="checkbox"/>
                <w:rFonts w:ascii="Arial" w:hAnsi="Arial" w:cs="Arial"/>
              </w:rPr>
              <w:t xml:space="preserve"> </w:t>
            </w:r>
            <w:r w:rsidRPr="00536399">
              <w:rPr>
                <w:rStyle w:val="checkbox"/>
                <w:rFonts w:ascii="Arial" w:hAnsi="Arial" w:cs="Arial"/>
              </w:rPr>
              <w:t>oxide</w:t>
            </w:r>
          </w:p>
          <w:p w14:paraId="302ED722" w14:textId="30273671" w:rsidR="00857767" w:rsidRPr="00536399" w:rsidRDefault="00857767" w:rsidP="000F3FA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000000" w:themeColor="text1"/>
              </w:rPr>
              <w:t>Although</w:t>
            </w:r>
            <w:r w:rsidRPr="00857767">
              <w:rPr>
                <w:rFonts w:cs="Arial"/>
                <w:color w:val="000000" w:themeColor="text1"/>
              </w:rPr>
              <w:t xml:space="preserve"> irritating, the chemical does not cause severe toxic effects following repeated dermal application.</w:t>
            </w:r>
          </w:p>
        </w:tc>
      </w:tr>
    </w:tbl>
    <w:bookmarkEnd w:id="0"/>
    <w:p w14:paraId="7B580E38" w14:textId="3B1ADB7E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A7623A" w14:paraId="7CD257FB" w14:textId="77777777" w:rsidTr="003E6FB3">
        <w:trPr>
          <w:trHeight w:val="454"/>
          <w:tblHeader/>
        </w:trPr>
        <w:tc>
          <w:tcPr>
            <w:tcW w:w="6609" w:type="dxa"/>
            <w:vAlign w:val="center"/>
          </w:tcPr>
          <w:p w14:paraId="043B1CC0" w14:textId="77777777" w:rsidR="00A7623A" w:rsidRDefault="00A7623A" w:rsidP="004C6D4A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mutagenic?</w:t>
            </w:r>
          </w:p>
        </w:tc>
        <w:sdt>
          <w:sdtPr>
            <w:id w:val="319705052"/>
            <w:placeholder>
              <w:docPart w:val="A1E36B013DBE47DC9BF461419E03896A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ACAB017" w14:textId="43DA2409" w:rsidR="00A7623A" w:rsidRDefault="00A7623A" w:rsidP="004C6D4A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A7623A" w14:paraId="24E975B9" w14:textId="77777777" w:rsidTr="003E6FB3">
        <w:trPr>
          <w:trHeight w:val="454"/>
        </w:trPr>
        <w:tc>
          <w:tcPr>
            <w:tcW w:w="6609" w:type="dxa"/>
            <w:vAlign w:val="center"/>
          </w:tcPr>
          <w:p w14:paraId="2C862FFF" w14:textId="77777777" w:rsidR="00A7623A" w:rsidRDefault="00A7623A" w:rsidP="004C6D4A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90BDFA60352A427691B1EF9E3E870FCD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32EC0E32" w14:textId="32AEE119" w:rsidR="00A7623A" w:rsidRDefault="00A7623A" w:rsidP="004C6D4A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A7623A" w14:paraId="77346E80" w14:textId="77777777" w:rsidTr="003E6FB3">
        <w:trPr>
          <w:trHeight w:val="454"/>
        </w:trPr>
        <w:sdt>
          <w:sdtPr>
            <w:rPr>
              <w:b/>
            </w:rPr>
            <w:id w:val="1830936485"/>
            <w:placeholder>
              <w:docPart w:val="35813458F3A54EEDA839F926FD5243B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2B5600B7" w14:textId="51517A31" w:rsidR="00A7623A" w:rsidRPr="006901A2" w:rsidRDefault="00A7623A" w:rsidP="004C6D4A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1D664366" w14:textId="77777777" w:rsidR="00A7623A" w:rsidRDefault="00A7623A" w:rsidP="004C6D4A">
            <w:pPr>
              <w:pStyle w:val="Tablefont"/>
              <w:keepNext/>
              <w:keepLines/>
              <w:spacing w:before="40" w:after="40"/>
            </w:pPr>
          </w:p>
        </w:tc>
      </w:tr>
      <w:tr w:rsidR="00A7623A" w14:paraId="67E3A5FE" w14:textId="77777777" w:rsidTr="003E6FB3">
        <w:trPr>
          <w:trHeight w:val="454"/>
        </w:trPr>
        <w:tc>
          <w:tcPr>
            <w:tcW w:w="6609" w:type="dxa"/>
            <w:vAlign w:val="center"/>
          </w:tcPr>
          <w:p w14:paraId="31802B86" w14:textId="77777777" w:rsidR="00A7623A" w:rsidRDefault="00A7623A" w:rsidP="004C6D4A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42DDE464B7104CB98805920B30AA9435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D127372" w14:textId="59F6B4FC" w:rsidR="00A7623A" w:rsidRDefault="00536399" w:rsidP="004C6D4A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bookmarkEnd w:id="1"/>
    </w:tbl>
    <w:p w14:paraId="10634F30" w14:textId="77777777" w:rsidR="00A7623A" w:rsidRPr="00A7623A" w:rsidRDefault="00A7623A" w:rsidP="00A7623A">
      <w:pPr>
        <w:rPr>
          <w:lang w:eastAsia="en-AU"/>
        </w:rPr>
      </w:pPr>
    </w:p>
    <w:p w14:paraId="72B63AC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4CAFD6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3FA6EF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97FBEE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5A7950D" w14:textId="77777777" w:rsidTr="00812887">
        <w:trPr>
          <w:cantSplit/>
        </w:trPr>
        <w:tc>
          <w:tcPr>
            <w:tcW w:w="3227" w:type="dxa"/>
          </w:tcPr>
          <w:p w14:paraId="3A684AA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E05F57D" w14:textId="58A6C9BF" w:rsidR="00687890" w:rsidRPr="00DD2F9B" w:rsidRDefault="00E37EE5" w:rsidP="00DD2F9B">
            <w:pPr>
              <w:pStyle w:val="Tablefont"/>
            </w:pPr>
            <w:r>
              <w:t>Skin</w:t>
            </w:r>
          </w:p>
        </w:tc>
      </w:tr>
      <w:tr w:rsidR="007925F0" w:rsidRPr="004C23F4" w14:paraId="11D0279C" w14:textId="77777777" w:rsidTr="00812887">
        <w:trPr>
          <w:cantSplit/>
        </w:trPr>
        <w:tc>
          <w:tcPr>
            <w:tcW w:w="3227" w:type="dxa"/>
          </w:tcPr>
          <w:p w14:paraId="190DE8F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5B026E0" w14:textId="082D78E9" w:rsidR="007925F0" w:rsidRPr="00DD2F9B" w:rsidRDefault="00B970D0" w:rsidP="00DD2F9B">
            <w:pPr>
              <w:pStyle w:val="Tablefont"/>
            </w:pPr>
            <w:r w:rsidRPr="008C0CAD">
              <w:t>Carcinogenicity – category 1B</w:t>
            </w:r>
          </w:p>
        </w:tc>
      </w:tr>
      <w:tr w:rsidR="00AF483F" w:rsidRPr="004C23F4" w14:paraId="1138B22D" w14:textId="77777777" w:rsidTr="00812887">
        <w:trPr>
          <w:cantSplit/>
        </w:trPr>
        <w:tc>
          <w:tcPr>
            <w:tcW w:w="3227" w:type="dxa"/>
          </w:tcPr>
          <w:p w14:paraId="798C430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4F4DFC1" w14:textId="2BE1598F" w:rsidR="00AF483F" w:rsidRPr="00DD2F9B" w:rsidRDefault="00E33ECD" w:rsidP="00DD2F9B">
            <w:pPr>
              <w:pStyle w:val="Tablefont"/>
            </w:pPr>
            <w:r w:rsidRPr="008C0CAD">
              <w:t>Carc. Cat</w:t>
            </w:r>
            <w:r w:rsidR="008C0CAD" w:rsidRPr="008C0CAD">
              <w:t>.</w:t>
            </w:r>
            <w:r w:rsidRPr="008C0CAD">
              <w:t xml:space="preserve"> 2</w:t>
            </w:r>
          </w:p>
        </w:tc>
      </w:tr>
      <w:tr w:rsidR="00687890" w:rsidRPr="004C23F4" w14:paraId="2FC48ABA" w14:textId="77777777" w:rsidTr="00812887">
        <w:trPr>
          <w:cantSplit/>
        </w:trPr>
        <w:tc>
          <w:tcPr>
            <w:tcW w:w="3227" w:type="dxa"/>
          </w:tcPr>
          <w:p w14:paraId="471831A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634B9B2" w14:textId="3BB3A87E" w:rsidR="00687890" w:rsidRPr="00DD2F9B" w:rsidRDefault="001C5A7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BC4B91F" w14:textId="77777777" w:rsidTr="00812887">
        <w:trPr>
          <w:cantSplit/>
        </w:trPr>
        <w:tc>
          <w:tcPr>
            <w:tcW w:w="3227" w:type="dxa"/>
          </w:tcPr>
          <w:p w14:paraId="220AC9B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2E9BB57" w14:textId="2F3E0488" w:rsidR="00E41A26" w:rsidRPr="00DD2F9B" w:rsidRDefault="001C5A7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6A2834A" w14:textId="77777777" w:rsidTr="00812887">
        <w:trPr>
          <w:cantSplit/>
        </w:trPr>
        <w:tc>
          <w:tcPr>
            <w:tcW w:w="3227" w:type="dxa"/>
          </w:tcPr>
          <w:p w14:paraId="34FE9CC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6D22357" w14:textId="2B4EB4FD" w:rsidR="002E0D61" w:rsidRPr="00DD2F9B" w:rsidRDefault="009A12E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DC812D" w14:textId="77777777" w:rsidTr="00812887">
        <w:trPr>
          <w:cantSplit/>
        </w:trPr>
        <w:tc>
          <w:tcPr>
            <w:tcW w:w="3227" w:type="dxa"/>
          </w:tcPr>
          <w:p w14:paraId="0393A10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1962A2A" w14:textId="2FDBD01F" w:rsidR="002E0D61" w:rsidRPr="00DD2F9B" w:rsidRDefault="009A12E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45ECDA6" w14:textId="77777777" w:rsidTr="00812887">
        <w:trPr>
          <w:cantSplit/>
        </w:trPr>
        <w:tc>
          <w:tcPr>
            <w:tcW w:w="3227" w:type="dxa"/>
          </w:tcPr>
          <w:p w14:paraId="0E544EC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35DE674" w14:textId="370EEE0E" w:rsidR="002E0D61" w:rsidRPr="00DD2F9B" w:rsidRDefault="009A12E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94F9F70" w14:textId="77777777" w:rsidTr="00812887">
        <w:trPr>
          <w:cantSplit/>
        </w:trPr>
        <w:tc>
          <w:tcPr>
            <w:tcW w:w="3227" w:type="dxa"/>
          </w:tcPr>
          <w:p w14:paraId="54044D8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41EB697" w14:textId="3A55DFBA" w:rsidR="002E0D61" w:rsidRPr="00DD2F9B" w:rsidRDefault="009A12E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F907953" w14:textId="77777777" w:rsidTr="00812887">
        <w:trPr>
          <w:cantSplit/>
        </w:trPr>
        <w:tc>
          <w:tcPr>
            <w:tcW w:w="3227" w:type="dxa"/>
          </w:tcPr>
          <w:p w14:paraId="2EA46AB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9E14CA" w14:textId="147B2797" w:rsidR="00386093" w:rsidRPr="00DD2F9B" w:rsidRDefault="002B7618" w:rsidP="002B7618">
            <w:r>
              <w:t>Carcinogenicity – Group 2B</w:t>
            </w:r>
          </w:p>
        </w:tc>
      </w:tr>
      <w:tr w:rsidR="00386093" w:rsidRPr="004C23F4" w14:paraId="6EFED32E" w14:textId="77777777" w:rsidTr="00812887">
        <w:trPr>
          <w:cantSplit/>
        </w:trPr>
        <w:tc>
          <w:tcPr>
            <w:tcW w:w="3227" w:type="dxa"/>
          </w:tcPr>
          <w:p w14:paraId="148B4D6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F244F31" w14:textId="7BA26AC8" w:rsidR="00386093" w:rsidRPr="00DD2F9B" w:rsidRDefault="0012281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0F8776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708C53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8CD598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681B36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66E8FC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8EF7BD5" w14:textId="3971D480" w:rsidR="00932DCE" w:rsidRPr="004C23F4" w:rsidRDefault="005128A7" w:rsidP="00F9496B">
            <w:pPr>
              <w:pStyle w:val="Tablefont"/>
            </w:pPr>
            <w:r w:rsidRPr="005128A7">
              <w:t>Insufficient data to assign a skin notation</w:t>
            </w:r>
          </w:p>
        </w:tc>
      </w:tr>
    </w:tbl>
    <w:bookmarkEnd w:id="3"/>
    <w:p w14:paraId="2A8F2A8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4EC5A06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15E3C7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742F534" w14:textId="21BD09EA" w:rsidR="00EB3D1B" w:rsidRDefault="00953639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0EA7B1C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BA31E2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5C5D7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C7A51DB" w14:textId="7B859010" w:rsidR="001B79E5" w:rsidRDefault="002D6BED" w:rsidP="001B79E5">
                <w:pPr>
                  <w:pStyle w:val="Tablefont"/>
                </w:pPr>
                <w:r>
                  <w:t>120.19</w:t>
                </w:r>
              </w:p>
            </w:tc>
          </w:sdtContent>
        </w:sdt>
      </w:tr>
      <w:tr w:rsidR="00A31D99" w:rsidRPr="004C23F4" w14:paraId="4D72855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C928C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F2DDC8A" w14:textId="3435DC0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557B7">
                  <w:t>4.92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557B7">
                  <w:t>0.2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1AE206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72CB3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7EA46E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8155C11" w14:textId="77777777" w:rsidTr="00EA6243">
        <w:trPr>
          <w:cantSplit/>
        </w:trPr>
        <w:tc>
          <w:tcPr>
            <w:tcW w:w="4077" w:type="dxa"/>
            <w:vAlign w:val="center"/>
          </w:tcPr>
          <w:p w14:paraId="401DA9D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D0A882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1E51BA0" w14:textId="77777777" w:rsidTr="00EA6243">
        <w:trPr>
          <w:cantSplit/>
        </w:trPr>
        <w:tc>
          <w:tcPr>
            <w:tcW w:w="4077" w:type="dxa"/>
            <w:vAlign w:val="center"/>
          </w:tcPr>
          <w:p w14:paraId="5679B83D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69DE19E" w14:textId="17FB855A" w:rsidR="00687890" w:rsidRPr="004C23F4" w:rsidRDefault="00473B36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6F40" w:rsidRPr="004C23F4" w14:paraId="5BAC6AE4" w14:textId="77777777" w:rsidTr="00EA6243">
        <w:trPr>
          <w:cantSplit/>
        </w:trPr>
        <w:tc>
          <w:tcPr>
            <w:tcW w:w="4077" w:type="dxa"/>
            <w:vAlign w:val="center"/>
          </w:tcPr>
          <w:p w14:paraId="0D61AFE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7A6F907" w14:textId="77777777" w:rsidR="00E06F40" w:rsidRPr="00A006A0" w:rsidRDefault="008E3C7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08D95A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0B628F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2B305E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8F7424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2B9385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74E1B5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A7AC3E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6B29AB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CE68B7D" w14:textId="48685A92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6207B56" w14:textId="589A49EC" w:rsidR="004E7C82" w:rsidRDefault="004E7C82" w:rsidP="004E7C82">
      <w:pPr>
        <w:rPr>
          <w:b/>
        </w:rPr>
      </w:pPr>
      <w:r w:rsidRPr="002022B6">
        <w:t>Deutsche Forschungsgemeinschaft (DFG)</w:t>
      </w:r>
      <w:r>
        <w:t xml:space="preserve"> (2018) </w:t>
      </w:r>
      <w:r w:rsidRPr="004E7C82">
        <w:t>Isopropyl benzene (Cumene)</w:t>
      </w:r>
      <w:r>
        <w:t xml:space="preserve"> – MAK value documentation.</w:t>
      </w:r>
    </w:p>
    <w:p w14:paraId="5835C48B" w14:textId="0E9CC468" w:rsidR="004E7C82" w:rsidRPr="006F4FB6" w:rsidRDefault="004E7C82" w:rsidP="004E7C82">
      <w:pPr>
        <w:rPr>
          <w:b/>
          <w:color w:val="000000" w:themeColor="text1"/>
        </w:rPr>
      </w:pPr>
      <w:r w:rsidRPr="002022B6">
        <w:t xml:space="preserve">EU </w:t>
      </w:r>
      <w:r w:rsidRPr="006F4FB6">
        <w:rPr>
          <w:color w:val="000000" w:themeColor="text1"/>
        </w:rPr>
        <w:t>Scientific Committee on Occupational Exposure Limits (SCOEL) (</w:t>
      </w:r>
      <w:r w:rsidR="00006BB8" w:rsidRPr="006F4FB6">
        <w:rPr>
          <w:color w:val="000000" w:themeColor="text1"/>
        </w:rPr>
        <w:t>1993</w:t>
      </w:r>
      <w:r w:rsidRPr="006F4FB6">
        <w:rPr>
          <w:color w:val="000000" w:themeColor="text1"/>
        </w:rPr>
        <w:t xml:space="preserve">) Recommendation from the Scientific Committee on Occupational Exposure Limits for </w:t>
      </w:r>
      <w:r w:rsidR="00006BB8" w:rsidRPr="006F4FB6">
        <w:rPr>
          <w:color w:val="000000" w:themeColor="text1"/>
        </w:rPr>
        <w:t>Cumene</w:t>
      </w:r>
      <w:r w:rsidRPr="006F4FB6">
        <w:rPr>
          <w:color w:val="000000" w:themeColor="text1"/>
        </w:rPr>
        <w:t>. SCOEL/</w:t>
      </w:r>
      <w:r w:rsidR="00006BB8" w:rsidRPr="006F4FB6">
        <w:rPr>
          <w:color w:val="000000" w:themeColor="text1"/>
        </w:rPr>
        <w:t>SUM/29</w:t>
      </w:r>
      <w:r w:rsidRPr="006F4FB6">
        <w:rPr>
          <w:color w:val="000000" w:themeColor="text1"/>
        </w:rPr>
        <w:t>.</w:t>
      </w:r>
    </w:p>
    <w:p w14:paraId="7EFDE84F" w14:textId="508B0A6D" w:rsidR="004E7C82" w:rsidRPr="006F4FB6" w:rsidRDefault="004E7C82" w:rsidP="004E7C82">
      <w:pPr>
        <w:rPr>
          <w:color w:val="000000" w:themeColor="text1"/>
        </w:rPr>
      </w:pPr>
      <w:r w:rsidRPr="006F4FB6">
        <w:rPr>
          <w:color w:val="000000" w:themeColor="text1"/>
        </w:rPr>
        <w:t>International Agency for Research on Cancer (IARC) (</w:t>
      </w:r>
      <w:r w:rsidR="00006BB8" w:rsidRPr="006F4FB6">
        <w:rPr>
          <w:color w:val="000000" w:themeColor="text1"/>
        </w:rPr>
        <w:t>2013</w:t>
      </w:r>
      <w:r w:rsidRPr="006F4FB6">
        <w:rPr>
          <w:color w:val="000000" w:themeColor="text1"/>
        </w:rPr>
        <w:t xml:space="preserve">) </w:t>
      </w:r>
      <w:r w:rsidR="00006BB8" w:rsidRPr="006F4FB6">
        <w:rPr>
          <w:rFonts w:cs="Arial"/>
          <w:color w:val="000000" w:themeColor="text1"/>
          <w:lang w:val="en"/>
        </w:rPr>
        <w:t>Some chemicals present in industrial and consumer products, food and drinking-water</w:t>
      </w:r>
      <w:r w:rsidRPr="006F4FB6">
        <w:rPr>
          <w:color w:val="000000" w:themeColor="text1"/>
        </w:rPr>
        <w:t>. IARC Monographs on the evaluation of the carcinogenic risk to humans.</w:t>
      </w:r>
    </w:p>
    <w:p w14:paraId="1CD66F36" w14:textId="77777777" w:rsidR="00E53416" w:rsidRPr="006F4FB6" w:rsidRDefault="00E53416" w:rsidP="00E53416">
      <w:pPr>
        <w:rPr>
          <w:b/>
          <w:color w:val="000000" w:themeColor="text1"/>
        </w:rPr>
      </w:pPr>
      <w:r w:rsidRPr="006F4FB6">
        <w:rPr>
          <w:color w:val="000000" w:themeColor="text1"/>
        </w:rPr>
        <w:t xml:space="preserve">National Industrial Chemicals Notification and Assessment Scheme (NICNAS) (2016) Benzene, (1-methylethyl): Human health </w:t>
      </w:r>
      <w:sdt>
        <w:sdtPr>
          <w:rPr>
            <w:color w:val="000000" w:themeColor="text1"/>
          </w:rPr>
          <w:id w:val="-1295753243"/>
          <w:placeholder>
            <w:docPart w:val="210A6C6E30CA47A4874535B404A16D6F"/>
          </w:placeholder>
          <w:temporary/>
          <w:showingPlcHdr/>
        </w:sdtPr>
        <w:sdtEndPr/>
        <w:sdtContent>
          <w:r w:rsidRPr="006F4FB6">
            <w:rPr>
              <w:color w:val="000000" w:themeColor="text1"/>
            </w:rPr>
            <w:t>tier II</w:t>
          </w:r>
        </w:sdtContent>
      </w:sdt>
      <w:r w:rsidRPr="006F4FB6">
        <w:rPr>
          <w:color w:val="000000" w:themeColor="text1"/>
        </w:rPr>
        <w:t xml:space="preserve"> assessment – IMAP report.</w:t>
      </w:r>
    </w:p>
    <w:p w14:paraId="19BA12F5" w14:textId="429F62A6" w:rsidR="007C4937" w:rsidRPr="006F4FB6" w:rsidRDefault="008A06DC" w:rsidP="007C4937">
      <w:pPr>
        <w:rPr>
          <w:color w:val="000000" w:themeColor="text1"/>
        </w:rPr>
      </w:pPr>
      <w:r>
        <w:rPr>
          <w:color w:val="000000" w:themeColor="text1"/>
        </w:rPr>
        <w:t>US</w:t>
      </w:r>
      <w:r w:rsidR="007C4937" w:rsidRPr="006F4FB6">
        <w:rPr>
          <w:color w:val="000000" w:themeColor="text1"/>
        </w:rPr>
        <w:t xml:space="preserve"> Environmental Protection Agency (US EPA). (1988). Chemical Assessment Summary – Cumene; CASRN 98-82-8. Integrated Risk Information System (IRIS).</w:t>
      </w:r>
    </w:p>
    <w:p w14:paraId="773A32F9" w14:textId="73EB697D" w:rsidR="008C0CAD" w:rsidRPr="00351FE0" w:rsidRDefault="008C0CAD" w:rsidP="005128A7"/>
    <w:sectPr w:rsidR="008C0CA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1A209" w14:textId="77777777" w:rsidR="000D1322" w:rsidRDefault="000D1322" w:rsidP="00F43AD5">
      <w:pPr>
        <w:spacing w:after="0" w:line="240" w:lineRule="auto"/>
      </w:pPr>
      <w:r>
        <w:separator/>
      </w:r>
    </w:p>
  </w:endnote>
  <w:endnote w:type="continuationSeparator" w:id="0">
    <w:p w14:paraId="79E8585F" w14:textId="77777777" w:rsidR="000D1322" w:rsidRDefault="000D132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F6C61" w14:textId="77777777" w:rsidR="003F3DAD" w:rsidRDefault="003F3D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1B5D3ED" w14:textId="77777777" w:rsidR="008A36CF" w:rsidRDefault="00A91331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Cumene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98-82-8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7900A8F" w14:textId="4DF47EA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B09AE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3981C" w14:textId="77777777" w:rsidR="003F3DAD" w:rsidRDefault="003F3D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9B004" w14:textId="77777777" w:rsidR="000D1322" w:rsidRDefault="000D1322" w:rsidP="00F43AD5">
      <w:pPr>
        <w:spacing w:after="0" w:line="240" w:lineRule="auto"/>
      </w:pPr>
      <w:r>
        <w:separator/>
      </w:r>
    </w:p>
  </w:footnote>
  <w:footnote w:type="continuationSeparator" w:id="0">
    <w:p w14:paraId="10FB4737" w14:textId="77777777" w:rsidR="000D1322" w:rsidRDefault="000D132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82223" w14:textId="0CDEDD3A" w:rsidR="003F3DAD" w:rsidRDefault="003F3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DA95F" w14:textId="5CD9A228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266612D" wp14:editId="6CAACF44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6C7F8" w14:textId="6ED56DB6" w:rsidR="003F3DAD" w:rsidRDefault="003F3DA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C3853" w14:textId="2F834C6B" w:rsidR="008B09AE" w:rsidRDefault="008B09A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EA31C" w14:textId="5B176083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692BD" w14:textId="242EB931" w:rsidR="008B09AE" w:rsidRDefault="008B0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0EAFF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83E73"/>
    <w:multiLevelType w:val="hybridMultilevel"/>
    <w:tmpl w:val="EE76B9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D6421"/>
    <w:multiLevelType w:val="hybridMultilevel"/>
    <w:tmpl w:val="309080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A8050E"/>
    <w:multiLevelType w:val="hybridMultilevel"/>
    <w:tmpl w:val="2BCC82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87073">
    <w:abstractNumId w:val="2"/>
  </w:num>
  <w:num w:numId="2" w16cid:durableId="787354285">
    <w:abstractNumId w:val="3"/>
  </w:num>
  <w:num w:numId="3" w16cid:durableId="1486966719">
    <w:abstractNumId w:val="1"/>
  </w:num>
  <w:num w:numId="4" w16cid:durableId="831290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B6D"/>
    <w:rsid w:val="00006BB8"/>
    <w:rsid w:val="00006E0B"/>
    <w:rsid w:val="00007B80"/>
    <w:rsid w:val="00013A22"/>
    <w:rsid w:val="00014C3F"/>
    <w:rsid w:val="00017C82"/>
    <w:rsid w:val="00032B88"/>
    <w:rsid w:val="00046DF5"/>
    <w:rsid w:val="00052060"/>
    <w:rsid w:val="00052863"/>
    <w:rsid w:val="0005574A"/>
    <w:rsid w:val="00055FE1"/>
    <w:rsid w:val="00056EC2"/>
    <w:rsid w:val="00060B48"/>
    <w:rsid w:val="00067F32"/>
    <w:rsid w:val="000706F4"/>
    <w:rsid w:val="00071807"/>
    <w:rsid w:val="000803E1"/>
    <w:rsid w:val="00081C84"/>
    <w:rsid w:val="00084513"/>
    <w:rsid w:val="00084859"/>
    <w:rsid w:val="00092D94"/>
    <w:rsid w:val="000A4C00"/>
    <w:rsid w:val="000B0868"/>
    <w:rsid w:val="000B3E12"/>
    <w:rsid w:val="000B3E78"/>
    <w:rsid w:val="000B7B48"/>
    <w:rsid w:val="000C096D"/>
    <w:rsid w:val="000C139A"/>
    <w:rsid w:val="000C2053"/>
    <w:rsid w:val="000C248C"/>
    <w:rsid w:val="000D1322"/>
    <w:rsid w:val="000D291C"/>
    <w:rsid w:val="000E5A54"/>
    <w:rsid w:val="000E63D3"/>
    <w:rsid w:val="000E67CF"/>
    <w:rsid w:val="000F3FAA"/>
    <w:rsid w:val="0010461E"/>
    <w:rsid w:val="0010695F"/>
    <w:rsid w:val="00106FAA"/>
    <w:rsid w:val="00113443"/>
    <w:rsid w:val="00122817"/>
    <w:rsid w:val="001269A7"/>
    <w:rsid w:val="00131092"/>
    <w:rsid w:val="0013169B"/>
    <w:rsid w:val="00140E6A"/>
    <w:rsid w:val="00146545"/>
    <w:rsid w:val="00146B75"/>
    <w:rsid w:val="0015266D"/>
    <w:rsid w:val="0015288A"/>
    <w:rsid w:val="00153B5D"/>
    <w:rsid w:val="00160F47"/>
    <w:rsid w:val="00161AD3"/>
    <w:rsid w:val="0016589C"/>
    <w:rsid w:val="00174AC1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5A71"/>
    <w:rsid w:val="001C5C0D"/>
    <w:rsid w:val="001D56F0"/>
    <w:rsid w:val="001D663B"/>
    <w:rsid w:val="001D7B41"/>
    <w:rsid w:val="001E05FB"/>
    <w:rsid w:val="001E46DA"/>
    <w:rsid w:val="001E7D80"/>
    <w:rsid w:val="001F4B6C"/>
    <w:rsid w:val="001F62CB"/>
    <w:rsid w:val="001F6ED0"/>
    <w:rsid w:val="001F72E6"/>
    <w:rsid w:val="001F73C5"/>
    <w:rsid w:val="00204495"/>
    <w:rsid w:val="002046A6"/>
    <w:rsid w:val="00204956"/>
    <w:rsid w:val="002053EC"/>
    <w:rsid w:val="00211FEA"/>
    <w:rsid w:val="00213640"/>
    <w:rsid w:val="00221547"/>
    <w:rsid w:val="002216FC"/>
    <w:rsid w:val="00222533"/>
    <w:rsid w:val="00222F30"/>
    <w:rsid w:val="00224EE2"/>
    <w:rsid w:val="00227EC7"/>
    <w:rsid w:val="002342F7"/>
    <w:rsid w:val="00235BD7"/>
    <w:rsid w:val="00244AD1"/>
    <w:rsid w:val="002459EB"/>
    <w:rsid w:val="002463BC"/>
    <w:rsid w:val="002465CE"/>
    <w:rsid w:val="0025734A"/>
    <w:rsid w:val="0026072D"/>
    <w:rsid w:val="00263255"/>
    <w:rsid w:val="00263B9F"/>
    <w:rsid w:val="0027173B"/>
    <w:rsid w:val="0027639D"/>
    <w:rsid w:val="00276494"/>
    <w:rsid w:val="00277175"/>
    <w:rsid w:val="00277B0C"/>
    <w:rsid w:val="00293B54"/>
    <w:rsid w:val="00296843"/>
    <w:rsid w:val="002B16D3"/>
    <w:rsid w:val="002B1A2C"/>
    <w:rsid w:val="002B7618"/>
    <w:rsid w:val="002C34F2"/>
    <w:rsid w:val="002C58FF"/>
    <w:rsid w:val="002C7AFE"/>
    <w:rsid w:val="002D05D2"/>
    <w:rsid w:val="002D6BED"/>
    <w:rsid w:val="002E0D61"/>
    <w:rsid w:val="002E4C7B"/>
    <w:rsid w:val="0030740C"/>
    <w:rsid w:val="00312AF6"/>
    <w:rsid w:val="00315833"/>
    <w:rsid w:val="003215EE"/>
    <w:rsid w:val="003224BF"/>
    <w:rsid w:val="003241A8"/>
    <w:rsid w:val="003253F0"/>
    <w:rsid w:val="003337DA"/>
    <w:rsid w:val="00334EFB"/>
    <w:rsid w:val="00335CDE"/>
    <w:rsid w:val="00336047"/>
    <w:rsid w:val="003365A5"/>
    <w:rsid w:val="0034064D"/>
    <w:rsid w:val="00344E36"/>
    <w:rsid w:val="00347192"/>
    <w:rsid w:val="0034744C"/>
    <w:rsid w:val="003511B8"/>
    <w:rsid w:val="00351FE0"/>
    <w:rsid w:val="00352615"/>
    <w:rsid w:val="0035412B"/>
    <w:rsid w:val="003555AF"/>
    <w:rsid w:val="003567A8"/>
    <w:rsid w:val="00362895"/>
    <w:rsid w:val="00365913"/>
    <w:rsid w:val="00370DBF"/>
    <w:rsid w:val="0037289F"/>
    <w:rsid w:val="0037453A"/>
    <w:rsid w:val="00386093"/>
    <w:rsid w:val="003904A4"/>
    <w:rsid w:val="00391841"/>
    <w:rsid w:val="00391B6D"/>
    <w:rsid w:val="00394922"/>
    <w:rsid w:val="00397262"/>
    <w:rsid w:val="003A0E32"/>
    <w:rsid w:val="003A1A21"/>
    <w:rsid w:val="003A2B94"/>
    <w:rsid w:val="003B387D"/>
    <w:rsid w:val="003B6003"/>
    <w:rsid w:val="003C0D58"/>
    <w:rsid w:val="003D4FA3"/>
    <w:rsid w:val="003E0807"/>
    <w:rsid w:val="003E51FB"/>
    <w:rsid w:val="003E6B39"/>
    <w:rsid w:val="003E6FB3"/>
    <w:rsid w:val="003F07E1"/>
    <w:rsid w:val="003F3DAD"/>
    <w:rsid w:val="003F7A98"/>
    <w:rsid w:val="0040266F"/>
    <w:rsid w:val="004030BC"/>
    <w:rsid w:val="00403F7D"/>
    <w:rsid w:val="00406785"/>
    <w:rsid w:val="004079B4"/>
    <w:rsid w:val="00417A56"/>
    <w:rsid w:val="00420957"/>
    <w:rsid w:val="00422A10"/>
    <w:rsid w:val="00430179"/>
    <w:rsid w:val="004318E4"/>
    <w:rsid w:val="00437780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3B36"/>
    <w:rsid w:val="00474E33"/>
    <w:rsid w:val="004756C4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64D9"/>
    <w:rsid w:val="004E7C82"/>
    <w:rsid w:val="004F448A"/>
    <w:rsid w:val="004F493D"/>
    <w:rsid w:val="004F65E8"/>
    <w:rsid w:val="0050005E"/>
    <w:rsid w:val="0050016D"/>
    <w:rsid w:val="00502B88"/>
    <w:rsid w:val="005128A7"/>
    <w:rsid w:val="005131D7"/>
    <w:rsid w:val="005142C4"/>
    <w:rsid w:val="0051509C"/>
    <w:rsid w:val="005272E2"/>
    <w:rsid w:val="0053108F"/>
    <w:rsid w:val="00532B56"/>
    <w:rsid w:val="00534B10"/>
    <w:rsid w:val="00536399"/>
    <w:rsid w:val="005401AB"/>
    <w:rsid w:val="005446A2"/>
    <w:rsid w:val="00544D2F"/>
    <w:rsid w:val="00551BD8"/>
    <w:rsid w:val="00551F99"/>
    <w:rsid w:val="005557B7"/>
    <w:rsid w:val="0055662F"/>
    <w:rsid w:val="00581055"/>
    <w:rsid w:val="00591E38"/>
    <w:rsid w:val="005A19C5"/>
    <w:rsid w:val="005A3034"/>
    <w:rsid w:val="005A462D"/>
    <w:rsid w:val="005B253B"/>
    <w:rsid w:val="005B3DCA"/>
    <w:rsid w:val="005B771D"/>
    <w:rsid w:val="005C5D16"/>
    <w:rsid w:val="005C6551"/>
    <w:rsid w:val="005D3193"/>
    <w:rsid w:val="005D4A6E"/>
    <w:rsid w:val="005E6979"/>
    <w:rsid w:val="005E75CB"/>
    <w:rsid w:val="006013C1"/>
    <w:rsid w:val="006025FE"/>
    <w:rsid w:val="0060669E"/>
    <w:rsid w:val="00610F2E"/>
    <w:rsid w:val="00610F85"/>
    <w:rsid w:val="00611399"/>
    <w:rsid w:val="00615FB9"/>
    <w:rsid w:val="00616EC9"/>
    <w:rsid w:val="00620CF1"/>
    <w:rsid w:val="00624983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7754"/>
    <w:rsid w:val="006B0FF6"/>
    <w:rsid w:val="006B160A"/>
    <w:rsid w:val="006B4E6C"/>
    <w:rsid w:val="006B50B6"/>
    <w:rsid w:val="006C4158"/>
    <w:rsid w:val="006C7813"/>
    <w:rsid w:val="006D354F"/>
    <w:rsid w:val="006D79EA"/>
    <w:rsid w:val="006E5D05"/>
    <w:rsid w:val="006F4FB6"/>
    <w:rsid w:val="00701053"/>
    <w:rsid w:val="00701507"/>
    <w:rsid w:val="007028BB"/>
    <w:rsid w:val="007108D6"/>
    <w:rsid w:val="00714021"/>
    <w:rsid w:val="00716A0F"/>
    <w:rsid w:val="00717474"/>
    <w:rsid w:val="00717D45"/>
    <w:rsid w:val="007208F7"/>
    <w:rsid w:val="007218AF"/>
    <w:rsid w:val="00731432"/>
    <w:rsid w:val="007332E2"/>
    <w:rsid w:val="007365D1"/>
    <w:rsid w:val="00740E0E"/>
    <w:rsid w:val="00750212"/>
    <w:rsid w:val="00754779"/>
    <w:rsid w:val="0075716D"/>
    <w:rsid w:val="00763EEA"/>
    <w:rsid w:val="00765F14"/>
    <w:rsid w:val="00770E31"/>
    <w:rsid w:val="0077391A"/>
    <w:rsid w:val="007770F1"/>
    <w:rsid w:val="00783FB1"/>
    <w:rsid w:val="00785CDD"/>
    <w:rsid w:val="00791847"/>
    <w:rsid w:val="007925F0"/>
    <w:rsid w:val="007939B3"/>
    <w:rsid w:val="00793C5F"/>
    <w:rsid w:val="0079509C"/>
    <w:rsid w:val="00796037"/>
    <w:rsid w:val="00796708"/>
    <w:rsid w:val="007B016E"/>
    <w:rsid w:val="007B1B42"/>
    <w:rsid w:val="007B7056"/>
    <w:rsid w:val="007C30EB"/>
    <w:rsid w:val="007C4937"/>
    <w:rsid w:val="007E063C"/>
    <w:rsid w:val="007E2A4B"/>
    <w:rsid w:val="007E307D"/>
    <w:rsid w:val="007E6A4E"/>
    <w:rsid w:val="007E6C94"/>
    <w:rsid w:val="007E754A"/>
    <w:rsid w:val="007F1005"/>
    <w:rsid w:val="007F25E0"/>
    <w:rsid w:val="007F5328"/>
    <w:rsid w:val="007F628F"/>
    <w:rsid w:val="008003FA"/>
    <w:rsid w:val="00804F5A"/>
    <w:rsid w:val="0080715B"/>
    <w:rsid w:val="00807CF5"/>
    <w:rsid w:val="00810C6D"/>
    <w:rsid w:val="00812887"/>
    <w:rsid w:val="00826F21"/>
    <w:rsid w:val="00832158"/>
    <w:rsid w:val="00834CC8"/>
    <w:rsid w:val="00835E00"/>
    <w:rsid w:val="00837113"/>
    <w:rsid w:val="008414E4"/>
    <w:rsid w:val="00843E21"/>
    <w:rsid w:val="0084508E"/>
    <w:rsid w:val="008510C5"/>
    <w:rsid w:val="00857767"/>
    <w:rsid w:val="00857A8A"/>
    <w:rsid w:val="008630EE"/>
    <w:rsid w:val="00864D13"/>
    <w:rsid w:val="00871CD5"/>
    <w:rsid w:val="00872CF8"/>
    <w:rsid w:val="008745A2"/>
    <w:rsid w:val="008768A8"/>
    <w:rsid w:val="0088628B"/>
    <w:rsid w:val="0088798F"/>
    <w:rsid w:val="00887E4B"/>
    <w:rsid w:val="008915C8"/>
    <w:rsid w:val="0089591D"/>
    <w:rsid w:val="008A06DC"/>
    <w:rsid w:val="008A36CF"/>
    <w:rsid w:val="008A3BC4"/>
    <w:rsid w:val="008A3D91"/>
    <w:rsid w:val="008B09AE"/>
    <w:rsid w:val="008B403C"/>
    <w:rsid w:val="008B7983"/>
    <w:rsid w:val="008C0CAD"/>
    <w:rsid w:val="008C2511"/>
    <w:rsid w:val="008C54EF"/>
    <w:rsid w:val="008D026D"/>
    <w:rsid w:val="008D23AB"/>
    <w:rsid w:val="008D4B8B"/>
    <w:rsid w:val="008D5A78"/>
    <w:rsid w:val="008D7FA5"/>
    <w:rsid w:val="008E34C7"/>
    <w:rsid w:val="008E3C77"/>
    <w:rsid w:val="008E6A68"/>
    <w:rsid w:val="008E7B64"/>
    <w:rsid w:val="008F5DCD"/>
    <w:rsid w:val="00900951"/>
    <w:rsid w:val="00901ADB"/>
    <w:rsid w:val="009118A6"/>
    <w:rsid w:val="0091509C"/>
    <w:rsid w:val="00916909"/>
    <w:rsid w:val="00916EC0"/>
    <w:rsid w:val="00920467"/>
    <w:rsid w:val="00921DE7"/>
    <w:rsid w:val="00923A58"/>
    <w:rsid w:val="0093041A"/>
    <w:rsid w:val="00930714"/>
    <w:rsid w:val="00931B03"/>
    <w:rsid w:val="009323B9"/>
    <w:rsid w:val="00932DCE"/>
    <w:rsid w:val="0093327E"/>
    <w:rsid w:val="00934028"/>
    <w:rsid w:val="0093760E"/>
    <w:rsid w:val="00937CF7"/>
    <w:rsid w:val="00946044"/>
    <w:rsid w:val="0094660B"/>
    <w:rsid w:val="00946A33"/>
    <w:rsid w:val="0095260E"/>
    <w:rsid w:val="00953639"/>
    <w:rsid w:val="009578DD"/>
    <w:rsid w:val="00961124"/>
    <w:rsid w:val="009621B6"/>
    <w:rsid w:val="00974F2D"/>
    <w:rsid w:val="00977524"/>
    <w:rsid w:val="00977E88"/>
    <w:rsid w:val="0098000E"/>
    <w:rsid w:val="00980B88"/>
    <w:rsid w:val="00984920"/>
    <w:rsid w:val="0099303A"/>
    <w:rsid w:val="009971C2"/>
    <w:rsid w:val="009A1254"/>
    <w:rsid w:val="009A12EC"/>
    <w:rsid w:val="009A3211"/>
    <w:rsid w:val="009B2FF2"/>
    <w:rsid w:val="009B380C"/>
    <w:rsid w:val="009B4843"/>
    <w:rsid w:val="009B6543"/>
    <w:rsid w:val="009C199D"/>
    <w:rsid w:val="009C278F"/>
    <w:rsid w:val="009C2B94"/>
    <w:rsid w:val="009C5874"/>
    <w:rsid w:val="009D050C"/>
    <w:rsid w:val="009D39B2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937"/>
    <w:rsid w:val="00A01D0C"/>
    <w:rsid w:val="00A0643F"/>
    <w:rsid w:val="00A067EE"/>
    <w:rsid w:val="00A10FCE"/>
    <w:rsid w:val="00A15772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9B4"/>
    <w:rsid w:val="00A4345B"/>
    <w:rsid w:val="00A53681"/>
    <w:rsid w:val="00A572D5"/>
    <w:rsid w:val="00A633D4"/>
    <w:rsid w:val="00A6461A"/>
    <w:rsid w:val="00A71977"/>
    <w:rsid w:val="00A7234A"/>
    <w:rsid w:val="00A73ECF"/>
    <w:rsid w:val="00A7623A"/>
    <w:rsid w:val="00A84504"/>
    <w:rsid w:val="00A8672F"/>
    <w:rsid w:val="00A91331"/>
    <w:rsid w:val="00A93057"/>
    <w:rsid w:val="00A968B0"/>
    <w:rsid w:val="00AA4614"/>
    <w:rsid w:val="00AA53B9"/>
    <w:rsid w:val="00AB2672"/>
    <w:rsid w:val="00AB2817"/>
    <w:rsid w:val="00AB43C4"/>
    <w:rsid w:val="00AC32E7"/>
    <w:rsid w:val="00AC3A9F"/>
    <w:rsid w:val="00AC67E3"/>
    <w:rsid w:val="00AC6D2F"/>
    <w:rsid w:val="00AE2745"/>
    <w:rsid w:val="00AE2F64"/>
    <w:rsid w:val="00AF42CB"/>
    <w:rsid w:val="00AF483F"/>
    <w:rsid w:val="00AF5E07"/>
    <w:rsid w:val="00AF5F06"/>
    <w:rsid w:val="00B00A25"/>
    <w:rsid w:val="00B044BC"/>
    <w:rsid w:val="00B109D9"/>
    <w:rsid w:val="00B1422A"/>
    <w:rsid w:val="00B15B95"/>
    <w:rsid w:val="00B1765C"/>
    <w:rsid w:val="00B213C4"/>
    <w:rsid w:val="00B272F9"/>
    <w:rsid w:val="00B40C60"/>
    <w:rsid w:val="00B479A9"/>
    <w:rsid w:val="00B52EDF"/>
    <w:rsid w:val="00B71188"/>
    <w:rsid w:val="00B74AF7"/>
    <w:rsid w:val="00B76A41"/>
    <w:rsid w:val="00B87D4C"/>
    <w:rsid w:val="00B93646"/>
    <w:rsid w:val="00B970D0"/>
    <w:rsid w:val="00BA0B38"/>
    <w:rsid w:val="00BA1DBB"/>
    <w:rsid w:val="00BA4510"/>
    <w:rsid w:val="00BA529A"/>
    <w:rsid w:val="00BA734E"/>
    <w:rsid w:val="00BB1F98"/>
    <w:rsid w:val="00BB2DDC"/>
    <w:rsid w:val="00BB612A"/>
    <w:rsid w:val="00BB7BBF"/>
    <w:rsid w:val="00BC483E"/>
    <w:rsid w:val="00BD3A12"/>
    <w:rsid w:val="00BD499F"/>
    <w:rsid w:val="00BD56DE"/>
    <w:rsid w:val="00BE2C52"/>
    <w:rsid w:val="00BE40C2"/>
    <w:rsid w:val="00BF2406"/>
    <w:rsid w:val="00BF62F2"/>
    <w:rsid w:val="00C0340B"/>
    <w:rsid w:val="00C06E43"/>
    <w:rsid w:val="00C10C10"/>
    <w:rsid w:val="00C148DA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CC4"/>
    <w:rsid w:val="00C850A0"/>
    <w:rsid w:val="00C85A86"/>
    <w:rsid w:val="00C94709"/>
    <w:rsid w:val="00C96D3D"/>
    <w:rsid w:val="00C978F0"/>
    <w:rsid w:val="00CA304E"/>
    <w:rsid w:val="00CA58FE"/>
    <w:rsid w:val="00CB1CB1"/>
    <w:rsid w:val="00CB4F12"/>
    <w:rsid w:val="00CB6BC1"/>
    <w:rsid w:val="00CB6CB8"/>
    <w:rsid w:val="00CC1A68"/>
    <w:rsid w:val="00CC2123"/>
    <w:rsid w:val="00CD2BFD"/>
    <w:rsid w:val="00CE2E33"/>
    <w:rsid w:val="00CE5AD6"/>
    <w:rsid w:val="00CE617F"/>
    <w:rsid w:val="00CE78EF"/>
    <w:rsid w:val="00D048F7"/>
    <w:rsid w:val="00D0517E"/>
    <w:rsid w:val="00D12907"/>
    <w:rsid w:val="00D140FC"/>
    <w:rsid w:val="00D21D8C"/>
    <w:rsid w:val="00D31357"/>
    <w:rsid w:val="00D33220"/>
    <w:rsid w:val="00D334D1"/>
    <w:rsid w:val="00D37E2E"/>
    <w:rsid w:val="00D44C89"/>
    <w:rsid w:val="00D516CD"/>
    <w:rsid w:val="00D668E6"/>
    <w:rsid w:val="00D70670"/>
    <w:rsid w:val="00D74D80"/>
    <w:rsid w:val="00D76624"/>
    <w:rsid w:val="00D87570"/>
    <w:rsid w:val="00D91CB9"/>
    <w:rsid w:val="00D939A3"/>
    <w:rsid w:val="00D97989"/>
    <w:rsid w:val="00D97D8D"/>
    <w:rsid w:val="00DA015F"/>
    <w:rsid w:val="00DA352E"/>
    <w:rsid w:val="00DA561F"/>
    <w:rsid w:val="00DA57ED"/>
    <w:rsid w:val="00DB318E"/>
    <w:rsid w:val="00DB7373"/>
    <w:rsid w:val="00DC7694"/>
    <w:rsid w:val="00DD1BF6"/>
    <w:rsid w:val="00DD2F9B"/>
    <w:rsid w:val="00DE2513"/>
    <w:rsid w:val="00DE26E8"/>
    <w:rsid w:val="00DF2737"/>
    <w:rsid w:val="00DF6F36"/>
    <w:rsid w:val="00E0084C"/>
    <w:rsid w:val="00E00C7A"/>
    <w:rsid w:val="00E025AB"/>
    <w:rsid w:val="00E02B23"/>
    <w:rsid w:val="00E06F40"/>
    <w:rsid w:val="00E07CE8"/>
    <w:rsid w:val="00E10A55"/>
    <w:rsid w:val="00E26A07"/>
    <w:rsid w:val="00E32595"/>
    <w:rsid w:val="00E33ECD"/>
    <w:rsid w:val="00E37CFD"/>
    <w:rsid w:val="00E37EE5"/>
    <w:rsid w:val="00E415E9"/>
    <w:rsid w:val="00E41A26"/>
    <w:rsid w:val="00E46BCB"/>
    <w:rsid w:val="00E473FA"/>
    <w:rsid w:val="00E51CAF"/>
    <w:rsid w:val="00E53416"/>
    <w:rsid w:val="00E60F04"/>
    <w:rsid w:val="00E62AAC"/>
    <w:rsid w:val="00E645CC"/>
    <w:rsid w:val="00E67C2F"/>
    <w:rsid w:val="00E67EF5"/>
    <w:rsid w:val="00E804EA"/>
    <w:rsid w:val="00E80A71"/>
    <w:rsid w:val="00E82337"/>
    <w:rsid w:val="00E92499"/>
    <w:rsid w:val="00E949AF"/>
    <w:rsid w:val="00E96077"/>
    <w:rsid w:val="00E97AEE"/>
    <w:rsid w:val="00EA0A06"/>
    <w:rsid w:val="00EA6243"/>
    <w:rsid w:val="00EA6C70"/>
    <w:rsid w:val="00EA74AB"/>
    <w:rsid w:val="00EB3D1B"/>
    <w:rsid w:val="00EB7C15"/>
    <w:rsid w:val="00ED15DB"/>
    <w:rsid w:val="00ED1D89"/>
    <w:rsid w:val="00ED66BC"/>
    <w:rsid w:val="00EE478D"/>
    <w:rsid w:val="00EF233A"/>
    <w:rsid w:val="00EF303E"/>
    <w:rsid w:val="00EF3A40"/>
    <w:rsid w:val="00EF7F78"/>
    <w:rsid w:val="00F01B08"/>
    <w:rsid w:val="00F01C4D"/>
    <w:rsid w:val="00F048AA"/>
    <w:rsid w:val="00F053FA"/>
    <w:rsid w:val="00F059E2"/>
    <w:rsid w:val="00F10C97"/>
    <w:rsid w:val="00F11C71"/>
    <w:rsid w:val="00F15983"/>
    <w:rsid w:val="00F16019"/>
    <w:rsid w:val="00F20E68"/>
    <w:rsid w:val="00F22093"/>
    <w:rsid w:val="00F236DF"/>
    <w:rsid w:val="00F43AD5"/>
    <w:rsid w:val="00F4402E"/>
    <w:rsid w:val="00F47481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02F3"/>
    <w:rsid w:val="00FC60A2"/>
    <w:rsid w:val="00FD1871"/>
    <w:rsid w:val="00FD3110"/>
    <w:rsid w:val="00FD71C4"/>
    <w:rsid w:val="00FF5C3D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3E6FB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7F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28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28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28F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4E7C82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A7623A"/>
    <w:pPr>
      <w:numPr>
        <w:numId w:val="4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762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0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10A6C6E30CA47A4874535B404A16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1979F-1605-433F-8693-06B70A651002}"/>
      </w:docPartPr>
      <w:docPartBody>
        <w:p w:rsidR="00D44C4B" w:rsidRDefault="002E5862" w:rsidP="002E5862">
          <w:pPr>
            <w:pStyle w:val="210A6C6E30CA47A4874535B404A16D6F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243181D0CF644639A63DAAD226EF5B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57E1B-982A-47C0-B70E-522E27FFC4AC}"/>
      </w:docPartPr>
      <w:docPartBody>
        <w:p w:rsidR="009558E6" w:rsidRDefault="00CD0500" w:rsidP="00CD0500">
          <w:pPr>
            <w:pStyle w:val="243181D0CF644639A63DAAD226EF5B64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F318254B2294BB981845B47DEA1A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BC9B3-BA1D-458C-969C-0ED4B2B216C7}"/>
      </w:docPartPr>
      <w:docPartBody>
        <w:p w:rsidR="009558E6" w:rsidRDefault="00CD0500" w:rsidP="00CD0500">
          <w:pPr>
            <w:pStyle w:val="3F318254B2294BB981845B47DEA1AD2B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1E36B013DBE47DC9BF461419E0389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CE921-E0E9-4EBB-AEE3-E92E67499D24}"/>
      </w:docPartPr>
      <w:docPartBody>
        <w:p w:rsidR="000E3EA4" w:rsidRDefault="009558E6" w:rsidP="009558E6">
          <w:pPr>
            <w:pStyle w:val="A1E36B013DBE47DC9BF461419E03896A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90BDFA60352A427691B1EF9E3E870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D26CD-75B9-46F2-ABEC-5377CD30D788}"/>
      </w:docPartPr>
      <w:docPartBody>
        <w:p w:rsidR="000E3EA4" w:rsidRDefault="009558E6" w:rsidP="009558E6">
          <w:pPr>
            <w:pStyle w:val="90BDFA60352A427691B1EF9E3E870FCD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35813458F3A54EEDA839F926FD5243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238AA-C093-4801-AB2E-B176BCD62202}"/>
      </w:docPartPr>
      <w:docPartBody>
        <w:p w:rsidR="000E3EA4" w:rsidRDefault="009558E6" w:rsidP="009558E6">
          <w:pPr>
            <w:pStyle w:val="35813458F3A54EEDA839F926FD5243B7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42DDE464B7104CB98805920B30AA9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71F5A-3CDD-4B57-861F-96206BDFB4D7}"/>
      </w:docPartPr>
      <w:docPartBody>
        <w:p w:rsidR="000E3EA4" w:rsidRDefault="009558E6" w:rsidP="009558E6">
          <w:pPr>
            <w:pStyle w:val="42DDE464B7104CB98805920B30AA9435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2D7A32EA6714DABAEE0E5F85C37E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64385-0A1D-45FE-8386-AEA41224BE93}"/>
      </w:docPartPr>
      <w:docPartBody>
        <w:p w:rsidR="00CC0479" w:rsidRDefault="00342ADB" w:rsidP="00342ADB">
          <w:pPr>
            <w:pStyle w:val="C2D7A32EA6714DABAEE0E5F85C37E78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E3EA4"/>
    <w:rsid w:val="002E5862"/>
    <w:rsid w:val="00342ADB"/>
    <w:rsid w:val="003A1A21"/>
    <w:rsid w:val="009558E6"/>
    <w:rsid w:val="009854F6"/>
    <w:rsid w:val="00CC0479"/>
    <w:rsid w:val="00CD0500"/>
    <w:rsid w:val="00D21A9F"/>
    <w:rsid w:val="00D44C4B"/>
    <w:rsid w:val="00F3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2AD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10A6C6E30CA47A4874535B404A16D6F">
    <w:name w:val="210A6C6E30CA47A4874535B404A16D6F"/>
    <w:rsid w:val="002E5862"/>
    <w:rPr>
      <w:lang w:val="en-US" w:eastAsia="en-US"/>
    </w:rPr>
  </w:style>
  <w:style w:type="paragraph" w:customStyle="1" w:styleId="243181D0CF644639A63DAAD226EF5B64">
    <w:name w:val="243181D0CF644639A63DAAD226EF5B64"/>
    <w:rsid w:val="00CD0500"/>
  </w:style>
  <w:style w:type="paragraph" w:customStyle="1" w:styleId="3F318254B2294BB981845B47DEA1AD2B">
    <w:name w:val="3F318254B2294BB981845B47DEA1AD2B"/>
    <w:rsid w:val="00CD0500"/>
  </w:style>
  <w:style w:type="paragraph" w:customStyle="1" w:styleId="A1E36B013DBE47DC9BF461419E03896A">
    <w:name w:val="A1E36B013DBE47DC9BF461419E03896A"/>
    <w:rsid w:val="009558E6"/>
  </w:style>
  <w:style w:type="paragraph" w:customStyle="1" w:styleId="90BDFA60352A427691B1EF9E3E870FCD">
    <w:name w:val="90BDFA60352A427691B1EF9E3E870FCD"/>
    <w:rsid w:val="009558E6"/>
  </w:style>
  <w:style w:type="paragraph" w:customStyle="1" w:styleId="35813458F3A54EEDA839F926FD5243B7">
    <w:name w:val="35813458F3A54EEDA839F926FD5243B7"/>
    <w:rsid w:val="009558E6"/>
  </w:style>
  <w:style w:type="paragraph" w:customStyle="1" w:styleId="42DDE464B7104CB98805920B30AA9435">
    <w:name w:val="42DDE464B7104CB98805920B30AA9435"/>
    <w:rsid w:val="009558E6"/>
  </w:style>
  <w:style w:type="paragraph" w:customStyle="1" w:styleId="C2D7A32EA6714DABAEE0E5F85C37E78C">
    <w:name w:val="C2D7A32EA6714DABAEE0E5F85C37E78C"/>
    <w:rsid w:val="00342A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134ECC-EB40-482B-B808-7D2FE55E97B2}"/>
</file>

<file path=customXml/itemProps2.xml><?xml version="1.0" encoding="utf-8"?>
<ds:datastoreItem xmlns:ds="http://schemas.openxmlformats.org/officeDocument/2006/customXml" ds:itemID="{36302AD1-FE08-4393-B07E-A6828AF8A0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F90B49-743B-4838-9A66-3DD8DC8DD8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11B52-2C6F-42F6-84BA-DBB90BB2DF55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2019-10-23T06:00:00Z</dcterms:created>
  <dcterms:modified xsi:type="dcterms:W3CDTF">2025-12-22T03:45:00Z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2025-12-22T03:45:23Z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833de93a-b1b8-4152-8ee2-0c7e2afe8836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