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F32ECDE" w14:textId="68052412" w:rsidR="00BD499F" w:rsidRPr="004C23F4" w:rsidRDefault="00736AB5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8166C8">
            <w:rPr>
              <w:rFonts w:ascii="Arial" w:hAnsi="Arial" w:cs="Arial"/>
            </w:rPr>
            <w:t>rufomate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8"/>
        <w:gridCol w:w="5058"/>
      </w:tblGrid>
      <w:tr w:rsidR="00F43AD5" w:rsidRPr="004C23F4" w14:paraId="41C7F6B6" w14:textId="77777777" w:rsidTr="00F116A2">
        <w:trPr>
          <w:cantSplit/>
          <w:tblHeader/>
        </w:trPr>
        <w:tc>
          <w:tcPr>
            <w:tcW w:w="3968" w:type="dxa"/>
          </w:tcPr>
          <w:p w14:paraId="2FB5B93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8" w:type="dxa"/>
          </w:tcPr>
          <w:p w14:paraId="698F8401" w14:textId="77777777" w:rsidR="00F43AD5" w:rsidRPr="00717D45" w:rsidRDefault="008166C8" w:rsidP="00B76A41">
            <w:pPr>
              <w:pStyle w:val="Tablefont"/>
            </w:pPr>
            <w:r>
              <w:t>299-86-5</w:t>
            </w:r>
          </w:p>
        </w:tc>
      </w:tr>
      <w:tr w:rsidR="00F43AD5" w:rsidRPr="004C23F4" w14:paraId="7259545A" w14:textId="77777777" w:rsidTr="00F116A2">
        <w:trPr>
          <w:cantSplit/>
        </w:trPr>
        <w:tc>
          <w:tcPr>
            <w:tcW w:w="3968" w:type="dxa"/>
          </w:tcPr>
          <w:p w14:paraId="2F508C4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8" w:type="dxa"/>
          </w:tcPr>
          <w:p w14:paraId="4021F8FA" w14:textId="0C796058" w:rsidR="00F43AD5" w:rsidRPr="00717D45" w:rsidRDefault="008166C8" w:rsidP="00B76A41">
            <w:pPr>
              <w:pStyle w:val="Tablefont"/>
            </w:pPr>
            <w:r>
              <w:t>4-tert-Butyl-2-chlorophenyl N-</w:t>
            </w:r>
            <w:r w:rsidR="00054004">
              <w:t>methyl O-methylphosphoramidate-</w:t>
            </w:r>
            <w:r>
              <w:t>dowco 132</w:t>
            </w:r>
          </w:p>
        </w:tc>
      </w:tr>
      <w:tr w:rsidR="00F43AD5" w:rsidRPr="004C23F4" w14:paraId="1D3547D3" w14:textId="77777777" w:rsidTr="00F116A2">
        <w:trPr>
          <w:cantSplit/>
        </w:trPr>
        <w:tc>
          <w:tcPr>
            <w:tcW w:w="3968" w:type="dxa"/>
          </w:tcPr>
          <w:p w14:paraId="6805F01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8" w:type="dxa"/>
          </w:tcPr>
          <w:p w14:paraId="46D96645" w14:textId="77777777" w:rsidR="00F43AD5" w:rsidRPr="00717D45" w:rsidRDefault="008773DA" w:rsidP="00B76A41">
            <w:pPr>
              <w:pStyle w:val="Tablefont"/>
            </w:pPr>
            <w:r>
              <w:t>C</w:t>
            </w:r>
            <w:r w:rsidRPr="008773DA">
              <w:rPr>
                <w:vertAlign w:val="subscript"/>
              </w:rPr>
              <w:t>12</w:t>
            </w:r>
            <w:r>
              <w:t>H</w:t>
            </w:r>
            <w:r w:rsidRPr="008773DA">
              <w:rPr>
                <w:vertAlign w:val="subscript"/>
              </w:rPr>
              <w:t>19</w:t>
            </w:r>
            <w:r>
              <w:t>ClNO</w:t>
            </w:r>
            <w:r w:rsidRPr="008773DA">
              <w:rPr>
                <w:vertAlign w:val="subscript"/>
              </w:rPr>
              <w:t>3</w:t>
            </w:r>
            <w:r>
              <w:t>P</w:t>
            </w:r>
          </w:p>
        </w:tc>
      </w:tr>
    </w:tbl>
    <w:p w14:paraId="0AE01F05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8283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553"/>
        <w:gridCol w:w="4473"/>
      </w:tblGrid>
      <w:tr w:rsidR="002C7AFE" w:rsidRPr="004C23F4" w14:paraId="2E01504A" w14:textId="77777777" w:rsidTr="004A68F8">
        <w:trPr>
          <w:cantSplit/>
          <w:tblHeader/>
        </w:trPr>
        <w:tc>
          <w:tcPr>
            <w:tcW w:w="4010" w:type="dxa"/>
            <w:vAlign w:val="center"/>
          </w:tcPr>
          <w:p w14:paraId="5312ABA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0E4FFF49" w14:textId="77777777" w:rsidR="002C7AFE" w:rsidRPr="00B5297D" w:rsidRDefault="00882831" w:rsidP="00017C82">
            <w:pPr>
              <w:pStyle w:val="Tablefont"/>
              <w:rPr>
                <w:b/>
              </w:rPr>
            </w:pPr>
            <w:r w:rsidRPr="00374DFD">
              <w:rPr>
                <w:b/>
              </w:rPr>
              <w:t>5 mg/m</w:t>
            </w:r>
            <w:r w:rsidRPr="00374DFD">
              <w:rPr>
                <w:b/>
                <w:vertAlign w:val="superscript"/>
              </w:rPr>
              <w:t>3</w:t>
            </w:r>
          </w:p>
        </w:tc>
      </w:tr>
      <w:tr w:rsidR="004A68F8" w:rsidRPr="004C23F4" w14:paraId="4CCEAFB9" w14:textId="77777777" w:rsidTr="004A68F8">
        <w:trPr>
          <w:cantSplit/>
        </w:trPr>
        <w:tc>
          <w:tcPr>
            <w:tcW w:w="4010" w:type="dxa"/>
            <w:vAlign w:val="center"/>
          </w:tcPr>
          <w:p w14:paraId="0371E647" w14:textId="77777777" w:rsidR="004A68F8" w:rsidRPr="002C58FF" w:rsidRDefault="004A68F8" w:rsidP="004A68F8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439BD888" w14:textId="77777777" w:rsidR="004A68F8" w:rsidRPr="00736AB5" w:rsidRDefault="004A68F8" w:rsidP="00133E08">
            <w:pPr>
              <w:pStyle w:val="Tablerowheading"/>
            </w:pPr>
            <w:r w:rsidRPr="00133E08">
              <w:rPr>
                <w:b w:val="0"/>
              </w:rPr>
              <w:t>—</w:t>
            </w:r>
          </w:p>
        </w:tc>
      </w:tr>
      <w:tr w:rsidR="004A68F8" w:rsidRPr="004C23F4" w14:paraId="682A3A4C" w14:textId="77777777" w:rsidTr="004A68F8">
        <w:trPr>
          <w:cantSplit/>
        </w:trPr>
        <w:tc>
          <w:tcPr>
            <w:tcW w:w="4010" w:type="dxa"/>
            <w:vAlign w:val="center"/>
          </w:tcPr>
          <w:p w14:paraId="30382FA3" w14:textId="77777777" w:rsidR="004A68F8" w:rsidRPr="002C58FF" w:rsidRDefault="004A68F8" w:rsidP="004A68F8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6885B79" w14:textId="77777777" w:rsidR="004A68F8" w:rsidRPr="00736AB5" w:rsidRDefault="004A68F8" w:rsidP="00133E08">
            <w:pPr>
              <w:pStyle w:val="Tablerowheading"/>
            </w:pPr>
            <w:r w:rsidRPr="00133E08">
              <w:rPr>
                <w:b w:val="0"/>
              </w:rPr>
              <w:t>—</w:t>
            </w:r>
          </w:p>
        </w:tc>
      </w:tr>
      <w:tr w:rsidR="004A68F8" w:rsidRPr="004C23F4" w14:paraId="46D7DC07" w14:textId="77777777" w:rsidTr="004A68F8">
        <w:trPr>
          <w:cantSplit/>
        </w:trPr>
        <w:tc>
          <w:tcPr>
            <w:tcW w:w="4010" w:type="dxa"/>
          </w:tcPr>
          <w:p w14:paraId="370B73DD" w14:textId="77777777" w:rsidR="004A68F8" w:rsidRPr="002C58FF" w:rsidRDefault="004A68F8" w:rsidP="004A68F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4D68C199" w14:textId="77777777" w:rsidR="004A68F8" w:rsidRPr="00736AB5" w:rsidRDefault="004A68F8" w:rsidP="00133E08">
            <w:pPr>
              <w:pStyle w:val="Tablerowheading"/>
            </w:pPr>
            <w:r w:rsidRPr="00133E08">
              <w:rPr>
                <w:b w:val="0"/>
              </w:rPr>
              <w:t>—</w:t>
            </w:r>
          </w:p>
        </w:tc>
      </w:tr>
      <w:tr w:rsidR="008C282B" w:rsidRPr="004C23F4" w14:paraId="4679FB00" w14:textId="77777777" w:rsidTr="004A68F8">
        <w:trPr>
          <w:cantSplit/>
        </w:trPr>
        <w:tc>
          <w:tcPr>
            <w:tcW w:w="4010" w:type="dxa"/>
            <w:vAlign w:val="center"/>
          </w:tcPr>
          <w:p w14:paraId="6220E364" w14:textId="77777777" w:rsidR="008C282B" w:rsidRPr="002C58FF" w:rsidRDefault="008C282B" w:rsidP="008C282B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2C04DEB" w14:textId="77777777" w:rsidR="008C282B" w:rsidRPr="00736AB5" w:rsidRDefault="008C282B" w:rsidP="00133E08">
            <w:pPr>
              <w:pStyle w:val="Tablerowheading"/>
            </w:pPr>
            <w:r w:rsidRPr="00133E08">
              <w:rPr>
                <w:b w:val="0"/>
              </w:rPr>
              <w:t>—</w:t>
            </w:r>
          </w:p>
        </w:tc>
      </w:tr>
      <w:tr w:rsidR="00037BE4" w:rsidRPr="004C23F4" w14:paraId="6388057E" w14:textId="77777777" w:rsidTr="007C6A55">
        <w:trPr>
          <w:cantSplit/>
        </w:trPr>
        <w:tc>
          <w:tcPr>
            <w:tcW w:w="9026" w:type="dxa"/>
            <w:gridSpan w:val="2"/>
          </w:tcPr>
          <w:tbl>
            <w:tblPr>
              <w:tblStyle w:val="TableGrid"/>
              <w:tblW w:w="90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  <w:tblCaption w:val="Sampling and Analysis information:"/>
              <w:tblDescription w:val="The recommended value is quantifiable through available sampling and analysis techniques."/>
            </w:tblPr>
            <w:tblGrid>
              <w:gridCol w:w="9026"/>
            </w:tblGrid>
            <w:tr w:rsidR="00037BE4" w14:paraId="255BE700" w14:textId="77777777" w:rsidTr="00B4090D">
              <w:trPr>
                <w:cantSplit/>
                <w:tblHeader/>
              </w:trPr>
              <w:tc>
                <w:tcPr>
                  <w:tcW w:w="9026" w:type="dxa"/>
                  <w:vAlign w:val="center"/>
                </w:tcPr>
                <w:p w14:paraId="6CD79429" w14:textId="1A6708C1" w:rsidR="00037BE4" w:rsidRPr="00054004" w:rsidRDefault="00037BE4" w:rsidP="00037BE4">
                  <w:pPr>
                    <w:pStyle w:val="Tablefont"/>
                  </w:pPr>
                  <w:r w:rsidRPr="00054004">
                    <w:rPr>
                      <w:b/>
                    </w:rPr>
                    <w:t>Sampling and analysis</w:t>
                  </w:r>
                  <w:r w:rsidRPr="00054004">
                    <w:t>:</w:t>
                  </w:r>
                  <w:r w:rsidRPr="00054004">
                    <w:rPr>
                      <w:rStyle w:val="WESstatus"/>
                      <w:color w:val="auto"/>
                    </w:rPr>
                    <w:t xml:space="preserve"> </w:t>
                  </w:r>
                  <w:sdt>
                    <w:sdtPr>
                      <w:rPr>
                        <w:rStyle w:val="WESstatus"/>
                        <w:color w:val="auto"/>
                      </w:rPr>
                      <w:id w:val="-2105258949"/>
                      <w:placeholder>
                        <w:docPart w:val="63C90CDA4B714AB3A39802148056CD2F"/>
                      </w:placeholder>
                      <w:comboBox>
                        <w:listItem w:displayText="(Click here to enter)" w:value="(Click here to enter)"/>
      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      <w:listItem w:displayText="The recommended value is quantifiable through available sampling and analysis techniques. " w:value="The recommended value is quantifiable through available sampling and analysis techniques. "/>
      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      </w:comboBox>
                    </w:sdtPr>
                    <w:sdtEndPr>
                      <w:rPr>
                        <w:rStyle w:val="WESstatus"/>
                      </w:rPr>
                    </w:sdtEndPr>
                    <w:sdtContent>
                      <w:r w:rsidRPr="00054004">
                        <w:rPr>
                          <w:rStyle w:val="WESstatus"/>
                          <w:color w:val="auto"/>
                        </w:rPr>
                        <w:t xml:space="preserve">The recommended value is quantifiable through available sampling and analysis techniques. </w:t>
                      </w:r>
                    </w:sdtContent>
                  </w:sdt>
                </w:p>
              </w:tc>
            </w:tr>
          </w:tbl>
          <w:p w14:paraId="7FA47777" w14:textId="3360C744" w:rsidR="00037BE4" w:rsidRPr="00374DFD" w:rsidRDefault="00037BE4" w:rsidP="00017C82">
            <w:pPr>
              <w:pStyle w:val="Tablefont"/>
            </w:pPr>
          </w:p>
        </w:tc>
      </w:tr>
    </w:tbl>
    <w:p w14:paraId="744796F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976E2DB" w14:textId="0F69C8DC" w:rsidR="00882831" w:rsidRDefault="00882831" w:rsidP="00882831">
      <w:pPr>
        <w:rPr>
          <w:rFonts w:cs="Arial"/>
        </w:rPr>
      </w:pPr>
      <w:r w:rsidRPr="007B14D6">
        <w:rPr>
          <w:rFonts w:cs="Arial"/>
        </w:rPr>
        <w:t xml:space="preserve">A TWA of </w:t>
      </w:r>
      <w:r>
        <w:t>5 mg/m</w:t>
      </w:r>
      <w:r w:rsidRPr="00176A0A">
        <w:rPr>
          <w:vertAlign w:val="superscript"/>
        </w:rPr>
        <w:t>3</w:t>
      </w:r>
      <w:r w:rsidRPr="007B14D6">
        <w:rPr>
          <w:rFonts w:cs="Arial"/>
        </w:rPr>
        <w:t xml:space="preserve"> is </w:t>
      </w:r>
      <w:r w:rsidR="004930A8">
        <w:rPr>
          <w:rFonts w:cs="Arial"/>
        </w:rPr>
        <w:t>recommended</w:t>
      </w:r>
      <w:r w:rsidR="004930A8" w:rsidRPr="007B14D6">
        <w:rPr>
          <w:rFonts w:cs="Arial"/>
        </w:rPr>
        <w:t xml:space="preserve"> </w:t>
      </w:r>
      <w:r w:rsidRPr="007B14D6">
        <w:rPr>
          <w:rFonts w:cs="Arial"/>
        </w:rPr>
        <w:t xml:space="preserve">to protect for </w:t>
      </w:r>
      <w:r>
        <w:rPr>
          <w:rFonts w:cs="Arial"/>
        </w:rPr>
        <w:t xml:space="preserve">inhibition of </w:t>
      </w:r>
      <w:r w:rsidRPr="00DD5243">
        <w:rPr>
          <w:rFonts w:cs="Arial"/>
          <w:szCs w:val="20"/>
          <w:lang w:val="en"/>
        </w:rPr>
        <w:t>cholinesterase</w:t>
      </w:r>
      <w:r>
        <w:rPr>
          <w:rFonts w:cs="Arial"/>
          <w:szCs w:val="20"/>
          <w:lang w:val="en"/>
        </w:rPr>
        <w:t xml:space="preserve"> activ</w:t>
      </w:r>
      <w:r w:rsidRPr="00736AB5">
        <w:rPr>
          <w:rFonts w:cs="Arial"/>
          <w:szCs w:val="20"/>
          <w:lang w:val="en"/>
        </w:rPr>
        <w:t>ity</w:t>
      </w:r>
      <w:r w:rsidRPr="00133E08">
        <w:rPr>
          <w:rFonts w:eastAsia="Calibri" w:cs="Times New Roman"/>
        </w:rPr>
        <w:t xml:space="preserve"> in </w:t>
      </w:r>
      <w:r w:rsidRPr="00882831">
        <w:rPr>
          <w:rFonts w:cs="Arial"/>
        </w:rPr>
        <w:t>exposed workers</w:t>
      </w:r>
      <w:r w:rsidRPr="005B4063">
        <w:rPr>
          <w:rFonts w:cs="Arial"/>
        </w:rPr>
        <w:t>.</w:t>
      </w:r>
    </w:p>
    <w:p w14:paraId="684B50D9" w14:textId="2C18CB54" w:rsidR="00F116A2" w:rsidRDefault="00F116A2" w:rsidP="00882831">
      <w:pPr>
        <w:rPr>
          <w:rFonts w:cs="Arial"/>
        </w:rPr>
      </w:pPr>
      <w:r w:rsidRPr="00F116A2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60E9F20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552904F" w14:textId="77777777" w:rsidR="00054004" w:rsidRDefault="00882831" w:rsidP="006639B4">
      <w:pPr>
        <w:rPr>
          <w:rFonts w:cs="Arial"/>
        </w:rPr>
      </w:pPr>
      <w:r>
        <w:rPr>
          <w:rFonts w:cs="Arial"/>
        </w:rPr>
        <w:t>C</w:t>
      </w:r>
      <w:r>
        <w:rPr>
          <w:rFonts w:eastAsia="Calibri" w:cs="Times New Roman"/>
        </w:rPr>
        <w:t>rufomate</w:t>
      </w:r>
      <w:r w:rsidRPr="005B4063">
        <w:rPr>
          <w:rFonts w:eastAsia="Calibri" w:cs="Times New Roman"/>
        </w:rPr>
        <w:t xml:space="preserve"> </w:t>
      </w:r>
      <w:r>
        <w:rPr>
          <w:rFonts w:cs="Arial"/>
        </w:rPr>
        <w:t xml:space="preserve">is used as </w:t>
      </w:r>
      <w:r w:rsidRPr="00882831">
        <w:rPr>
          <w:rFonts w:cs="Arial"/>
        </w:rPr>
        <w:t>an anthelmintic and in the systematic control of grubs, lice and horn flies</w:t>
      </w:r>
      <w:r>
        <w:rPr>
          <w:rFonts w:cs="Arial"/>
        </w:rPr>
        <w:t xml:space="preserve">. </w:t>
      </w:r>
    </w:p>
    <w:p w14:paraId="05283EAB" w14:textId="2E8E2C9A" w:rsidR="00D253CC" w:rsidRDefault="007801FE" w:rsidP="006639B4">
      <w:r>
        <w:rPr>
          <w:rFonts w:cs="Arial"/>
        </w:rPr>
        <w:t xml:space="preserve">The critical effect associated with exposure is the inhibition of </w:t>
      </w:r>
      <w:r w:rsidRPr="00DD5243">
        <w:rPr>
          <w:rFonts w:cs="Arial"/>
          <w:szCs w:val="20"/>
          <w:lang w:val="en"/>
        </w:rPr>
        <w:t>cholinesterase</w:t>
      </w:r>
      <w:r>
        <w:rPr>
          <w:rFonts w:cs="Arial"/>
          <w:szCs w:val="20"/>
          <w:lang w:val="en"/>
        </w:rPr>
        <w:t xml:space="preserve"> activ</w:t>
      </w:r>
      <w:r w:rsidRPr="00736AB5">
        <w:rPr>
          <w:rFonts w:cs="Arial"/>
          <w:szCs w:val="20"/>
          <w:lang w:val="en"/>
        </w:rPr>
        <w:t>ity</w:t>
      </w:r>
      <w:r>
        <w:rPr>
          <w:rFonts w:cs="Arial"/>
          <w:szCs w:val="20"/>
          <w:lang w:val="en"/>
        </w:rPr>
        <w:t>.</w:t>
      </w:r>
      <w:r>
        <w:rPr>
          <w:rFonts w:cs="Arial"/>
        </w:rPr>
        <w:t xml:space="preserve"> </w:t>
      </w:r>
      <w:r w:rsidR="00882831">
        <w:t>No adequate data regarding inhalation exposure in humans or animals is available.</w:t>
      </w:r>
      <w:r>
        <w:t xml:space="preserve"> An oral NOEL of 2 mg/kg/day </w:t>
      </w:r>
      <w:r w:rsidR="00F116A2">
        <w:t>is reported</w:t>
      </w:r>
      <w:r>
        <w:t xml:space="preserve"> in rats for cholinesterase inhibition (ACGIH, 2018).</w:t>
      </w:r>
      <w:r w:rsidR="00F116A2">
        <w:t xml:space="preserve"> </w:t>
      </w:r>
      <w:r w:rsidR="00D253CC">
        <w:t xml:space="preserve">The </w:t>
      </w:r>
      <w:r w:rsidR="00F116A2">
        <w:t>recommended TWA i</w:t>
      </w:r>
      <w:r w:rsidR="00D253CC">
        <w:t xml:space="preserve">s calculated based on </w:t>
      </w:r>
      <w:r>
        <w:t>the</w:t>
      </w:r>
      <w:r w:rsidR="00D253CC">
        <w:t xml:space="preserve"> NOEL</w:t>
      </w:r>
      <w:r w:rsidR="006D040A">
        <w:t xml:space="preserve"> of</w:t>
      </w:r>
      <w:r w:rsidR="00D253CC">
        <w:t xml:space="preserve"> 2 mg/kg/d</w:t>
      </w:r>
      <w:r w:rsidR="00736AB5">
        <w:t>ay</w:t>
      </w:r>
      <w:r w:rsidR="00D253CC">
        <w:t xml:space="preserve"> in </w:t>
      </w:r>
      <w:r w:rsidR="00F116A2">
        <w:t>rats, which is equivalent to 4.6 mg/m</w:t>
      </w:r>
      <w:r w:rsidR="00F116A2" w:rsidRPr="00F116A2">
        <w:rPr>
          <w:vertAlign w:val="superscript"/>
        </w:rPr>
        <w:t>3</w:t>
      </w:r>
      <w:r w:rsidR="00F116A2">
        <w:rPr>
          <w:vertAlign w:val="superscript"/>
        </w:rPr>
        <w:t xml:space="preserve"> </w:t>
      </w:r>
      <w:r w:rsidR="00F116A2">
        <w:t>in humans after applying generic conversion factors.</w:t>
      </w:r>
    </w:p>
    <w:p w14:paraId="68C7380A" w14:textId="2826D752" w:rsidR="00B97E18" w:rsidRPr="00B97E18" w:rsidRDefault="00EA6023" w:rsidP="006639B4">
      <w:r>
        <w:t>Given the limited toxicological data, t</w:t>
      </w:r>
      <w:r w:rsidR="008B09A8">
        <w:t xml:space="preserve">he </w:t>
      </w:r>
      <w:r>
        <w:t xml:space="preserve">current </w:t>
      </w:r>
      <w:r w:rsidR="00B97E18">
        <w:t xml:space="preserve">TWA </w:t>
      </w:r>
      <w:r w:rsidR="00476B76">
        <w:t>of 5 mg/m</w:t>
      </w:r>
      <w:r w:rsidR="00476B76" w:rsidRPr="00D253CC">
        <w:rPr>
          <w:vertAlign w:val="superscript"/>
        </w:rPr>
        <w:t>3</w:t>
      </w:r>
      <w:r w:rsidR="00476B76" w:rsidRPr="00054004">
        <w:t xml:space="preserve"> </w:t>
      </w:r>
      <w:r w:rsidR="00B97E18">
        <w:t xml:space="preserve">is </w:t>
      </w:r>
      <w:r>
        <w:t xml:space="preserve">recommended to be retained and </w:t>
      </w:r>
      <w:r w:rsidR="00F116A2">
        <w:t xml:space="preserve">is </w:t>
      </w:r>
      <w:r w:rsidR="00B97E18">
        <w:t xml:space="preserve">considered </w:t>
      </w:r>
      <w:r w:rsidR="008B09A8">
        <w:t>adequate</w:t>
      </w:r>
      <w:r w:rsidR="00B97E18">
        <w:t xml:space="preserve"> to</w:t>
      </w:r>
      <w:r w:rsidR="008B09A8">
        <w:t xml:space="preserve"> protect</w:t>
      </w:r>
      <w:r w:rsidR="00B97E18" w:rsidRPr="00C91D05">
        <w:t xml:space="preserve"> for </w:t>
      </w:r>
      <w:r w:rsidR="00B97E18">
        <w:rPr>
          <w:rFonts w:cs="Arial"/>
        </w:rPr>
        <w:t xml:space="preserve">inhibition of </w:t>
      </w:r>
      <w:r w:rsidR="00B97E18" w:rsidRPr="00DD5243">
        <w:rPr>
          <w:rFonts w:cs="Arial"/>
          <w:szCs w:val="20"/>
          <w:lang w:val="en"/>
        </w:rPr>
        <w:t>cholinesterase</w:t>
      </w:r>
      <w:r w:rsidR="00B97E18">
        <w:rPr>
          <w:rFonts w:cs="Arial"/>
          <w:szCs w:val="20"/>
          <w:lang w:val="en"/>
        </w:rPr>
        <w:t xml:space="preserve"> activity</w:t>
      </w:r>
      <w:r w:rsidR="008B09A8">
        <w:rPr>
          <w:rFonts w:cs="Arial"/>
          <w:szCs w:val="20"/>
          <w:lang w:val="en"/>
        </w:rPr>
        <w:t xml:space="preserve"> in exposed workers</w:t>
      </w:r>
      <w:r w:rsidR="00B97E18">
        <w:t>.</w:t>
      </w:r>
      <w:r w:rsidR="00BB6630" w:rsidRPr="00BB6630">
        <w:t xml:space="preserve"> A review of additional data sources is recommended at the next scheduled review</w:t>
      </w:r>
      <w:r w:rsidR="00F116A2">
        <w:t>, in particular to determine if rats and humans have an equivalent sensitivity to exposure and to identify human studies</w:t>
      </w:r>
      <w:r w:rsidR="00BB6630" w:rsidRPr="00BB6630">
        <w:t>.</w:t>
      </w:r>
    </w:p>
    <w:p w14:paraId="3DBDCE2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59B2F19" w14:textId="749FF7F4" w:rsidR="00350B46" w:rsidRPr="00820121" w:rsidRDefault="00350B46" w:rsidP="00350B46">
      <w:pPr>
        <w:rPr>
          <w:rFonts w:cs="Arial"/>
        </w:rPr>
      </w:pPr>
      <w:r w:rsidRPr="00820121">
        <w:rPr>
          <w:rFonts w:cs="Arial"/>
        </w:rPr>
        <w:t xml:space="preserve">Not classified as a carcinogen according to the Globally Harmonized System of Classification and Labelling </w:t>
      </w:r>
      <w:r w:rsidR="0023187C" w:rsidRPr="00820121">
        <w:rPr>
          <w:rFonts w:cs="Arial"/>
        </w:rPr>
        <w:t>o</w:t>
      </w:r>
      <w:r w:rsidR="0023187C">
        <w:rPr>
          <w:rFonts w:cs="Arial"/>
        </w:rPr>
        <w:t>f</w:t>
      </w:r>
      <w:r w:rsidR="0023187C" w:rsidRPr="00820121">
        <w:rPr>
          <w:rFonts w:cs="Arial"/>
        </w:rPr>
        <w:t xml:space="preserve"> </w:t>
      </w:r>
      <w:r w:rsidRPr="00820121">
        <w:rPr>
          <w:rFonts w:cs="Arial"/>
        </w:rPr>
        <w:t xml:space="preserve">Chemicals (GHS). </w:t>
      </w:r>
    </w:p>
    <w:p w14:paraId="1D6AA601" w14:textId="6D93DA1A" w:rsidR="00350B46" w:rsidRPr="00820121" w:rsidRDefault="00350B46" w:rsidP="00350B46">
      <w:pPr>
        <w:rPr>
          <w:rFonts w:cs="Arial"/>
        </w:rPr>
      </w:pPr>
      <w:r w:rsidRPr="00820121">
        <w:rPr>
          <w:rFonts w:cs="Arial"/>
        </w:rPr>
        <w:t>Not classified as a skin</w:t>
      </w:r>
      <w:r w:rsidR="0055158A">
        <w:rPr>
          <w:rFonts w:cs="Arial"/>
        </w:rPr>
        <w:t xml:space="preserve"> s</w:t>
      </w:r>
      <w:r w:rsidR="008B09A8">
        <w:rPr>
          <w:rFonts w:cs="Arial"/>
        </w:rPr>
        <w:t>e</w:t>
      </w:r>
      <w:r w:rsidR="0055158A">
        <w:rPr>
          <w:rFonts w:cs="Arial"/>
        </w:rPr>
        <w:t>nsitis</w:t>
      </w:r>
      <w:r w:rsidR="008B09A8">
        <w:rPr>
          <w:rFonts w:cs="Arial"/>
        </w:rPr>
        <w:t>er</w:t>
      </w:r>
      <w:r w:rsidRPr="00820121">
        <w:rPr>
          <w:rFonts w:cs="Arial"/>
        </w:rPr>
        <w:t xml:space="preserve"> or respiratory sensitiser according to the GHS.</w:t>
      </w:r>
    </w:p>
    <w:p w14:paraId="1F6F38A0" w14:textId="5F323870" w:rsidR="004529F0" w:rsidRPr="004C23F4" w:rsidRDefault="00F76A7C" w:rsidP="00350B46">
      <w:pPr>
        <w:rPr>
          <w:rFonts w:cs="Arial"/>
        </w:rPr>
      </w:pPr>
      <w:r>
        <w:rPr>
          <w:rFonts w:cs="Arial"/>
        </w:rPr>
        <w:t>T</w:t>
      </w:r>
      <w:r w:rsidR="00B5297D">
        <w:rPr>
          <w:rFonts w:cs="Arial"/>
        </w:rPr>
        <w:t>here are insufficient data to recommend a skin notation.</w:t>
      </w:r>
    </w:p>
    <w:p w14:paraId="08DC17D0" w14:textId="77777777" w:rsidR="0025734A" w:rsidRPr="004C23F4" w:rsidRDefault="0025734A">
      <w:pPr>
        <w:rPr>
          <w:rFonts w:cs="Arial"/>
        </w:rPr>
      </w:pPr>
    </w:p>
    <w:p w14:paraId="7E8A373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774283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E37C8E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6E7BED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D22461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0984D5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39119D1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50B4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50B46">
                  <w:t>TWA: 5 mg/m</w:t>
                </w:r>
                <w:r w:rsidR="00350B46" w:rsidRPr="00350B4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9A1986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DC5B2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2BD60B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60417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76A0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76A0A">
                  <w:t>TLV-TWA: 5 mg/m</w:t>
                </w:r>
                <w:r w:rsidR="00176A0A" w:rsidRPr="00176A0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CD116D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33C2D0" w14:textId="77777777" w:rsidR="005972F9" w:rsidRDefault="005972F9" w:rsidP="005972F9">
            <w:pPr>
              <w:pStyle w:val="Tabletextprimarysource"/>
            </w:pPr>
            <w:r>
              <w:t xml:space="preserve">TLV-TWA recommended to minimise </w:t>
            </w:r>
            <w:r w:rsidRPr="00C91D05">
              <w:t xml:space="preserve">the potential for </w:t>
            </w:r>
            <w:r>
              <w:rPr>
                <w:rFonts w:cs="Arial"/>
                <w:szCs w:val="20"/>
                <w:lang w:val="en"/>
              </w:rPr>
              <w:t xml:space="preserve">cholinergic symptoms due to neuronal </w:t>
            </w:r>
            <w:r w:rsidRPr="00DD5243">
              <w:rPr>
                <w:rFonts w:cs="Arial"/>
                <w:szCs w:val="20"/>
                <w:lang w:val="en"/>
              </w:rPr>
              <w:t>cholinesterase inhibiti</w:t>
            </w:r>
            <w:r>
              <w:rPr>
                <w:rFonts w:cs="Arial"/>
                <w:szCs w:val="20"/>
                <w:lang w:val="en"/>
              </w:rPr>
              <w:t>on.</w:t>
            </w:r>
          </w:p>
          <w:p w14:paraId="3AC59535" w14:textId="77777777" w:rsidR="005972F9" w:rsidRDefault="005972F9" w:rsidP="005972F9">
            <w:pPr>
              <w:pStyle w:val="Tabletextprimarysource"/>
            </w:pPr>
            <w:r>
              <w:t>Summary of data:</w:t>
            </w:r>
          </w:p>
          <w:p w14:paraId="1352BAC4" w14:textId="6344DFE1" w:rsidR="00E836FA" w:rsidRDefault="00E836FA" w:rsidP="00133E08">
            <w:pPr>
              <w:pStyle w:val="Tabletextprimarysource"/>
            </w:pPr>
            <w:r>
              <w:t>No human data presented.</w:t>
            </w:r>
          </w:p>
          <w:p w14:paraId="34DDBDAC" w14:textId="5AAF54BD" w:rsidR="005972F9" w:rsidRDefault="005972F9" w:rsidP="00133E08">
            <w:pPr>
              <w:pStyle w:val="Tabletextprimarysource"/>
            </w:pPr>
            <w:r>
              <w:t>Animal data:</w:t>
            </w:r>
          </w:p>
          <w:p w14:paraId="39C22F66" w14:textId="2DF6DF61" w:rsidR="005972F9" w:rsidRDefault="005972F9" w:rsidP="00374DF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LD</w:t>
            </w:r>
            <w:r w:rsidRPr="00F16100">
              <w:rPr>
                <w:vertAlign w:val="subscript"/>
              </w:rPr>
              <w:t>50</w:t>
            </w:r>
            <w:r>
              <w:t>: 490</w:t>
            </w:r>
            <w:r w:rsidR="00736AB5">
              <w:t>–</w:t>
            </w:r>
            <w:r>
              <w:t>1</w:t>
            </w:r>
            <w:r w:rsidR="00B5297D">
              <w:t>,</w:t>
            </w:r>
            <w:r>
              <w:t>000 mg/kg (rabbits, rats, guinea pigs and dogs, oral)</w:t>
            </w:r>
          </w:p>
          <w:p w14:paraId="69A13392" w14:textId="09AB3C8B" w:rsidR="005972F9" w:rsidRDefault="005972F9" w:rsidP="00374DF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Dermal application of 100% solution to abraded an</w:t>
            </w:r>
            <w:r w:rsidR="00736AB5">
              <w:t>d</w:t>
            </w:r>
            <w:r>
              <w:t xml:space="preserve"> intact skin of rabbits produced slight </w:t>
            </w:r>
            <w:r w:rsidRPr="00E961A0">
              <w:t>erythema</w:t>
            </w:r>
            <w:r w:rsidR="00736AB5">
              <w:t>;</w:t>
            </w:r>
            <w:r>
              <w:t xml:space="preserve"> no systematic effects observed</w:t>
            </w:r>
          </w:p>
          <w:p w14:paraId="684447DF" w14:textId="093E4C2F" w:rsidR="005972F9" w:rsidRDefault="005972F9" w:rsidP="00374DF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NOEL: 2 mg/kg/d (rats, 2 </w:t>
            </w:r>
            <w:r w:rsidR="00736AB5">
              <w:t>yr</w:t>
            </w:r>
            <w:r>
              <w:t xml:space="preserve">, oral) based on </w:t>
            </w:r>
            <w:r w:rsidRPr="00374DFD">
              <w:t>cholinesterase inhibition</w:t>
            </w:r>
          </w:p>
          <w:p w14:paraId="1E861C11" w14:textId="35FD5694" w:rsidR="005972F9" w:rsidRDefault="005972F9" w:rsidP="00374DF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NOEL: 1 mg/kg/d (dogs, 2 </w:t>
            </w:r>
            <w:r w:rsidR="00736AB5">
              <w:t>yr</w:t>
            </w:r>
            <w:r>
              <w:t xml:space="preserve">, oral) based on </w:t>
            </w:r>
            <w:r w:rsidRPr="00374DFD">
              <w:t>cholinesterase inhibition</w:t>
            </w:r>
          </w:p>
          <w:p w14:paraId="19EF7ACA" w14:textId="6476BB50" w:rsidR="005972F9" w:rsidRDefault="005972F9" w:rsidP="00374DFD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No teratogenic of reproductive effect in a 3</w:t>
            </w:r>
            <w:r w:rsidR="00736AB5">
              <w:t xml:space="preserve"> </w:t>
            </w:r>
            <w:r>
              <w:t>generation rat study, rats ingested 5</w:t>
            </w:r>
            <w:r w:rsidR="001B2A0A">
              <w:t> </w:t>
            </w:r>
            <w:r>
              <w:t>mg/kg/d</w:t>
            </w:r>
            <w:r w:rsidR="00736AB5">
              <w:t>.</w:t>
            </w:r>
          </w:p>
          <w:p w14:paraId="365DFB76" w14:textId="77777777" w:rsidR="00F22DCC" w:rsidRDefault="00F22DCC" w:rsidP="00133E08">
            <w:pPr>
              <w:pStyle w:val="Tabletextprimarysource"/>
            </w:pPr>
          </w:p>
          <w:p w14:paraId="13465D38" w14:textId="2DA88E0B" w:rsidR="005972F9" w:rsidRDefault="005972F9" w:rsidP="00133E08">
            <w:pPr>
              <w:pStyle w:val="Tabletextprimarysource"/>
            </w:pPr>
            <w:r>
              <w:t xml:space="preserve">Assigned an A4, </w:t>
            </w:r>
            <w:r w:rsidR="00736AB5">
              <w:t xml:space="preserve">not </w:t>
            </w:r>
            <w:r>
              <w:t>classified as human carcinogen.</w:t>
            </w:r>
          </w:p>
          <w:p w14:paraId="76CC40CB" w14:textId="77777777" w:rsidR="00C978F0" w:rsidRDefault="005972F9" w:rsidP="00133E08">
            <w:pPr>
              <w:pStyle w:val="Tabletextprimarysource"/>
            </w:pPr>
            <w:r>
              <w:t>Insufficient data to assign a sensitiser or skin notation.</w:t>
            </w:r>
          </w:p>
          <w:p w14:paraId="0D72EBEA" w14:textId="276207A6" w:rsidR="008B09A8" w:rsidRPr="00DA352E" w:rsidRDefault="008B09A8" w:rsidP="00133E08">
            <w:pPr>
              <w:pStyle w:val="Tabletextprimarysource"/>
            </w:pPr>
          </w:p>
        </w:tc>
      </w:tr>
      <w:tr w:rsidR="00C978F0" w:rsidRPr="00DA352E" w14:paraId="66440DB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65539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822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8224C">
                  <w:t>NA</w:t>
                </w:r>
              </w:sdtContent>
            </w:sdt>
          </w:p>
        </w:tc>
      </w:tr>
      <w:tr w:rsidR="00C978F0" w:rsidRPr="00DA352E" w14:paraId="29AAFD9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CEDAC1" w14:textId="2BC166B3" w:rsidR="00C978F0" w:rsidRPr="00DA352E" w:rsidRDefault="0058224C" w:rsidP="003365A5">
            <w:pPr>
              <w:pStyle w:val="Tabletextprimarysource"/>
            </w:pPr>
            <w:r>
              <w:t>No report</w:t>
            </w:r>
            <w:r w:rsidR="00B5297D">
              <w:t>.</w:t>
            </w:r>
          </w:p>
        </w:tc>
      </w:tr>
      <w:tr w:rsidR="00C978F0" w:rsidRPr="00DA352E" w14:paraId="57CD654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CEB39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822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8224C">
                  <w:t>NA</w:t>
                </w:r>
              </w:sdtContent>
            </w:sdt>
          </w:p>
        </w:tc>
      </w:tr>
      <w:tr w:rsidR="00C978F0" w:rsidRPr="00DA352E" w14:paraId="384B019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DB23292" w14:textId="2D77090E" w:rsidR="00C978F0" w:rsidRPr="00DA352E" w:rsidRDefault="0058224C" w:rsidP="003365A5">
            <w:pPr>
              <w:pStyle w:val="Tabletextprimarysource"/>
            </w:pPr>
            <w:r>
              <w:t>No report</w:t>
            </w:r>
            <w:r w:rsidR="00B5297D">
              <w:t>.</w:t>
            </w:r>
          </w:p>
        </w:tc>
      </w:tr>
      <w:tr w:rsidR="00DA352E" w:rsidRPr="00DA352E" w14:paraId="77D98A6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884C0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8224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8224C">
                  <w:t>NA</w:t>
                </w:r>
              </w:sdtContent>
            </w:sdt>
          </w:p>
        </w:tc>
      </w:tr>
      <w:tr w:rsidR="00DA352E" w:rsidRPr="00DA352E" w14:paraId="4D6A883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9F4D6F" w14:textId="3BF3349B" w:rsidR="00DA352E" w:rsidRPr="00DA352E" w:rsidRDefault="0058224C" w:rsidP="003365A5">
            <w:pPr>
              <w:pStyle w:val="Tabletextprimarysource"/>
            </w:pPr>
            <w:r>
              <w:t>No report</w:t>
            </w:r>
            <w:r w:rsidR="00B5297D">
              <w:t>.</w:t>
            </w:r>
          </w:p>
        </w:tc>
      </w:tr>
      <w:tr w:rsidR="00DA352E" w:rsidRPr="00DA352E" w14:paraId="5D207CF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AF7BD2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A7E4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A7E4B">
                  <w:t>NA</w:t>
                </w:r>
              </w:sdtContent>
            </w:sdt>
          </w:p>
        </w:tc>
      </w:tr>
      <w:tr w:rsidR="00DA352E" w:rsidRPr="00DA352E" w14:paraId="6A83DBE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6652D0" w14:textId="31A8CD09" w:rsidR="00DA352E" w:rsidRPr="00DA352E" w:rsidRDefault="004A7E4B" w:rsidP="003365A5">
            <w:pPr>
              <w:pStyle w:val="Tabletextprimarysource"/>
            </w:pPr>
            <w:r>
              <w:t>No report</w:t>
            </w:r>
            <w:r w:rsidR="00B5297D">
              <w:t>.</w:t>
            </w:r>
          </w:p>
        </w:tc>
      </w:tr>
    </w:tbl>
    <w:p w14:paraId="5F987E7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DA1253F" w14:textId="6B6B61E9" w:rsidR="00014F95" w:rsidRDefault="00133E08" w:rsidP="00014F95">
      <w:pPr>
        <w:pStyle w:val="Tabletextprimarysource"/>
      </w:pPr>
      <w:r>
        <w:t>NIL</w:t>
      </w:r>
      <w:bookmarkEnd w:id="0"/>
      <w:r w:rsidR="00E836FA">
        <w:t>.</w:t>
      </w:r>
    </w:p>
    <w:p w14:paraId="00BB9923" w14:textId="7192F3D5" w:rsidR="007E2A4B" w:rsidRDefault="007E2A4B" w:rsidP="00133E08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14A55D1" w14:textId="77777777" w:rsidTr="003A37D0">
        <w:trPr>
          <w:trHeight w:val="454"/>
          <w:tblHeader/>
        </w:trPr>
        <w:tc>
          <w:tcPr>
            <w:tcW w:w="6597" w:type="dxa"/>
            <w:vAlign w:val="center"/>
          </w:tcPr>
          <w:p w14:paraId="37EE9594" w14:textId="77777777" w:rsidR="002E0D61" w:rsidRDefault="00B1422A" w:rsidP="00133E08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6ED1BA4" w14:textId="77777777" w:rsidR="002E0D61" w:rsidRDefault="003A37D0" w:rsidP="00133E08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A13366D" w14:textId="77777777" w:rsidTr="003A37D0">
        <w:trPr>
          <w:trHeight w:val="454"/>
        </w:trPr>
        <w:tc>
          <w:tcPr>
            <w:tcW w:w="6597" w:type="dxa"/>
            <w:vAlign w:val="center"/>
          </w:tcPr>
          <w:p w14:paraId="7BCB1AB3" w14:textId="77777777" w:rsidR="008A36CF" w:rsidRDefault="008A36CF" w:rsidP="00133E08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9CC34D2" w14:textId="77777777" w:rsidR="008A36CF" w:rsidRDefault="003A37D0" w:rsidP="00133E08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836FA" w14:paraId="213B5322" w14:textId="77777777" w:rsidTr="000258FF">
        <w:trPr>
          <w:trHeight w:val="454"/>
        </w:trPr>
        <w:sdt>
          <w:sdtPr>
            <w:rPr>
              <w:b/>
            </w:rPr>
            <w:id w:val="1830936485"/>
            <w:placeholder>
              <w:docPart w:val="93F238E064914EF2A73F24FA9077D889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E99115A" w14:textId="28E7643C" w:rsidR="00E836FA" w:rsidRDefault="00E836FA" w:rsidP="00133E08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BF103FC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79A380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832C31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E72725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0888D79" w14:textId="77777777" w:rsidTr="00812887">
        <w:trPr>
          <w:cantSplit/>
        </w:trPr>
        <w:tc>
          <w:tcPr>
            <w:tcW w:w="3227" w:type="dxa"/>
          </w:tcPr>
          <w:p w14:paraId="4264EB5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4A45CCA" w14:textId="77777777" w:rsidR="00687890" w:rsidRPr="00DD2F9B" w:rsidRDefault="00176A0A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488E1CB" w14:textId="77777777" w:rsidTr="00812887">
        <w:trPr>
          <w:cantSplit/>
        </w:trPr>
        <w:tc>
          <w:tcPr>
            <w:tcW w:w="3227" w:type="dxa"/>
          </w:tcPr>
          <w:p w14:paraId="31A8178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89A5A5A" w14:textId="77777777" w:rsidR="007925F0" w:rsidRPr="00DD2F9B" w:rsidRDefault="00176A0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7555550" w14:textId="77777777" w:rsidTr="00812887">
        <w:trPr>
          <w:cantSplit/>
        </w:trPr>
        <w:tc>
          <w:tcPr>
            <w:tcW w:w="3227" w:type="dxa"/>
          </w:tcPr>
          <w:p w14:paraId="424B244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7BC8C0B" w14:textId="77777777" w:rsidR="00AF483F" w:rsidRPr="00DD2F9B" w:rsidRDefault="004720D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50CD502" w14:textId="77777777" w:rsidTr="00812887">
        <w:trPr>
          <w:cantSplit/>
        </w:trPr>
        <w:tc>
          <w:tcPr>
            <w:tcW w:w="3227" w:type="dxa"/>
          </w:tcPr>
          <w:p w14:paraId="1FB6DDA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562A97C" w14:textId="77777777" w:rsidR="00687890" w:rsidRPr="00DD2F9B" w:rsidRDefault="004A7E4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E8B49F3" w14:textId="77777777" w:rsidTr="00812887">
        <w:trPr>
          <w:cantSplit/>
        </w:trPr>
        <w:tc>
          <w:tcPr>
            <w:tcW w:w="3227" w:type="dxa"/>
          </w:tcPr>
          <w:p w14:paraId="08549B3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0D2B58A" w14:textId="77777777" w:rsidR="00E41A26" w:rsidRPr="00DD2F9B" w:rsidRDefault="004A7E4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C03431A" w14:textId="77777777" w:rsidTr="00812887">
        <w:trPr>
          <w:cantSplit/>
        </w:trPr>
        <w:tc>
          <w:tcPr>
            <w:tcW w:w="3227" w:type="dxa"/>
          </w:tcPr>
          <w:p w14:paraId="60A0A87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E6B0DF6" w14:textId="77777777" w:rsidR="002E0D61" w:rsidRPr="00DD2F9B" w:rsidRDefault="00D264CC" w:rsidP="00D264CC">
            <w:r>
              <w:t>Carcinogenicity – A4</w:t>
            </w:r>
          </w:p>
        </w:tc>
      </w:tr>
      <w:tr w:rsidR="002E0D61" w:rsidRPr="004C23F4" w14:paraId="68223A91" w14:textId="77777777" w:rsidTr="00812887">
        <w:trPr>
          <w:cantSplit/>
        </w:trPr>
        <w:tc>
          <w:tcPr>
            <w:tcW w:w="3227" w:type="dxa"/>
          </w:tcPr>
          <w:p w14:paraId="643200C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D54C54E" w14:textId="77777777" w:rsidR="002E0D61" w:rsidRPr="00DD2F9B" w:rsidRDefault="0058224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89E0438" w14:textId="77777777" w:rsidTr="00812887">
        <w:trPr>
          <w:cantSplit/>
        </w:trPr>
        <w:tc>
          <w:tcPr>
            <w:tcW w:w="3227" w:type="dxa"/>
          </w:tcPr>
          <w:p w14:paraId="042DC8F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B842C22" w14:textId="77777777" w:rsidR="002E0D61" w:rsidRPr="00DD2F9B" w:rsidRDefault="0058224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9A6B00F" w14:textId="77777777" w:rsidTr="00812887">
        <w:trPr>
          <w:cantSplit/>
        </w:trPr>
        <w:tc>
          <w:tcPr>
            <w:tcW w:w="3227" w:type="dxa"/>
          </w:tcPr>
          <w:p w14:paraId="7114B98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31E3A12" w14:textId="77777777" w:rsidR="002E0D61" w:rsidRPr="00DD2F9B" w:rsidRDefault="004A7E4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27CCB18" w14:textId="77777777" w:rsidTr="00812887">
        <w:trPr>
          <w:cantSplit/>
        </w:trPr>
        <w:tc>
          <w:tcPr>
            <w:tcW w:w="3227" w:type="dxa"/>
          </w:tcPr>
          <w:p w14:paraId="0ABD226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4DD2262" w14:textId="77777777" w:rsidR="00386093" w:rsidRPr="00DD2F9B" w:rsidRDefault="004A7E4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68F39E8" w14:textId="77777777" w:rsidTr="00812887">
        <w:trPr>
          <w:cantSplit/>
        </w:trPr>
        <w:tc>
          <w:tcPr>
            <w:tcW w:w="3227" w:type="dxa"/>
          </w:tcPr>
          <w:p w14:paraId="088801C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4B81F22" w14:textId="77777777" w:rsidR="00386093" w:rsidRPr="00DD2F9B" w:rsidRDefault="004A7E4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FAD265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0A3AB4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FC9BA0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1EE589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754CC8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8F26D38" w14:textId="6AD9D0EF" w:rsidR="00932DCE" w:rsidRPr="004C23F4" w:rsidRDefault="00130047" w:rsidP="00F9496B">
            <w:pPr>
              <w:pStyle w:val="Tablefont"/>
            </w:pPr>
            <w:r w:rsidRPr="00130047">
              <w:t>Insufficient data to assign a skin notation</w:t>
            </w:r>
            <w:r w:rsidR="00E836FA">
              <w:t>.</w:t>
            </w:r>
          </w:p>
        </w:tc>
      </w:tr>
    </w:tbl>
    <w:bookmarkEnd w:id="3"/>
    <w:p w14:paraId="1B37CA1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7546EA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651774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E5AAABA" w14:textId="77777777" w:rsidR="00EB3D1B" w:rsidRDefault="008C282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D2692C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CC549B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DAA5E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E1B6A2E" w14:textId="77777777" w:rsidR="001B79E5" w:rsidRDefault="0058224C" w:rsidP="001B79E5">
                <w:pPr>
                  <w:pStyle w:val="Tablefont"/>
                </w:pPr>
                <w:r>
                  <w:t>291.71</w:t>
                </w:r>
              </w:p>
            </w:tc>
          </w:sdtContent>
        </w:sdt>
      </w:tr>
      <w:tr w:rsidR="00A31D99" w:rsidRPr="004C23F4" w14:paraId="230ADF1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A8E31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51DCB3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CAD78D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1D5FD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8F22620" w14:textId="033C73FF" w:rsidR="00687890" w:rsidRPr="004C23F4" w:rsidRDefault="00D57879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44510399" w14:textId="77777777" w:rsidTr="00EA6243">
        <w:trPr>
          <w:cantSplit/>
        </w:trPr>
        <w:tc>
          <w:tcPr>
            <w:tcW w:w="4077" w:type="dxa"/>
            <w:vAlign w:val="center"/>
          </w:tcPr>
          <w:p w14:paraId="7602649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D9D86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8895A44" w14:textId="77777777" w:rsidTr="00EA6243">
        <w:trPr>
          <w:cantSplit/>
        </w:trPr>
        <w:tc>
          <w:tcPr>
            <w:tcW w:w="4077" w:type="dxa"/>
            <w:vAlign w:val="center"/>
          </w:tcPr>
          <w:p w14:paraId="7303E64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7A6795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C345A42" w14:textId="77777777" w:rsidTr="00EA6243">
        <w:trPr>
          <w:cantSplit/>
        </w:trPr>
        <w:tc>
          <w:tcPr>
            <w:tcW w:w="4077" w:type="dxa"/>
            <w:vAlign w:val="center"/>
          </w:tcPr>
          <w:p w14:paraId="5858B8F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EBBF860" w14:textId="7F08121D" w:rsidR="00E06F40" w:rsidRPr="00A006A0" w:rsidRDefault="00A214A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57879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F77789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A015A6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559C77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0460A2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D6795C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0F61D7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CD6898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9EAC06D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4DE4DF1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04FC98D" w14:textId="28C6454B" w:rsidR="00FC010B" w:rsidRPr="00351FE0" w:rsidRDefault="00FC010B" w:rsidP="00084859"/>
    <w:sectPr w:rsidR="00FC010B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14290" w14:textId="77777777" w:rsidR="003C02DF" w:rsidRDefault="003C02DF" w:rsidP="00F43AD5">
      <w:pPr>
        <w:spacing w:after="0" w:line="240" w:lineRule="auto"/>
      </w:pPr>
      <w:r>
        <w:separator/>
      </w:r>
    </w:p>
  </w:endnote>
  <w:endnote w:type="continuationSeparator" w:id="0">
    <w:p w14:paraId="1662C1F1" w14:textId="77777777" w:rsidR="003C02DF" w:rsidRDefault="003C02D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44539" w14:textId="77777777" w:rsidR="00483468" w:rsidRDefault="004834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D36B313" w14:textId="77777777" w:rsidR="008A36CF" w:rsidRDefault="008166C8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Crufomate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299-86-5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680A357" w14:textId="31DCA19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83468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68575" w14:textId="77777777" w:rsidR="00483468" w:rsidRDefault="004834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5E135" w14:textId="77777777" w:rsidR="003C02DF" w:rsidRDefault="003C02DF" w:rsidP="00F43AD5">
      <w:pPr>
        <w:spacing w:after="0" w:line="240" w:lineRule="auto"/>
      </w:pPr>
      <w:r>
        <w:separator/>
      </w:r>
    </w:p>
  </w:footnote>
  <w:footnote w:type="continuationSeparator" w:id="0">
    <w:p w14:paraId="3E4DD3AB" w14:textId="77777777" w:rsidR="003C02DF" w:rsidRDefault="003C02D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E2F2F" w14:textId="57A5D4A9" w:rsidR="00785B08" w:rsidRDefault="00785B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F8EA9" w14:textId="0FDC306A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8A34CE0" wp14:editId="2BC91D9F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55628" w14:textId="0D8F9077" w:rsidR="00785B08" w:rsidRDefault="00785B0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42CD5" w14:textId="04CDF431" w:rsidR="00814845" w:rsidRDefault="0081484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BFBBF" w14:textId="6C1D9F8A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C72CA" w14:textId="0D39FDE5" w:rsidR="00814845" w:rsidRDefault="008148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8184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86028427">
    <w:abstractNumId w:val="0"/>
  </w:num>
  <w:num w:numId="2" w16cid:durableId="361052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4F95"/>
    <w:rsid w:val="00017C82"/>
    <w:rsid w:val="00032B88"/>
    <w:rsid w:val="00037410"/>
    <w:rsid w:val="00037BE4"/>
    <w:rsid w:val="00046DF5"/>
    <w:rsid w:val="00052060"/>
    <w:rsid w:val="00054004"/>
    <w:rsid w:val="0005574A"/>
    <w:rsid w:val="00055FE1"/>
    <w:rsid w:val="00056EC2"/>
    <w:rsid w:val="00060B48"/>
    <w:rsid w:val="00067F32"/>
    <w:rsid w:val="00071807"/>
    <w:rsid w:val="00071A7F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72BB"/>
    <w:rsid w:val="0010461E"/>
    <w:rsid w:val="00106FAA"/>
    <w:rsid w:val="00112080"/>
    <w:rsid w:val="00113443"/>
    <w:rsid w:val="001269A7"/>
    <w:rsid w:val="00130047"/>
    <w:rsid w:val="00131092"/>
    <w:rsid w:val="00133E08"/>
    <w:rsid w:val="00134948"/>
    <w:rsid w:val="00140E6A"/>
    <w:rsid w:val="00146545"/>
    <w:rsid w:val="00146B75"/>
    <w:rsid w:val="0015266D"/>
    <w:rsid w:val="0015288A"/>
    <w:rsid w:val="00160F47"/>
    <w:rsid w:val="00176A0A"/>
    <w:rsid w:val="00177CA1"/>
    <w:rsid w:val="00183823"/>
    <w:rsid w:val="00183942"/>
    <w:rsid w:val="001A009E"/>
    <w:rsid w:val="001A1287"/>
    <w:rsid w:val="001A3859"/>
    <w:rsid w:val="001A3C9D"/>
    <w:rsid w:val="001A43F8"/>
    <w:rsid w:val="001B2A0A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609"/>
    <w:rsid w:val="00222F30"/>
    <w:rsid w:val="00224EE2"/>
    <w:rsid w:val="00227EC7"/>
    <w:rsid w:val="0023187C"/>
    <w:rsid w:val="00242ECC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1B0B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B46"/>
    <w:rsid w:val="00351FE0"/>
    <w:rsid w:val="00352615"/>
    <w:rsid w:val="0035412B"/>
    <w:rsid w:val="003567A8"/>
    <w:rsid w:val="00362895"/>
    <w:rsid w:val="00370DBF"/>
    <w:rsid w:val="00374DFD"/>
    <w:rsid w:val="00386093"/>
    <w:rsid w:val="003904A4"/>
    <w:rsid w:val="00391841"/>
    <w:rsid w:val="00391B6D"/>
    <w:rsid w:val="0039400B"/>
    <w:rsid w:val="00394922"/>
    <w:rsid w:val="003A0E32"/>
    <w:rsid w:val="003A2B94"/>
    <w:rsid w:val="003A37D0"/>
    <w:rsid w:val="003B387D"/>
    <w:rsid w:val="003B653F"/>
    <w:rsid w:val="003C02DF"/>
    <w:rsid w:val="003C0D58"/>
    <w:rsid w:val="003C5CE5"/>
    <w:rsid w:val="003D4FA3"/>
    <w:rsid w:val="003E0807"/>
    <w:rsid w:val="003E2659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0D6"/>
    <w:rsid w:val="00472A11"/>
    <w:rsid w:val="00472AAD"/>
    <w:rsid w:val="00474E33"/>
    <w:rsid w:val="00476803"/>
    <w:rsid w:val="00476B76"/>
    <w:rsid w:val="00483468"/>
    <w:rsid w:val="00485BFD"/>
    <w:rsid w:val="004867A2"/>
    <w:rsid w:val="004873F2"/>
    <w:rsid w:val="00490D4C"/>
    <w:rsid w:val="004930A8"/>
    <w:rsid w:val="00493A35"/>
    <w:rsid w:val="0049527A"/>
    <w:rsid w:val="004966BF"/>
    <w:rsid w:val="00497984"/>
    <w:rsid w:val="004A5088"/>
    <w:rsid w:val="004A68F8"/>
    <w:rsid w:val="004A7E4B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58A"/>
    <w:rsid w:val="00551BD8"/>
    <w:rsid w:val="00563194"/>
    <w:rsid w:val="00566DFC"/>
    <w:rsid w:val="00581055"/>
    <w:rsid w:val="0058224C"/>
    <w:rsid w:val="00591E38"/>
    <w:rsid w:val="005972F9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362E"/>
    <w:rsid w:val="0060669E"/>
    <w:rsid w:val="00607DCB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0F51"/>
    <w:rsid w:val="006B160A"/>
    <w:rsid w:val="006B4588"/>
    <w:rsid w:val="006B4E6C"/>
    <w:rsid w:val="006B50B6"/>
    <w:rsid w:val="006B5688"/>
    <w:rsid w:val="006D040A"/>
    <w:rsid w:val="006D568D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36AB5"/>
    <w:rsid w:val="00740E0E"/>
    <w:rsid w:val="00750212"/>
    <w:rsid w:val="00754779"/>
    <w:rsid w:val="0075716D"/>
    <w:rsid w:val="00765F14"/>
    <w:rsid w:val="00770E31"/>
    <w:rsid w:val="007770F1"/>
    <w:rsid w:val="007801FE"/>
    <w:rsid w:val="00783FB1"/>
    <w:rsid w:val="00785B08"/>
    <w:rsid w:val="00785CDD"/>
    <w:rsid w:val="00791847"/>
    <w:rsid w:val="007925F0"/>
    <w:rsid w:val="007939B3"/>
    <w:rsid w:val="0079509C"/>
    <w:rsid w:val="00796708"/>
    <w:rsid w:val="007B1B42"/>
    <w:rsid w:val="007B25BC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4845"/>
    <w:rsid w:val="008166C8"/>
    <w:rsid w:val="00820121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773DA"/>
    <w:rsid w:val="00882831"/>
    <w:rsid w:val="0088798F"/>
    <w:rsid w:val="00887E4B"/>
    <w:rsid w:val="008915C8"/>
    <w:rsid w:val="008A36CF"/>
    <w:rsid w:val="008A3BC4"/>
    <w:rsid w:val="008B09A8"/>
    <w:rsid w:val="008B403C"/>
    <w:rsid w:val="008B7983"/>
    <w:rsid w:val="008C2511"/>
    <w:rsid w:val="008C282B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5395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14AF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3965"/>
    <w:rsid w:val="00B4090D"/>
    <w:rsid w:val="00B40C60"/>
    <w:rsid w:val="00B479A9"/>
    <w:rsid w:val="00B5297D"/>
    <w:rsid w:val="00B52EDF"/>
    <w:rsid w:val="00B71188"/>
    <w:rsid w:val="00B76A41"/>
    <w:rsid w:val="00B87D4C"/>
    <w:rsid w:val="00B93646"/>
    <w:rsid w:val="00B97E18"/>
    <w:rsid w:val="00BA0B38"/>
    <w:rsid w:val="00BA1DBB"/>
    <w:rsid w:val="00BA4510"/>
    <w:rsid w:val="00BA529A"/>
    <w:rsid w:val="00BB612A"/>
    <w:rsid w:val="00BB6630"/>
    <w:rsid w:val="00BD499F"/>
    <w:rsid w:val="00BD56DE"/>
    <w:rsid w:val="00BF2406"/>
    <w:rsid w:val="00C06E43"/>
    <w:rsid w:val="00C16315"/>
    <w:rsid w:val="00C3091E"/>
    <w:rsid w:val="00C40FF1"/>
    <w:rsid w:val="00C419E2"/>
    <w:rsid w:val="00C46F0D"/>
    <w:rsid w:val="00C5020E"/>
    <w:rsid w:val="00C57452"/>
    <w:rsid w:val="00C61EDF"/>
    <w:rsid w:val="00C6239D"/>
    <w:rsid w:val="00C63F4E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53CC"/>
    <w:rsid w:val="00D264CC"/>
    <w:rsid w:val="00D31357"/>
    <w:rsid w:val="00D33220"/>
    <w:rsid w:val="00D334D1"/>
    <w:rsid w:val="00D44C89"/>
    <w:rsid w:val="00D516CD"/>
    <w:rsid w:val="00D57879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36FA"/>
    <w:rsid w:val="00E92499"/>
    <w:rsid w:val="00E949AF"/>
    <w:rsid w:val="00E96077"/>
    <w:rsid w:val="00EA0A06"/>
    <w:rsid w:val="00EA6023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6A2"/>
    <w:rsid w:val="00F11C71"/>
    <w:rsid w:val="00F16019"/>
    <w:rsid w:val="00F16100"/>
    <w:rsid w:val="00F20E68"/>
    <w:rsid w:val="00F22093"/>
    <w:rsid w:val="00F22DCC"/>
    <w:rsid w:val="00F236DF"/>
    <w:rsid w:val="00F43AD5"/>
    <w:rsid w:val="00F4402E"/>
    <w:rsid w:val="00F56DD0"/>
    <w:rsid w:val="00F6491C"/>
    <w:rsid w:val="00F67BBB"/>
    <w:rsid w:val="00F76A7C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010B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65BAD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972F9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56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568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568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5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568D"/>
    <w:rPr>
      <w:b/>
      <w:bCs/>
      <w:szCs w:val="20"/>
    </w:rPr>
  </w:style>
  <w:style w:type="paragraph" w:styleId="Revision">
    <w:name w:val="Revision"/>
    <w:hidden/>
    <w:uiPriority w:val="99"/>
    <w:semiHidden/>
    <w:rsid w:val="00B239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3C90CDA4B714AB3A39802148056C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99D50-72D2-4694-9107-35D9325E3EA2}"/>
      </w:docPartPr>
      <w:docPartBody>
        <w:p w:rsidR="000316F5" w:rsidRDefault="004E1A49" w:rsidP="004E1A49">
          <w:pPr>
            <w:pStyle w:val="63C90CDA4B714AB3A39802148056CD2F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93F238E064914EF2A73F24FA9077D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2EA3A2-327A-46A1-8286-514A8E58EA2F}"/>
      </w:docPartPr>
      <w:docPartBody>
        <w:p w:rsidR="00C016BF" w:rsidRDefault="00C1471F" w:rsidP="00C1471F">
          <w:pPr>
            <w:pStyle w:val="93F238E064914EF2A73F24FA9077D889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16F5"/>
    <w:rsid w:val="00040855"/>
    <w:rsid w:val="004E1A49"/>
    <w:rsid w:val="00713AE1"/>
    <w:rsid w:val="007B25BC"/>
    <w:rsid w:val="00C016BF"/>
    <w:rsid w:val="00C1471F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471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3C90CDA4B714AB3A39802148056CD2F">
    <w:name w:val="63C90CDA4B714AB3A39802148056CD2F"/>
    <w:rsid w:val="004E1A49"/>
  </w:style>
  <w:style w:type="paragraph" w:customStyle="1" w:styleId="93F238E064914EF2A73F24FA9077D889">
    <w:name w:val="93F238E064914EF2A73F24FA9077D889"/>
    <w:rsid w:val="00C147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ACE252-A04E-40E0-8131-7C56E20D37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CD431E-F476-4842-873D-498EDE4E6596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307240-F7C0-45F3-B3E3-C045EABF1A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2392EB-DF96-4814-B29A-E3DFE42F63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2019-10-08T00:12:00Z</dcterms:created>
  <dcterms:modified xsi:type="dcterms:W3CDTF">2025-12-22T03:45:00Z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2025-12-22T03:45:04Z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96d76367-1d1c-4cf6-a668-f85dff343021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