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403594D" w14:textId="77777777" w:rsidR="00BD499F" w:rsidRPr="004C23F4" w:rsidRDefault="00970BC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275D2D">
            <w:rPr>
              <w:rFonts w:ascii="Arial" w:hAnsi="Arial" w:cs="Arial"/>
            </w:rPr>
            <w:t>rotonaldehyde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2F9726C1" w14:textId="77777777" w:rsidTr="00F80E96">
        <w:trPr>
          <w:cantSplit/>
          <w:tblHeader/>
        </w:trPr>
        <w:tc>
          <w:tcPr>
            <w:tcW w:w="3989" w:type="dxa"/>
          </w:tcPr>
          <w:p w14:paraId="6F85C8E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7A79D96D" w14:textId="77777777" w:rsidR="00F43AD5" w:rsidRPr="00717D45" w:rsidRDefault="00275D2D" w:rsidP="00B76A41">
            <w:pPr>
              <w:pStyle w:val="Tablefont"/>
            </w:pPr>
            <w:r>
              <w:t>4170-30-3</w:t>
            </w:r>
          </w:p>
        </w:tc>
      </w:tr>
      <w:tr w:rsidR="00F43AD5" w:rsidRPr="004C23F4" w14:paraId="7CB5B88B" w14:textId="77777777" w:rsidTr="00F80E96">
        <w:trPr>
          <w:cantSplit/>
        </w:trPr>
        <w:tc>
          <w:tcPr>
            <w:tcW w:w="3989" w:type="dxa"/>
          </w:tcPr>
          <w:p w14:paraId="54B6933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7B3A0A9A" w14:textId="3366F207" w:rsidR="00F43AD5" w:rsidRPr="00717D45" w:rsidRDefault="00F7324B" w:rsidP="00B76A41">
            <w:pPr>
              <w:pStyle w:val="Tablefont"/>
            </w:pPr>
            <w:r>
              <w:t xml:space="preserve">2-Butenal, crotonic aldehyde, </w:t>
            </w:r>
            <w:r w:rsidR="007B7CC5">
              <w:rPr>
                <w:rFonts w:cs="Arial"/>
              </w:rPr>
              <w:t>β</w:t>
            </w:r>
            <w:r>
              <w:t>-methyl acrolein, prop</w:t>
            </w:r>
            <w:r w:rsidR="0013554C">
              <w:t xml:space="preserve">ylene aldehyde, trans-2-butenal, </w:t>
            </w:r>
            <w:r w:rsidR="0013554C" w:rsidRPr="005E69E0">
              <w:t>trans-But-2-enal</w:t>
            </w:r>
          </w:p>
        </w:tc>
      </w:tr>
      <w:tr w:rsidR="00F43AD5" w:rsidRPr="004C23F4" w14:paraId="7D2CCA97" w14:textId="77777777" w:rsidTr="00F80E96">
        <w:trPr>
          <w:cantSplit/>
        </w:trPr>
        <w:tc>
          <w:tcPr>
            <w:tcW w:w="3989" w:type="dxa"/>
          </w:tcPr>
          <w:p w14:paraId="62759D6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5524BB28" w14:textId="77777777" w:rsidR="00F43AD5" w:rsidRPr="00717D45" w:rsidRDefault="00F7324B" w:rsidP="00B76A41">
            <w:pPr>
              <w:pStyle w:val="Tablefont"/>
            </w:pPr>
            <w:r>
              <w:t>C</w:t>
            </w:r>
            <w:r w:rsidRPr="00A77650">
              <w:rPr>
                <w:vertAlign w:val="subscript"/>
              </w:rPr>
              <w:t>4</w:t>
            </w:r>
            <w:r>
              <w:t>H</w:t>
            </w:r>
            <w:r w:rsidRPr="00F7324B">
              <w:rPr>
                <w:vertAlign w:val="subscript"/>
              </w:rPr>
              <w:t>6</w:t>
            </w:r>
            <w:r>
              <w:t>O</w:t>
            </w:r>
          </w:p>
        </w:tc>
      </w:tr>
    </w:tbl>
    <w:p w14:paraId="64C4E30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E2F58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AAB27E0" w14:textId="77777777" w:rsidTr="0013554C">
        <w:trPr>
          <w:cantSplit/>
          <w:tblHeader/>
        </w:trPr>
        <w:tc>
          <w:tcPr>
            <w:tcW w:w="4010" w:type="dxa"/>
            <w:vAlign w:val="center"/>
          </w:tcPr>
          <w:p w14:paraId="7045D92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2A7CE89" w14:textId="77777777" w:rsidR="002C7AFE" w:rsidRPr="00EB3D1B" w:rsidRDefault="0013554C" w:rsidP="005E69E0">
            <w:pPr>
              <w:pStyle w:val="Tablerowheading"/>
            </w:pPr>
            <w:r w:rsidRPr="005E69E0">
              <w:rPr>
                <w:b w:val="0"/>
              </w:rPr>
              <w:t>—</w:t>
            </w:r>
          </w:p>
        </w:tc>
      </w:tr>
      <w:tr w:rsidR="0013554C" w:rsidRPr="004C23F4" w14:paraId="2FF16711" w14:textId="77777777" w:rsidTr="0013554C">
        <w:trPr>
          <w:cantSplit/>
        </w:trPr>
        <w:tc>
          <w:tcPr>
            <w:tcW w:w="4010" w:type="dxa"/>
            <w:vAlign w:val="center"/>
          </w:tcPr>
          <w:p w14:paraId="53258880" w14:textId="77777777" w:rsidR="0013554C" w:rsidRPr="002C58FF" w:rsidRDefault="0013554C" w:rsidP="0013554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1F28551" w14:textId="77777777" w:rsidR="0013554C" w:rsidRPr="00970BCF" w:rsidRDefault="0013554C" w:rsidP="005E69E0">
            <w:pPr>
              <w:pStyle w:val="Tablerowheading"/>
            </w:pPr>
            <w:r w:rsidRPr="005E69E0">
              <w:rPr>
                <w:b w:val="0"/>
              </w:rPr>
              <w:t>—</w:t>
            </w:r>
          </w:p>
        </w:tc>
      </w:tr>
      <w:tr w:rsidR="0013554C" w:rsidRPr="004C23F4" w14:paraId="40C0960B" w14:textId="77777777" w:rsidTr="005E69E0">
        <w:trPr>
          <w:cantSplit/>
        </w:trPr>
        <w:tc>
          <w:tcPr>
            <w:tcW w:w="4010" w:type="dxa"/>
            <w:vAlign w:val="center"/>
          </w:tcPr>
          <w:p w14:paraId="5B0BCD91" w14:textId="77777777" w:rsidR="0013554C" w:rsidRPr="002C58FF" w:rsidRDefault="0013554C" w:rsidP="0013554C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  <w:vAlign w:val="center"/>
          </w:tcPr>
          <w:p w14:paraId="6EDA1E12" w14:textId="27732904" w:rsidR="0013554C" w:rsidRPr="00F56F2D" w:rsidRDefault="00F56F2D" w:rsidP="005E69E0">
            <w:pPr>
              <w:spacing w:before="80" w:after="80"/>
            </w:pPr>
            <w:r>
              <w:rPr>
                <w:b/>
              </w:rPr>
              <w:t>0.</w:t>
            </w:r>
            <w:r w:rsidR="00F57AF8">
              <w:rPr>
                <w:b/>
              </w:rPr>
              <w:t>05</w:t>
            </w:r>
            <w:r>
              <w:rPr>
                <w:b/>
              </w:rPr>
              <w:t xml:space="preserve"> ppm (0.14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3554C" w:rsidRPr="004C23F4" w14:paraId="5569C9E7" w14:textId="77777777" w:rsidTr="005E69E0">
        <w:trPr>
          <w:cantSplit/>
        </w:trPr>
        <w:tc>
          <w:tcPr>
            <w:tcW w:w="4010" w:type="dxa"/>
          </w:tcPr>
          <w:p w14:paraId="3749076D" w14:textId="77777777" w:rsidR="0013554C" w:rsidRPr="002C58FF" w:rsidRDefault="0013554C" w:rsidP="0013554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  <w:vAlign w:val="center"/>
          </w:tcPr>
          <w:p w14:paraId="07AEBBDD" w14:textId="77777777" w:rsidR="0013554C" w:rsidRDefault="00F56F2D" w:rsidP="005E69E0">
            <w:pPr>
              <w:spacing w:before="80" w:after="80"/>
            </w:pPr>
            <w:r>
              <w:rPr>
                <w:b/>
              </w:rPr>
              <w:t>Sk.</w:t>
            </w:r>
          </w:p>
        </w:tc>
      </w:tr>
      <w:tr w:rsidR="0013554C" w:rsidRPr="004C23F4" w14:paraId="36ED9026" w14:textId="77777777" w:rsidTr="005E69E0">
        <w:trPr>
          <w:cantSplit/>
        </w:trPr>
        <w:tc>
          <w:tcPr>
            <w:tcW w:w="4010" w:type="dxa"/>
            <w:vAlign w:val="center"/>
          </w:tcPr>
          <w:p w14:paraId="56737ABC" w14:textId="77777777" w:rsidR="0013554C" w:rsidRPr="002C58FF" w:rsidRDefault="0013554C" w:rsidP="0013554C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  <w:vAlign w:val="center"/>
          </w:tcPr>
          <w:p w14:paraId="273853A4" w14:textId="77777777" w:rsidR="0013554C" w:rsidRDefault="002E2F58" w:rsidP="005E69E0">
            <w:pPr>
              <w:spacing w:before="80" w:after="80"/>
            </w:pPr>
            <w:r>
              <w:rPr>
                <w:b/>
              </w:rPr>
              <w:t>50 ppm</w:t>
            </w:r>
          </w:p>
        </w:tc>
      </w:tr>
      <w:tr w:rsidR="00D75DA6" w:rsidRPr="004C23F4" w14:paraId="20F7DE22" w14:textId="77777777" w:rsidTr="0032781F">
        <w:trPr>
          <w:cantSplit/>
        </w:trPr>
        <w:tc>
          <w:tcPr>
            <w:tcW w:w="9026" w:type="dxa"/>
            <w:gridSpan w:val="2"/>
          </w:tcPr>
          <w:p w14:paraId="2218801F" w14:textId="79B859DC" w:rsidR="00D75DA6" w:rsidRDefault="00D75DA6" w:rsidP="005E69E0">
            <w:pPr>
              <w:spacing w:before="80" w:after="80"/>
            </w:pPr>
            <w:r w:rsidRPr="00921259">
              <w:rPr>
                <w:b/>
              </w:rPr>
              <w:t>Sampling</w:t>
            </w:r>
            <w:r>
              <w:t xml:space="preserve"> </w:t>
            </w:r>
            <w:r w:rsidRPr="00921259">
              <w:rPr>
                <w:b/>
              </w:rPr>
              <w:t>and</w:t>
            </w:r>
            <w:r>
              <w:t xml:space="preserve"> </w:t>
            </w:r>
            <w:r w:rsidRPr="00921259">
              <w:rPr>
                <w:b/>
              </w:rPr>
              <w:t>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A5248CA90F24D23A4645DD070816F0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92125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011930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D420A66" w14:textId="52E91637" w:rsidR="006639B4" w:rsidRDefault="00F56F2D" w:rsidP="000C139A">
      <w:pPr>
        <w:rPr>
          <w:rFonts w:cs="Arial"/>
        </w:rPr>
      </w:pPr>
      <w:r>
        <w:rPr>
          <w:rFonts w:cs="Arial"/>
        </w:rPr>
        <w:t>A</w:t>
      </w:r>
      <w:r w:rsidR="00F80E96">
        <w:rPr>
          <w:rFonts w:cs="Arial"/>
        </w:rPr>
        <w:t>n interim</w:t>
      </w:r>
      <w:r>
        <w:rPr>
          <w:rFonts w:cs="Arial"/>
        </w:rPr>
        <w:t xml:space="preserve"> </w:t>
      </w:r>
      <w:r w:rsidR="001D5C72">
        <w:rPr>
          <w:rFonts w:cs="Arial"/>
        </w:rPr>
        <w:t>p</w:t>
      </w:r>
      <w:r>
        <w:rPr>
          <w:rFonts w:cs="Arial"/>
        </w:rPr>
        <w:t>eak limitation of 0.05 ppm (0.14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irritation of the eyes and upper respiratory tract in exposed workers. </w:t>
      </w:r>
    </w:p>
    <w:p w14:paraId="2CD69F92" w14:textId="453FFEAF" w:rsidR="00276BE5" w:rsidRDefault="00F80E96" w:rsidP="007421D8">
      <w:r w:rsidRPr="00F80E96">
        <w:t xml:space="preserve">Given the </w:t>
      </w:r>
      <w:r>
        <w:t xml:space="preserve">uncertainty within the </w:t>
      </w:r>
      <w:r w:rsidRPr="00F80E96">
        <w:t xml:space="preserve">data </w:t>
      </w:r>
      <w:r>
        <w:t>about the relevance of the outcomes of the animal carcinogenicity outcomes to humans</w:t>
      </w:r>
      <w:r w:rsidRPr="00F80E96">
        <w:t>, it is recommended that a review of additional sources be conducted at the next scheduled review.</w:t>
      </w:r>
    </w:p>
    <w:p w14:paraId="4E3CDE91" w14:textId="74AD0646" w:rsidR="00C7155E" w:rsidRPr="004C23F4" w:rsidRDefault="00F10C97" w:rsidP="003365A5">
      <w:pPr>
        <w:pStyle w:val="Heading2"/>
      </w:pPr>
      <w:r>
        <w:t>Discussion and conclusions</w:t>
      </w:r>
    </w:p>
    <w:p w14:paraId="5BFEDE9D" w14:textId="184E32B1" w:rsidR="001D5C72" w:rsidRDefault="00D76BA9" w:rsidP="00CE0610">
      <w:r>
        <w:t xml:space="preserve">Crotonaldehyde </w:t>
      </w:r>
      <w:r w:rsidR="001D5C72">
        <w:t>is</w:t>
      </w:r>
      <w:r w:rsidRPr="00D76BA9">
        <w:t xml:space="preserve"> used in the man</w:t>
      </w:r>
      <w:r w:rsidR="00CE0610">
        <w:t xml:space="preserve">ufacture of </w:t>
      </w:r>
      <w:r>
        <w:t>butanol</w:t>
      </w:r>
      <w:r w:rsidR="00CE0610">
        <w:t xml:space="preserve"> and butyl</w:t>
      </w:r>
      <w:r w:rsidR="005E69E0">
        <w:t>aldehyde</w:t>
      </w:r>
      <w:r>
        <w:t xml:space="preserve">. </w:t>
      </w:r>
      <w:r w:rsidR="00CE0610">
        <w:t>It is</w:t>
      </w:r>
      <w:r>
        <w:t xml:space="preserve"> a highly reactive and </w:t>
      </w:r>
      <w:r w:rsidR="00302D46">
        <w:t xml:space="preserve">a </w:t>
      </w:r>
      <w:r>
        <w:t xml:space="preserve">strong irritant. </w:t>
      </w:r>
    </w:p>
    <w:p w14:paraId="7DD07EB0" w14:textId="25A19089" w:rsidR="004F1446" w:rsidRDefault="002A34F2" w:rsidP="00CE0610">
      <w:r>
        <w:t>Mutagenicity results are conflicting in</w:t>
      </w:r>
      <w:r w:rsidR="001D5C72">
        <w:t xml:space="preserve"> </w:t>
      </w:r>
      <w:r w:rsidR="001D5C72">
        <w:rPr>
          <w:i/>
        </w:rPr>
        <w:t>in vitro</w:t>
      </w:r>
      <w:r w:rsidR="001D5C72">
        <w:t xml:space="preserve"> and </w:t>
      </w:r>
      <w:r w:rsidR="001D5C72">
        <w:rPr>
          <w:i/>
        </w:rPr>
        <w:t>in vivo</w:t>
      </w:r>
      <w:r w:rsidR="001D5C72">
        <w:t xml:space="preserve"> </w:t>
      </w:r>
      <w:r>
        <w:t xml:space="preserve">tests </w:t>
      </w:r>
      <w:r w:rsidR="001D5C72">
        <w:t>and reliable information on carcinogenic risk is not available. While malignant tumours are reported in chronic worker studies at</w:t>
      </w:r>
      <w:r w:rsidR="00CE0610">
        <w:t xml:space="preserve"> 1</w:t>
      </w:r>
      <w:r w:rsidR="00970BCF">
        <w:t>–</w:t>
      </w:r>
      <w:r w:rsidR="00CE0610">
        <w:t>7 mg/m</w:t>
      </w:r>
      <w:r w:rsidR="00CE0610" w:rsidRPr="00F72607">
        <w:rPr>
          <w:vertAlign w:val="superscript"/>
        </w:rPr>
        <w:t>3</w:t>
      </w:r>
      <w:r w:rsidR="00CE0610">
        <w:t xml:space="preserve"> for 20 years</w:t>
      </w:r>
      <w:r w:rsidR="001D5C72">
        <w:t>,</w:t>
      </w:r>
      <w:r w:rsidR="00CE0610">
        <w:t xml:space="preserve"> </w:t>
      </w:r>
      <w:r w:rsidR="00545C3C">
        <w:t xml:space="preserve">these </w:t>
      </w:r>
      <w:r w:rsidR="00CE0610">
        <w:t xml:space="preserve">data </w:t>
      </w:r>
      <w:r w:rsidR="00545C3C">
        <w:t xml:space="preserve">are </w:t>
      </w:r>
      <w:r w:rsidR="00CE0610">
        <w:t xml:space="preserve">not considered </w:t>
      </w:r>
      <w:r w:rsidR="00F4482F">
        <w:t xml:space="preserve">sufficiently </w:t>
      </w:r>
      <w:r w:rsidR="00CE0610">
        <w:t xml:space="preserve">robust </w:t>
      </w:r>
      <w:r w:rsidR="00F4482F">
        <w:t xml:space="preserve">because the potential </w:t>
      </w:r>
      <w:r w:rsidR="00D3461D">
        <w:t>bias</w:t>
      </w:r>
      <w:r w:rsidR="00F4482F">
        <w:t xml:space="preserve"> of </w:t>
      </w:r>
      <w:r w:rsidR="00CE0610">
        <w:t>smoking and co</w:t>
      </w:r>
      <w:r w:rsidR="00545C3C">
        <w:noBreakHyphen/>
      </w:r>
      <w:r w:rsidR="00CE0610">
        <w:t xml:space="preserve">exposure to other aldehydes </w:t>
      </w:r>
      <w:r w:rsidR="00F4482F">
        <w:t>was not controlled</w:t>
      </w:r>
      <w:r w:rsidR="00D3461D">
        <w:t xml:space="preserve"> </w:t>
      </w:r>
      <w:r w:rsidR="00CE0610">
        <w:t xml:space="preserve">(DFG, 2018). </w:t>
      </w:r>
      <w:r w:rsidR="003A5383">
        <w:t>Hepatocellular carc</w:t>
      </w:r>
      <w:r w:rsidR="00F80E96">
        <w:t>inomas and neoplastic nodules a</w:t>
      </w:r>
      <w:r w:rsidR="003A5383">
        <w:t>re reported in male rats</w:t>
      </w:r>
      <w:r w:rsidR="003A5383" w:rsidDel="003A5383">
        <w:t xml:space="preserve"> </w:t>
      </w:r>
      <w:r w:rsidR="003A5383">
        <w:t>in a</w:t>
      </w:r>
      <w:r w:rsidR="00F4482F">
        <w:t xml:space="preserve"> </w:t>
      </w:r>
      <w:r w:rsidR="00F80E96">
        <w:t xml:space="preserve">113 </w:t>
      </w:r>
      <w:r w:rsidR="00CE0610">
        <w:t xml:space="preserve">week </w:t>
      </w:r>
      <w:r w:rsidR="00F4482F">
        <w:t xml:space="preserve">oral study </w:t>
      </w:r>
      <w:r w:rsidR="00F80E96">
        <w:t>(c</w:t>
      </w:r>
      <w:r w:rsidR="003A5383">
        <w:t xml:space="preserve">rotonaldehyde in </w:t>
      </w:r>
      <w:r w:rsidR="00CE0610">
        <w:t>drinking water</w:t>
      </w:r>
      <w:r w:rsidR="00D3461D">
        <w:t>)</w:t>
      </w:r>
      <w:r w:rsidR="001D5C72">
        <w:t xml:space="preserve">. However, this effect has unknown relevance for </w:t>
      </w:r>
      <w:r w:rsidR="00D3461D">
        <w:t>humans</w:t>
      </w:r>
      <w:r w:rsidR="007421D8">
        <w:t>.</w:t>
      </w:r>
    </w:p>
    <w:p w14:paraId="1033393F" w14:textId="421CC06F" w:rsidR="00CE0610" w:rsidRPr="00CE0610" w:rsidRDefault="004F1446" w:rsidP="00CE0610">
      <w:r>
        <w:t xml:space="preserve">It </w:t>
      </w:r>
      <w:r w:rsidR="001E228A">
        <w:t xml:space="preserve">is not classified as a carcinogen according to the Globally Harmonized System of Classification and Labelling of Chemicals </w:t>
      </w:r>
      <w:r w:rsidR="00CE0610">
        <w:t>(ACGIH, 2018).</w:t>
      </w:r>
      <w:r w:rsidR="00970BCF">
        <w:t xml:space="preserve"> </w:t>
      </w:r>
      <w:r w:rsidR="001E228A">
        <w:t xml:space="preserve">Therefore, </w:t>
      </w:r>
      <w:r w:rsidR="00276BE5">
        <w:t xml:space="preserve">based on this evidence </w:t>
      </w:r>
      <w:r w:rsidR="001E228A">
        <w:t>carcinogenicity is</w:t>
      </w:r>
      <w:r w:rsidR="00276BE5">
        <w:t xml:space="preserve"> currently</w:t>
      </w:r>
      <w:r w:rsidR="001E228A">
        <w:t xml:space="preserve"> not considered to be a critical endpoint.</w:t>
      </w:r>
    </w:p>
    <w:p w14:paraId="4A0FEA5F" w14:textId="0242282D" w:rsidR="00970BCF" w:rsidRDefault="001D5C72" w:rsidP="00A16849">
      <w:pPr>
        <w:rPr>
          <w:rFonts w:cs="Arial"/>
        </w:rPr>
      </w:pPr>
      <w:r>
        <w:t xml:space="preserve">Data in humans demonstrate irritation after acute exposures (seconds to minutes) at concentrations as low as 0.17 ppm. A study in mice identified a </w:t>
      </w:r>
      <w:r w:rsidR="00545C3C">
        <w:t>10</w:t>
      </w:r>
      <w:r w:rsidR="00F80E96">
        <w:t xml:space="preserve"> </w:t>
      </w:r>
      <w:r>
        <w:t>minute RD</w:t>
      </w:r>
      <w:r>
        <w:rPr>
          <w:vertAlign w:val="subscript"/>
        </w:rPr>
        <w:t>50</w:t>
      </w:r>
      <w:r>
        <w:t xml:space="preserve"> of 3.5 ppm (ACGIH, 2018; SCOEL, 2013). </w:t>
      </w:r>
      <w:r w:rsidR="00545C3C">
        <w:rPr>
          <w:rFonts w:cs="Arial"/>
        </w:rPr>
        <w:t xml:space="preserve">A peak limitation of 0.05 ppm is calculated based on </w:t>
      </w:r>
      <w:r w:rsidR="00CE0610">
        <w:rPr>
          <w:rFonts w:cs="Arial"/>
        </w:rPr>
        <w:t xml:space="preserve">the concentration of 0.17 ppm for acute exposure irritation in humans </w:t>
      </w:r>
      <w:r w:rsidR="00545C3C">
        <w:rPr>
          <w:rFonts w:cs="Arial"/>
        </w:rPr>
        <w:t>divided by</w:t>
      </w:r>
      <w:r w:rsidR="00CE0610">
        <w:rPr>
          <w:rFonts w:cs="Arial"/>
        </w:rPr>
        <w:t xml:space="preserve"> </w:t>
      </w:r>
      <w:r w:rsidR="00970BCF">
        <w:rPr>
          <w:rFonts w:cs="Arial"/>
        </w:rPr>
        <w:t>a</w:t>
      </w:r>
      <w:r>
        <w:rPr>
          <w:rFonts w:cs="Arial"/>
        </w:rPr>
        <w:t>n uncertainty</w:t>
      </w:r>
      <w:r w:rsidR="00970BCF">
        <w:rPr>
          <w:rFonts w:cs="Arial"/>
        </w:rPr>
        <w:t xml:space="preserve"> </w:t>
      </w:r>
      <w:r w:rsidR="00CE0610">
        <w:rPr>
          <w:rFonts w:cs="Arial"/>
        </w:rPr>
        <w:t xml:space="preserve">factor of </w:t>
      </w:r>
      <w:r w:rsidR="005E69E0">
        <w:rPr>
          <w:rFonts w:cs="Arial"/>
        </w:rPr>
        <w:t>two</w:t>
      </w:r>
      <w:r w:rsidR="00005AC8">
        <w:rPr>
          <w:rFonts w:cs="Arial"/>
        </w:rPr>
        <w:t xml:space="preserve"> and the result rounded down to 0.05 ppm</w:t>
      </w:r>
      <w:r w:rsidR="00A17CF8">
        <w:rPr>
          <w:rFonts w:cs="Arial"/>
        </w:rPr>
        <w:t>.</w:t>
      </w:r>
      <w:r w:rsidR="00970BCF">
        <w:rPr>
          <w:rFonts w:cs="Arial"/>
        </w:rPr>
        <w:t xml:space="preserve"> </w:t>
      </w:r>
      <w:r w:rsidR="00A17CF8">
        <w:rPr>
          <w:rFonts w:cs="Arial"/>
        </w:rPr>
        <w:t xml:space="preserve">This concentration is considered </w:t>
      </w:r>
      <w:r w:rsidR="00545C3C">
        <w:rPr>
          <w:rFonts w:cs="Arial"/>
        </w:rPr>
        <w:t xml:space="preserve">to </w:t>
      </w:r>
      <w:r w:rsidR="00276BE5">
        <w:rPr>
          <w:rFonts w:cs="Arial"/>
        </w:rPr>
        <w:t>protect irritative effects and</w:t>
      </w:r>
      <w:r w:rsidR="00A17CF8">
        <w:rPr>
          <w:rFonts w:cs="Arial"/>
        </w:rPr>
        <w:t xml:space="preserve"> to reduce</w:t>
      </w:r>
      <w:r w:rsidR="00276BE5">
        <w:rPr>
          <w:rFonts w:cs="Arial"/>
        </w:rPr>
        <w:t xml:space="preserve"> the risks of systemic effects.</w:t>
      </w:r>
      <w:r w:rsidR="00970BCF">
        <w:rPr>
          <w:rFonts w:cs="Arial"/>
        </w:rPr>
        <w:t xml:space="preserve"> </w:t>
      </w:r>
    </w:p>
    <w:p w14:paraId="76AF9FCC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6E3207E" w14:textId="0B19C10D" w:rsidR="001E228A" w:rsidRDefault="002C0E73" w:rsidP="002C0E73">
      <w:pPr>
        <w:rPr>
          <w:rFonts w:cs="Arial"/>
        </w:rPr>
      </w:pPr>
      <w:r w:rsidRPr="002E2F58">
        <w:rPr>
          <w:rFonts w:cs="Arial"/>
        </w:rPr>
        <w:t>Not classified as a carcinogen according to the Globally Harmonized System of Classification and Labelling o</w:t>
      </w:r>
      <w:r w:rsidR="002308C0">
        <w:rPr>
          <w:rFonts w:cs="Arial"/>
        </w:rPr>
        <w:t>f</w:t>
      </w:r>
      <w:r w:rsidRPr="002E2F58">
        <w:rPr>
          <w:rFonts w:cs="Arial"/>
        </w:rPr>
        <w:t xml:space="preserve"> Chemicals (GHS). </w:t>
      </w:r>
    </w:p>
    <w:p w14:paraId="672B1A7C" w14:textId="783A1276" w:rsidR="002C0E73" w:rsidRPr="002E2F58" w:rsidRDefault="002C0E73" w:rsidP="002C0E73">
      <w:pPr>
        <w:rPr>
          <w:rFonts w:cs="Arial"/>
        </w:rPr>
      </w:pPr>
      <w:r w:rsidRPr="002E2F58">
        <w:rPr>
          <w:rFonts w:cs="Arial"/>
        </w:rPr>
        <w:t>Not classified as a skin</w:t>
      </w:r>
      <w:r w:rsidR="005E69E0" w:rsidRPr="005E69E0">
        <w:rPr>
          <w:rFonts w:cs="Arial"/>
        </w:rPr>
        <w:t xml:space="preserve"> </w:t>
      </w:r>
      <w:r w:rsidR="005E69E0" w:rsidRPr="002E2F58">
        <w:rPr>
          <w:rFonts w:cs="Arial"/>
        </w:rPr>
        <w:t>sensitiser</w:t>
      </w:r>
      <w:r w:rsidRPr="002E2F58">
        <w:rPr>
          <w:rFonts w:cs="Arial"/>
        </w:rPr>
        <w:t xml:space="preserve"> or respiratory sensitiser according to the GHS.</w:t>
      </w:r>
    </w:p>
    <w:p w14:paraId="7BA3F8A3" w14:textId="77777777" w:rsidR="004529F0" w:rsidRPr="004C23F4" w:rsidRDefault="00D76BA9" w:rsidP="002C0E73">
      <w:pPr>
        <w:rPr>
          <w:rFonts w:cs="Arial"/>
        </w:rPr>
      </w:pPr>
      <w:r>
        <w:rPr>
          <w:rFonts w:cs="Arial"/>
        </w:rPr>
        <w:t>A skin notation is recommended based on evidence in animals.</w:t>
      </w:r>
    </w:p>
    <w:p w14:paraId="5C866D24" w14:textId="77777777" w:rsidR="0025734A" w:rsidRPr="004C23F4" w:rsidRDefault="0025734A">
      <w:pPr>
        <w:rPr>
          <w:rFonts w:cs="Arial"/>
        </w:rPr>
      </w:pPr>
    </w:p>
    <w:p w14:paraId="2C15D58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AD282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9EB56E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ECE36C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47104B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7E3094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817108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3554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3554C">
                  <w:t>TWA: 2 ppm (5.7 mg/m</w:t>
                </w:r>
                <w:r w:rsidR="0013554C" w:rsidRPr="0013554C">
                  <w:rPr>
                    <w:vertAlign w:val="superscript"/>
                  </w:rPr>
                  <w:t>3</w:t>
                </w:r>
                <w:r w:rsidR="0013554C">
                  <w:t>)</w:t>
                </w:r>
              </w:sdtContent>
            </w:sdt>
          </w:p>
        </w:tc>
      </w:tr>
      <w:tr w:rsidR="00C978F0" w:rsidRPr="00DA352E" w14:paraId="100C1DB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E6CB2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7ACAA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DBBB4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352B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352B2">
                  <w:t>TLV-Ceiling: 0.3 ppm (0.86 mg/m</w:t>
                </w:r>
                <w:r w:rsidR="00D352B2" w:rsidRPr="00D352B2">
                  <w:rPr>
                    <w:vertAlign w:val="superscript"/>
                  </w:rPr>
                  <w:t>3</w:t>
                </w:r>
                <w:r w:rsidR="00D352B2">
                  <w:t>)</w:t>
                </w:r>
              </w:sdtContent>
            </w:sdt>
          </w:p>
        </w:tc>
      </w:tr>
      <w:tr w:rsidR="00C978F0" w:rsidRPr="00DA352E" w14:paraId="2666A1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25090E" w14:textId="10A37E6F" w:rsidR="00C978F0" w:rsidRDefault="00231F1B" w:rsidP="003365A5">
            <w:pPr>
              <w:pStyle w:val="Tabletextprimarysource"/>
            </w:pPr>
            <w:r>
              <w:t xml:space="preserve">TLV-Ceiling recommended to minimise the potential for rapidly acting irritation of the eyes and upper respiratory tract. </w:t>
            </w:r>
          </w:p>
          <w:p w14:paraId="45D92D49" w14:textId="77777777" w:rsidR="00231F1B" w:rsidRDefault="00231F1B" w:rsidP="003365A5">
            <w:pPr>
              <w:pStyle w:val="Tabletextprimarysource"/>
            </w:pPr>
            <w:r>
              <w:t>Summary of data:</w:t>
            </w:r>
          </w:p>
          <w:p w14:paraId="3B6FB27B" w14:textId="77777777" w:rsidR="00231F1B" w:rsidRDefault="00231F1B" w:rsidP="003365A5">
            <w:pPr>
              <w:pStyle w:val="Tabletextprimarysource"/>
            </w:pPr>
            <w:r>
              <w:t>Human data:</w:t>
            </w:r>
          </w:p>
          <w:p w14:paraId="471EFE70" w14:textId="262E0C05" w:rsidR="00231F1B" w:rsidRDefault="005D79E9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In volunteers, 4.1 ppm produced lacrimation in 30 se</w:t>
            </w:r>
            <w:r w:rsidR="005E69E0">
              <w:t>c</w:t>
            </w:r>
            <w:r>
              <w:t xml:space="preserve"> and was highly irritating to the nose and upper respiratory tract in</w:t>
            </w:r>
            <w:r w:rsidR="00A76A29">
              <w:t xml:space="preserve"> </w:t>
            </w:r>
            <w:r>
              <w:t>15 min</w:t>
            </w:r>
          </w:p>
          <w:p w14:paraId="31A5F9AD" w14:textId="77777777" w:rsidR="001D5C72" w:rsidRDefault="00B248CE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Conversely, brief exposures at 15 ppm did not produce any irritation</w:t>
            </w:r>
          </w:p>
          <w:p w14:paraId="0B13DBCB" w14:textId="5896DA29" w:rsidR="005D79E9" w:rsidRDefault="00B248CE" w:rsidP="001D5C72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45 ppm for a few seconds produced conjunctival irritation</w:t>
            </w:r>
          </w:p>
          <w:p w14:paraId="44AB84FA" w14:textId="77777777" w:rsidR="001D5C72" w:rsidRDefault="00970BCF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8 </w:t>
            </w:r>
            <w:r w:rsidR="00B248CE">
              <w:t>industrial cases of corneal injury reported</w:t>
            </w:r>
          </w:p>
          <w:p w14:paraId="538D85C2" w14:textId="77777777" w:rsidR="001D5C72" w:rsidRDefault="001D5C72" w:rsidP="001D5C72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injury healed after 48 h</w:t>
            </w:r>
          </w:p>
          <w:p w14:paraId="25FF9C84" w14:textId="7E63BE6E" w:rsidR="00A76A29" w:rsidRDefault="00B248CE" w:rsidP="001D5C72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no further information</w:t>
            </w:r>
            <w:r w:rsidR="00C049F5">
              <w:t>.</w:t>
            </w:r>
          </w:p>
          <w:p w14:paraId="20187876" w14:textId="4A186C4D" w:rsidR="00B248CE" w:rsidRDefault="00B248CE" w:rsidP="00B248CE">
            <w:pPr>
              <w:pStyle w:val="Tabletextprimarysource"/>
            </w:pPr>
            <w:r>
              <w:t>Animal data:</w:t>
            </w:r>
          </w:p>
          <w:p w14:paraId="65D1FBC4" w14:textId="595B2FF5" w:rsidR="00B248CE" w:rsidRDefault="00B248CE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E54DFC">
              <w:rPr>
                <w:vertAlign w:val="subscript"/>
              </w:rPr>
              <w:t>50</w:t>
            </w:r>
            <w:r w:rsidR="005E69E0">
              <w:t>:</w:t>
            </w:r>
            <w:r w:rsidR="00A76A29">
              <w:t xml:space="preserve"> </w:t>
            </w:r>
            <w:r>
              <w:t xml:space="preserve">26 mg/kg </w:t>
            </w:r>
            <w:r w:rsidR="005E69E0">
              <w:t>(</w:t>
            </w:r>
            <w:r>
              <w:t>guinea pigs</w:t>
            </w:r>
            <w:r w:rsidR="005E69E0">
              <w:t>, dermal)</w:t>
            </w:r>
          </w:p>
          <w:p w14:paraId="43B4712F" w14:textId="2680BAA8" w:rsidR="00B248CE" w:rsidRDefault="00B248CE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RD</w:t>
            </w:r>
            <w:r w:rsidRPr="00E54DFC">
              <w:rPr>
                <w:vertAlign w:val="subscript"/>
              </w:rPr>
              <w:t>50</w:t>
            </w:r>
            <w:r w:rsidR="005E69E0">
              <w:t>:</w:t>
            </w:r>
            <w:r>
              <w:t xml:space="preserve"> 3.5 ppm </w:t>
            </w:r>
            <w:r w:rsidR="005E69E0">
              <w:t>(</w:t>
            </w:r>
            <w:r>
              <w:t>mice</w:t>
            </w:r>
            <w:r w:rsidR="005E69E0">
              <w:t>, 10 min)</w:t>
            </w:r>
            <w:r>
              <w:t xml:space="preserve">; </w:t>
            </w:r>
            <w:r w:rsidR="0063736D">
              <w:t>considered equipotent with formaldehyde</w:t>
            </w:r>
          </w:p>
          <w:p w14:paraId="1D7B9A01" w14:textId="3702945C" w:rsidR="001D5C72" w:rsidRDefault="00C45A25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113 wk drinking water </w:t>
            </w:r>
            <w:r w:rsidR="00D0145C">
              <w:t xml:space="preserve">rat </w:t>
            </w:r>
            <w:r>
              <w:t>study induced hepatocellular carcinomas</w:t>
            </w:r>
            <w:r w:rsidR="00D0145C">
              <w:t xml:space="preserve"> (2/27)</w:t>
            </w:r>
            <w:r>
              <w:t xml:space="preserve"> and neoplastic nodules</w:t>
            </w:r>
            <w:r w:rsidR="00D0145C">
              <w:t xml:space="preserve"> (9/27)</w:t>
            </w:r>
            <w:r>
              <w:t xml:space="preserve"> in</w:t>
            </w:r>
            <w:r w:rsidR="004E563C">
              <w:t xml:space="preserve"> </w:t>
            </w:r>
            <w:r>
              <w:t>rats</w:t>
            </w:r>
            <w:r w:rsidR="00485C4C">
              <w:t>, significantly higher incidences than the control group</w:t>
            </w:r>
          </w:p>
          <w:p w14:paraId="0EA3E6C7" w14:textId="67840F55" w:rsidR="00A76A29" w:rsidRDefault="001D5C72" w:rsidP="001D5C72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this effect has unknown relevance to humans</w:t>
            </w:r>
            <w:r w:rsidR="00C049F5">
              <w:t>.</w:t>
            </w:r>
          </w:p>
          <w:p w14:paraId="140DD32D" w14:textId="32AF6AE0" w:rsidR="00513BF7" w:rsidRDefault="00513BF7" w:rsidP="00513BF7">
            <w:pPr>
              <w:pStyle w:val="Tabletextprimarysource"/>
            </w:pPr>
            <w:r>
              <w:t>Genotoxicity</w:t>
            </w:r>
            <w:r w:rsidR="00E10AB6">
              <w:t xml:space="preserve"> and mechanism</w:t>
            </w:r>
          </w:p>
          <w:p w14:paraId="716B14A0" w14:textId="40501D59" w:rsidR="00513BF7" w:rsidRPr="00513BF7" w:rsidRDefault="00513BF7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Conflicting mutagenicity results in </w:t>
            </w:r>
            <w:r w:rsidRPr="00E54DFC">
              <w:rPr>
                <w:i/>
              </w:rPr>
              <w:t xml:space="preserve">Salmonella typhimurium; </w:t>
            </w:r>
            <w:r>
              <w:t>not mutagenic and direct-acting mutagen</w:t>
            </w:r>
            <w:r w:rsidR="004E563C">
              <w:t xml:space="preserve"> outcomes</w:t>
            </w:r>
            <w:r>
              <w:t xml:space="preserve"> in </w:t>
            </w:r>
            <w:r w:rsidR="00970BCF">
              <w:t xml:space="preserve">2 </w:t>
            </w:r>
            <w:r>
              <w:t>different reports</w:t>
            </w:r>
          </w:p>
          <w:p w14:paraId="34032F91" w14:textId="1304400D" w:rsidR="00513BF7" w:rsidRDefault="00E10AB6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Formed </w:t>
            </w:r>
            <w:r w:rsidR="006B63B2">
              <w:t>DNA adducts in cultured Chinese hamster ovary cells, in rat primary hepatocytes and in human fibroblasts and lymphoblast</w:t>
            </w:r>
          </w:p>
          <w:p w14:paraId="7944A7D0" w14:textId="77777777" w:rsidR="00E10AB6" w:rsidRDefault="00E10AB6" w:rsidP="001D5C7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Mechanism of carcinogenesis related to its potent DNA-protein cross-linking properties</w:t>
            </w:r>
            <w:r w:rsidR="00970BCF">
              <w:t>.</w:t>
            </w:r>
          </w:p>
          <w:p w14:paraId="30FBC722" w14:textId="77777777" w:rsidR="00A76A29" w:rsidRDefault="00A76A29" w:rsidP="00513BF7">
            <w:pPr>
              <w:pStyle w:val="Tabletextprimarysource"/>
            </w:pPr>
          </w:p>
          <w:p w14:paraId="59E6C41B" w14:textId="4AD38E02" w:rsidR="00513BF7" w:rsidRDefault="0063736D" w:rsidP="00513BF7">
            <w:pPr>
              <w:pStyle w:val="Tabletextprimarysource"/>
            </w:pPr>
            <w:r>
              <w:t xml:space="preserve">TLV-Ceiling based on 4.1 ppm rapid irritant effects and </w:t>
            </w:r>
            <w:r w:rsidRPr="001E228A">
              <w:rPr>
                <w:i/>
              </w:rPr>
              <w:t>via</w:t>
            </w:r>
            <w:r>
              <w:t xml:space="preserve"> analogy with TLV-Ceiling for formaldehyde</w:t>
            </w:r>
            <w:r w:rsidR="00970BCF">
              <w:t>.</w:t>
            </w:r>
          </w:p>
          <w:p w14:paraId="038A4146" w14:textId="77777777" w:rsidR="00E22D9A" w:rsidRDefault="00A51DC8" w:rsidP="00513BF7">
            <w:pPr>
              <w:pStyle w:val="Tabletextprimarysource"/>
            </w:pPr>
            <w:r>
              <w:t>Insufficient data to recommend sensitiser notations.</w:t>
            </w:r>
          </w:p>
          <w:p w14:paraId="04FE2F3B" w14:textId="76F72D1A" w:rsidR="00A76A29" w:rsidRPr="00DA352E" w:rsidRDefault="00A76A29" w:rsidP="00513BF7">
            <w:pPr>
              <w:pStyle w:val="Tabletextprimarysource"/>
            </w:pPr>
          </w:p>
        </w:tc>
      </w:tr>
      <w:tr w:rsidR="00C978F0" w:rsidRPr="00DA352E" w14:paraId="14D9A6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575EB8" w14:textId="3F9B2CC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42E46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236BB">
                  <w:t>Not assigned</w:t>
                </w:r>
              </w:sdtContent>
            </w:sdt>
          </w:p>
        </w:tc>
      </w:tr>
      <w:tr w:rsidR="00C978F0" w:rsidRPr="00DA352E" w14:paraId="5878D484" w14:textId="77777777" w:rsidTr="001E228A">
        <w:trPr>
          <w:gridAfter w:val="1"/>
          <w:wAfter w:w="8" w:type="pct"/>
        </w:trPr>
        <w:tc>
          <w:tcPr>
            <w:tcW w:w="4992" w:type="pct"/>
          </w:tcPr>
          <w:p w14:paraId="7CCB537D" w14:textId="77777777" w:rsidR="00A51DC8" w:rsidRDefault="00A51DC8" w:rsidP="00A51DC8">
            <w:pPr>
              <w:pStyle w:val="Tabletextprimarysource"/>
            </w:pPr>
            <w:r>
              <w:t>No MAK assigned due to genotoxic and carcinogenic properties</w:t>
            </w:r>
            <w:r w:rsidR="00146358">
              <w:t>.</w:t>
            </w:r>
          </w:p>
          <w:p w14:paraId="1F4EE0BE" w14:textId="3DFEC2CE" w:rsidR="00146358" w:rsidRDefault="000B3E0E" w:rsidP="00A51DC8">
            <w:pPr>
              <w:pStyle w:val="Tabletextprimarysource"/>
            </w:pPr>
            <w:r>
              <w:t>Summary of a</w:t>
            </w:r>
            <w:r w:rsidR="00146358">
              <w:t>dditional data:</w:t>
            </w:r>
          </w:p>
          <w:p w14:paraId="30109617" w14:textId="7B1F8CC6" w:rsidR="00146358" w:rsidRDefault="00146358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Considered highly reactive compound</w:t>
            </w:r>
            <w:r w:rsidR="004E563C">
              <w:t xml:space="preserve"> and causes mutagenic and cytotoxic effects</w:t>
            </w:r>
          </w:p>
          <w:p w14:paraId="075ACB9F" w14:textId="792C4AFE" w:rsidR="004E563C" w:rsidRDefault="004E563C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Covalent DNA bonding was observed in liver, lung, kidney and epidermis of mice and rats </w:t>
            </w:r>
            <w:r w:rsidRPr="00E54DFC">
              <w:rPr>
                <w:i/>
              </w:rPr>
              <w:t>in</w:t>
            </w:r>
            <w:r w:rsidR="00A76A29" w:rsidRPr="00E54DFC">
              <w:rPr>
                <w:i/>
              </w:rPr>
              <w:t> </w:t>
            </w:r>
            <w:r w:rsidRPr="00E54DFC">
              <w:rPr>
                <w:i/>
              </w:rPr>
              <w:t>vivo</w:t>
            </w:r>
            <w:r>
              <w:t xml:space="preserve">; binds to DNA </w:t>
            </w:r>
            <w:r w:rsidRPr="00E54DFC">
              <w:rPr>
                <w:i/>
              </w:rPr>
              <w:t>in vitro</w:t>
            </w:r>
          </w:p>
          <w:p w14:paraId="41424F61" w14:textId="77777777" w:rsidR="00146358" w:rsidRDefault="00146358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Low dermal LD</w:t>
            </w:r>
            <w:r w:rsidRPr="00E54DFC">
              <w:rPr>
                <w:vertAlign w:val="subscript"/>
              </w:rPr>
              <w:t>50</w:t>
            </w:r>
            <w:r>
              <w:t xml:space="preserve"> values and </w:t>
            </w:r>
            <w:r w:rsidR="004E563C">
              <w:t>evidence of rapid skin presentation warrant skin notation</w:t>
            </w:r>
          </w:p>
          <w:p w14:paraId="27EC140E" w14:textId="77777777" w:rsidR="00C978F0" w:rsidRDefault="004E563C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</w:t>
            </w:r>
            <w:r w:rsidRPr="004E563C">
              <w:t>o cle</w:t>
            </w:r>
            <w:r>
              <w:t>ar evidence for contact sensitis</w:t>
            </w:r>
            <w:r w:rsidRPr="004E563C">
              <w:t>ation</w:t>
            </w:r>
          </w:p>
          <w:p w14:paraId="42FB446D" w14:textId="2D2C10B8" w:rsidR="001E228A" w:rsidRDefault="00F72607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9 malignant tumours in 150 </w:t>
            </w:r>
            <w:r w:rsidR="00647B85">
              <w:t xml:space="preserve">aldehyde factory </w:t>
            </w:r>
            <w:r>
              <w:t xml:space="preserve">workers exposed to concentrations of </w:t>
            </w:r>
            <w:r w:rsidR="00A76A29">
              <w:br/>
            </w:r>
            <w:r>
              <w:t>1</w:t>
            </w:r>
            <w:r w:rsidR="00970BCF">
              <w:t>–</w:t>
            </w:r>
            <w:r>
              <w:t>7</w:t>
            </w:r>
            <w:r w:rsidR="00A76A29">
              <w:t> </w:t>
            </w:r>
            <w:r>
              <w:t>mg/m</w:t>
            </w:r>
            <w:r w:rsidRPr="00E54DFC">
              <w:rPr>
                <w:vertAlign w:val="superscript"/>
              </w:rPr>
              <w:t>3</w:t>
            </w:r>
            <w:r>
              <w:t xml:space="preserve"> for 20 yr</w:t>
            </w:r>
          </w:p>
          <w:p w14:paraId="20913A4D" w14:textId="1A131476" w:rsidR="001E228A" w:rsidRDefault="00F56F2D" w:rsidP="001E228A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lastRenderedPageBreak/>
              <w:t xml:space="preserve">smoking </w:t>
            </w:r>
            <w:r w:rsidR="001E228A">
              <w:t xml:space="preserve">and exposure to other aldehydes not controlled </w:t>
            </w:r>
          </w:p>
          <w:p w14:paraId="26CA326E" w14:textId="61E4C61D" w:rsidR="00F72607" w:rsidRDefault="00F56F2D" w:rsidP="001E228A">
            <w:pPr>
              <w:pStyle w:val="Tabletextprimarysource"/>
              <w:numPr>
                <w:ilvl w:val="0"/>
                <w:numId w:val="2"/>
              </w:numPr>
              <w:ind w:left="1014"/>
            </w:pPr>
            <w:r>
              <w:t>cannot draw dose-response relationship</w:t>
            </w:r>
          </w:p>
          <w:p w14:paraId="014133EC" w14:textId="77777777" w:rsidR="0014627E" w:rsidRDefault="0014627E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Insufficient dose-response data in relation o</w:t>
            </w:r>
            <w:r w:rsidR="00F72607">
              <w:t>n</w:t>
            </w:r>
            <w:r>
              <w:t xml:space="preserve"> carcinogenicity</w:t>
            </w:r>
            <w:r w:rsidR="00970BCF">
              <w:t>.</w:t>
            </w:r>
          </w:p>
          <w:p w14:paraId="35FD7B88" w14:textId="77FEB3B6" w:rsidR="00A76A29" w:rsidRPr="00DA352E" w:rsidRDefault="00A76A29" w:rsidP="007B7CC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25F2070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7DAA1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r w:rsidR="004E563C">
              <w:t>2013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236BB">
                  <w:t>NA</w:t>
                </w:r>
              </w:sdtContent>
            </w:sdt>
          </w:p>
        </w:tc>
      </w:tr>
      <w:tr w:rsidR="00C978F0" w:rsidRPr="00DA352E" w14:paraId="0F65EC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052C07" w14:textId="77777777" w:rsidR="00C978F0" w:rsidRDefault="004E563C" w:rsidP="003365A5">
            <w:pPr>
              <w:pStyle w:val="Tabletextprimarysource"/>
            </w:pPr>
            <w:r>
              <w:t>No health-based OEL can be derived based on current state of knowledge</w:t>
            </w:r>
            <w:r w:rsidR="00970BCF">
              <w:t>.</w:t>
            </w:r>
          </w:p>
          <w:p w14:paraId="4E76EC1F" w14:textId="683CB85B" w:rsidR="004E563C" w:rsidRDefault="000B3E0E" w:rsidP="003365A5">
            <w:pPr>
              <w:pStyle w:val="Tabletextprimarysource"/>
            </w:pPr>
            <w:r>
              <w:t>Summary of a</w:t>
            </w:r>
            <w:r w:rsidR="004E563C">
              <w:t>dditional data:</w:t>
            </w:r>
          </w:p>
          <w:p w14:paraId="434D4A76" w14:textId="327294CF" w:rsidR="004E563C" w:rsidRDefault="0014627E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Irritation </w:t>
            </w:r>
            <w:r w:rsidR="008013ED">
              <w:t xml:space="preserve">in humans </w:t>
            </w:r>
            <w:r>
              <w:t xml:space="preserve">reported after acute exposures (seconds to minutes) </w:t>
            </w:r>
            <w:r w:rsidR="001E228A">
              <w:t>at</w:t>
            </w:r>
            <w:r>
              <w:t xml:space="preserve"> 0.17</w:t>
            </w:r>
            <w:r w:rsidR="000B3E0E">
              <w:t>–</w:t>
            </w:r>
            <w:r>
              <w:t>15 ppm</w:t>
            </w:r>
          </w:p>
          <w:p w14:paraId="072E6B9C" w14:textId="77777777" w:rsidR="00A21163" w:rsidRDefault="00D76BA9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Crotonaldehyde-protein adducts have been found in the brains of patients with Alzheimer’s disease and in human skin</w:t>
            </w:r>
          </w:p>
          <w:p w14:paraId="13733BEA" w14:textId="77777777" w:rsidR="00D76BA9" w:rsidRDefault="00D76BA9" w:rsidP="007B7CC5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Crotonaldehyde-DNA adducts have been detected in human liver, leukocytes and mammary glands</w:t>
            </w:r>
            <w:r w:rsidR="00970BCF">
              <w:t>.</w:t>
            </w:r>
          </w:p>
          <w:p w14:paraId="1AE2F1E0" w14:textId="7E22ADD2" w:rsidR="00A76A29" w:rsidRPr="00DA352E" w:rsidRDefault="00A76A29" w:rsidP="007B7CC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A352E" w:rsidRPr="00DA352E" w14:paraId="22D257E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357B9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236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236BB">
                  <w:t>NA</w:t>
                </w:r>
              </w:sdtContent>
            </w:sdt>
          </w:p>
        </w:tc>
      </w:tr>
      <w:tr w:rsidR="00DA352E" w:rsidRPr="00DA352E" w14:paraId="071085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82CD72" w14:textId="76A972CA" w:rsidR="00DA352E" w:rsidRPr="00DA352E" w:rsidRDefault="008236BB" w:rsidP="003365A5">
            <w:pPr>
              <w:pStyle w:val="Tabletextprimarysource"/>
            </w:pPr>
            <w:r>
              <w:t>No report</w:t>
            </w:r>
            <w:r w:rsidR="000B3E0E">
              <w:t>.</w:t>
            </w:r>
          </w:p>
        </w:tc>
      </w:tr>
      <w:tr w:rsidR="00DA352E" w:rsidRPr="00DA352E" w14:paraId="448F3D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E8E46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236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236BB">
                  <w:t>NA</w:t>
                </w:r>
              </w:sdtContent>
            </w:sdt>
          </w:p>
        </w:tc>
      </w:tr>
      <w:tr w:rsidR="00DA352E" w:rsidRPr="00DA352E" w14:paraId="76235A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3EE6A6" w14:textId="20AA2B51" w:rsidR="00DA352E" w:rsidRPr="00DA352E" w:rsidRDefault="008236BB" w:rsidP="003365A5">
            <w:pPr>
              <w:pStyle w:val="Tabletextprimarysource"/>
            </w:pPr>
            <w:r>
              <w:t>No report</w:t>
            </w:r>
            <w:r w:rsidR="000B3E0E">
              <w:t>.</w:t>
            </w:r>
          </w:p>
        </w:tc>
      </w:tr>
    </w:tbl>
    <w:p w14:paraId="454E05B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326F60C3" w14:textId="77777777" w:rsidTr="00C6521E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5D3D066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92C8D7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D3BF07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4F84BDB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539A214" w14:textId="77777777" w:rsidTr="00C6521E">
        <w:trPr>
          <w:cantSplit/>
        </w:trPr>
        <w:tc>
          <w:tcPr>
            <w:tcW w:w="1494" w:type="dxa"/>
          </w:tcPr>
          <w:p w14:paraId="75DFEAA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A3A3CB9" w14:textId="77777777" w:rsidR="004966BF" w:rsidRPr="00CE617F" w:rsidRDefault="009C77C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9437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7384B45" w14:textId="77777777" w:rsidR="004966BF" w:rsidRPr="004C23F4" w:rsidRDefault="00E9437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8" w:type="dxa"/>
          </w:tcPr>
          <w:p w14:paraId="65AC432C" w14:textId="4C8D40CD" w:rsidR="00E94373" w:rsidRPr="00A92828" w:rsidRDefault="001E228A" w:rsidP="007B7CC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A92828">
              <w:rPr>
                <w:rStyle w:val="checkbox"/>
                <w:rFonts w:ascii="Arial" w:hAnsi="Arial" w:cs="Arial"/>
              </w:rPr>
              <w:t>Rats exposed at</w:t>
            </w:r>
            <w:r w:rsidR="00E94373" w:rsidRPr="00A92828">
              <w:rPr>
                <w:rStyle w:val="checkbox"/>
                <w:rFonts w:ascii="Arial" w:hAnsi="Arial" w:cs="Arial"/>
              </w:rPr>
              <w:t xml:space="preserve"> 1.2 mg/m</w:t>
            </w:r>
            <w:r w:rsidR="00E94373" w:rsidRPr="00A9282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E94373" w:rsidRPr="00A92828">
              <w:rPr>
                <w:rStyle w:val="checkbox"/>
                <w:rFonts w:ascii="Arial" w:hAnsi="Arial" w:cs="Arial"/>
              </w:rPr>
              <w:t xml:space="preserve"> for 3 m</w:t>
            </w:r>
            <w:r w:rsidR="007B7CC5" w:rsidRPr="00A92828">
              <w:rPr>
                <w:rStyle w:val="checkbox"/>
                <w:rFonts w:ascii="Arial" w:hAnsi="Arial" w:cs="Arial"/>
              </w:rPr>
              <w:t>o</w:t>
            </w:r>
            <w:r w:rsidR="00E94373" w:rsidRPr="00A92828">
              <w:rPr>
                <w:rStyle w:val="checkbox"/>
                <w:rFonts w:ascii="Arial" w:hAnsi="Arial" w:cs="Arial"/>
              </w:rPr>
              <w:t xml:space="preserve"> demonstrated changes in </w:t>
            </w:r>
            <w:r w:rsidR="00E94373" w:rsidRPr="00A92828">
              <w:rPr>
                <w:rFonts w:cs="Arial"/>
              </w:rPr>
              <w:t>motor activity and blood haemoglobin levels</w:t>
            </w:r>
            <w:r w:rsidR="006374EC" w:rsidRPr="00A92828">
              <w:rPr>
                <w:rFonts w:cs="Arial"/>
              </w:rPr>
              <w:t>; non-guideline study</w:t>
            </w:r>
          </w:p>
          <w:p w14:paraId="31384DDE" w14:textId="77777777" w:rsidR="001E228A" w:rsidRPr="00A92828" w:rsidRDefault="00E94373" w:rsidP="007B7CC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92828">
              <w:rPr>
                <w:rStyle w:val="checkbox"/>
                <w:rFonts w:ascii="Arial" w:hAnsi="Arial" w:cs="Arial"/>
              </w:rPr>
              <w:t xml:space="preserve">Due to </w:t>
            </w:r>
            <w:r w:rsidRPr="00A92828">
              <w:rPr>
                <w:rFonts w:cs="Arial"/>
              </w:rPr>
              <w:t>systemic availability and genotoxicity</w:t>
            </w:r>
            <w:r w:rsidRPr="00A92828">
              <w:rPr>
                <w:rStyle w:val="checkbox"/>
                <w:rFonts w:ascii="Arial" w:hAnsi="Arial" w:cs="Arial"/>
              </w:rPr>
              <w:t xml:space="preserve">, can play a role in human carcinogenesis. </w:t>
            </w:r>
          </w:p>
          <w:p w14:paraId="1C99D62A" w14:textId="22D41FE2" w:rsidR="004966BF" w:rsidRPr="00A92828" w:rsidRDefault="00E94373" w:rsidP="001E228A">
            <w:pPr>
              <w:pStyle w:val="Tabletextprimarysource"/>
              <w:numPr>
                <w:ilvl w:val="0"/>
                <w:numId w:val="2"/>
              </w:numPr>
              <w:ind w:left="1014"/>
              <w:rPr>
                <w:rStyle w:val="checkbox"/>
                <w:rFonts w:ascii="Arial" w:hAnsi="Arial" w:cs="Arial"/>
              </w:rPr>
            </w:pPr>
            <w:r w:rsidRPr="00A92828">
              <w:rPr>
                <w:rStyle w:val="checkbox"/>
                <w:rFonts w:ascii="Arial" w:hAnsi="Arial" w:cs="Arial"/>
              </w:rPr>
              <w:t>limited information is not sufficient to warrant hazard classification</w:t>
            </w:r>
          </w:p>
          <w:p w14:paraId="54B9C14E" w14:textId="214C0FD9" w:rsidR="00E94373" w:rsidRPr="00A92828" w:rsidRDefault="00E94373" w:rsidP="007B7CC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92828">
              <w:rPr>
                <w:rStyle w:val="checkbox"/>
                <w:rFonts w:ascii="Arial" w:hAnsi="Arial" w:cs="Arial"/>
              </w:rPr>
              <w:t>Based on the critical systemic long-term (mutagenicity), systemic acute and local health effects, the chemicals could pose an unreasonable risk to workers</w:t>
            </w:r>
            <w:r w:rsidR="007B7CC5" w:rsidRPr="00A92828">
              <w:rPr>
                <w:rStyle w:val="checkbox"/>
                <w:rFonts w:ascii="Arial" w:hAnsi="Arial" w:cs="Arial"/>
              </w:rPr>
              <w:t xml:space="preserve"> if not adequately controlled</w:t>
            </w:r>
            <w:r w:rsidR="00970BCF" w:rsidRPr="00A92828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385A06F" w14:textId="77777777" w:rsidTr="00C6521E">
        <w:trPr>
          <w:cantSplit/>
        </w:trPr>
        <w:tc>
          <w:tcPr>
            <w:tcW w:w="1494" w:type="dxa"/>
          </w:tcPr>
          <w:p w14:paraId="3F0BC3D0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4163E7CA" w14:textId="77777777" w:rsidR="004966BF" w:rsidRPr="00CE617F" w:rsidRDefault="009C77C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6521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0C0196F" w14:textId="77777777" w:rsidR="004966BF" w:rsidRPr="004C23F4" w:rsidRDefault="00C6521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1997</w:t>
            </w:r>
          </w:p>
        </w:tc>
        <w:tc>
          <w:tcPr>
            <w:tcW w:w="6448" w:type="dxa"/>
          </w:tcPr>
          <w:p w14:paraId="549C8420" w14:textId="37099334" w:rsidR="004966BF" w:rsidRPr="005E69E0" w:rsidRDefault="00C6521E" w:rsidP="007B7CC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E69E0">
              <w:rPr>
                <w:rStyle w:val="checkbox"/>
                <w:rFonts w:ascii="Arial" w:hAnsi="Arial" w:cs="Arial"/>
              </w:rPr>
              <w:t>Inadequate evidence in humans and animals for carcinogenicity</w:t>
            </w:r>
            <w:r w:rsidR="00970BCF" w:rsidRPr="005E69E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E645E24" w14:textId="77777777" w:rsidR="007E2A4B" w:rsidRDefault="007E2A4B" w:rsidP="001E228A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FC6BA78" w14:textId="77777777" w:rsidTr="005E69E0">
        <w:trPr>
          <w:trHeight w:val="454"/>
          <w:tblHeader/>
        </w:trPr>
        <w:tc>
          <w:tcPr>
            <w:tcW w:w="6597" w:type="dxa"/>
            <w:vAlign w:val="center"/>
          </w:tcPr>
          <w:p w14:paraId="5B7C55C8" w14:textId="77777777" w:rsidR="002E0D61" w:rsidRDefault="00B1422A" w:rsidP="001E228A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BF3B72B" w14:textId="77777777" w:rsidR="002E0D61" w:rsidRDefault="00A21163" w:rsidP="001E228A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BAB2B77" w14:textId="77777777" w:rsidTr="005E69E0">
        <w:trPr>
          <w:trHeight w:val="454"/>
        </w:trPr>
        <w:tc>
          <w:tcPr>
            <w:tcW w:w="6597" w:type="dxa"/>
            <w:vAlign w:val="center"/>
          </w:tcPr>
          <w:p w14:paraId="65EC833B" w14:textId="77777777" w:rsidR="008A36CF" w:rsidRDefault="008A36CF" w:rsidP="001E228A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D734F04" w14:textId="77777777" w:rsidR="008A36CF" w:rsidRDefault="002E2F58" w:rsidP="001E228A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E228A" w14:paraId="3DD2310E" w14:textId="77777777" w:rsidTr="003F7DCF">
        <w:trPr>
          <w:trHeight w:val="454"/>
        </w:trPr>
        <w:sdt>
          <w:sdtPr>
            <w:rPr>
              <w:b/>
            </w:rPr>
            <w:id w:val="1830936485"/>
            <w:placeholder>
              <w:docPart w:val="D6D90F1112B8493AA9690F8AB5EF57A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C6A8738" w14:textId="317B47BB" w:rsidR="001E228A" w:rsidRDefault="001E228A" w:rsidP="001E228A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7D67873" w14:textId="77777777" w:rsidR="00687890" w:rsidRPr="004C23F4" w:rsidRDefault="00B479A9" w:rsidP="00970BCF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E2DDFF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9D785D4" w14:textId="77777777" w:rsidR="00687890" w:rsidRPr="004C23F4" w:rsidRDefault="00687890" w:rsidP="005E69E0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C35FCBD" w14:textId="77777777" w:rsidR="00687890" w:rsidRPr="004C23F4" w:rsidRDefault="00687890" w:rsidP="005E69E0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D5EA4AF" w14:textId="77777777" w:rsidTr="00812887">
        <w:trPr>
          <w:cantSplit/>
        </w:trPr>
        <w:tc>
          <w:tcPr>
            <w:tcW w:w="3227" w:type="dxa"/>
          </w:tcPr>
          <w:p w14:paraId="70F6B42A" w14:textId="77777777" w:rsidR="004079B4" w:rsidRPr="004C23F4" w:rsidRDefault="00084513" w:rsidP="005E69E0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436AA592" w14:textId="77777777" w:rsidR="00687890" w:rsidRPr="00DD2F9B" w:rsidRDefault="0013554C" w:rsidP="005E69E0">
            <w:pPr>
              <w:pStyle w:val="Tablefont"/>
              <w:keepNext/>
            </w:pPr>
            <w:r>
              <w:t>NA</w:t>
            </w:r>
          </w:p>
        </w:tc>
      </w:tr>
      <w:tr w:rsidR="007925F0" w:rsidRPr="004C23F4" w14:paraId="69290B45" w14:textId="77777777" w:rsidTr="00812887">
        <w:trPr>
          <w:cantSplit/>
        </w:trPr>
        <w:tc>
          <w:tcPr>
            <w:tcW w:w="3227" w:type="dxa"/>
          </w:tcPr>
          <w:p w14:paraId="62E0B4D3" w14:textId="77777777" w:rsidR="004079B4" w:rsidRPr="004C23F4" w:rsidRDefault="007925F0" w:rsidP="005E69E0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6185E82E" w14:textId="77777777" w:rsidR="007925F0" w:rsidRPr="00DD2F9B" w:rsidRDefault="0013554C" w:rsidP="005E69E0">
            <w:pPr>
              <w:pStyle w:val="Tablefont"/>
              <w:keepNext/>
            </w:pPr>
            <w:r>
              <w:t>NA</w:t>
            </w:r>
          </w:p>
        </w:tc>
      </w:tr>
      <w:tr w:rsidR="00AF483F" w:rsidRPr="004C23F4" w14:paraId="43174121" w14:textId="77777777" w:rsidTr="00812887">
        <w:trPr>
          <w:cantSplit/>
        </w:trPr>
        <w:tc>
          <w:tcPr>
            <w:tcW w:w="3227" w:type="dxa"/>
          </w:tcPr>
          <w:p w14:paraId="66A238BF" w14:textId="77777777" w:rsidR="00AF483F" w:rsidRPr="004C23F4" w:rsidRDefault="00AF483F" w:rsidP="005E69E0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7867D9B1" w14:textId="77777777" w:rsidR="00AF483F" w:rsidRPr="00DD2F9B" w:rsidRDefault="005B37B5" w:rsidP="005E69E0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41C9EFC9" w14:textId="77777777" w:rsidTr="00812887">
        <w:trPr>
          <w:cantSplit/>
        </w:trPr>
        <w:tc>
          <w:tcPr>
            <w:tcW w:w="3227" w:type="dxa"/>
          </w:tcPr>
          <w:p w14:paraId="6E2A6321" w14:textId="77777777" w:rsidR="004079B4" w:rsidRPr="004C23F4" w:rsidRDefault="00687890" w:rsidP="005E69E0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6B29E884" w14:textId="77777777" w:rsidR="00687890" w:rsidRPr="00DD2F9B" w:rsidRDefault="005B37B5" w:rsidP="005E69E0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0A35DED5" w14:textId="77777777" w:rsidTr="00812887">
        <w:trPr>
          <w:cantSplit/>
        </w:trPr>
        <w:tc>
          <w:tcPr>
            <w:tcW w:w="3227" w:type="dxa"/>
          </w:tcPr>
          <w:p w14:paraId="7B00D825" w14:textId="77777777" w:rsidR="00E41A26" w:rsidRDefault="00E41A26" w:rsidP="005E69E0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6A70F362" w14:textId="77777777" w:rsidR="00E41A26" w:rsidRPr="00DD2F9B" w:rsidRDefault="005B37B5" w:rsidP="005E69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2671BCBD" w14:textId="77777777" w:rsidTr="00812887">
        <w:trPr>
          <w:cantSplit/>
        </w:trPr>
        <w:tc>
          <w:tcPr>
            <w:tcW w:w="3227" w:type="dxa"/>
          </w:tcPr>
          <w:p w14:paraId="4FB237E4" w14:textId="77777777" w:rsidR="004079B4" w:rsidRPr="004C23F4" w:rsidRDefault="002E0D61" w:rsidP="005E69E0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03170D9C" w14:textId="77777777" w:rsidR="002E0D61" w:rsidRPr="00DD2F9B" w:rsidRDefault="002E6D57" w:rsidP="005E69E0">
            <w:pPr>
              <w:pStyle w:val="Tablefont"/>
              <w:keepNext/>
            </w:pPr>
            <w:r>
              <w:t>Carcinogenicity – A3</w:t>
            </w:r>
            <w:r w:rsidR="008852E6">
              <w:t>, Skin</w:t>
            </w:r>
          </w:p>
        </w:tc>
      </w:tr>
      <w:tr w:rsidR="002E0D61" w:rsidRPr="004C23F4" w14:paraId="0E27C950" w14:textId="77777777" w:rsidTr="00812887">
        <w:trPr>
          <w:cantSplit/>
        </w:trPr>
        <w:tc>
          <w:tcPr>
            <w:tcW w:w="3227" w:type="dxa"/>
          </w:tcPr>
          <w:p w14:paraId="746278CC" w14:textId="77777777" w:rsidR="004079B4" w:rsidRPr="004C23F4" w:rsidRDefault="002E0D61" w:rsidP="005E69E0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00C12EA9" w14:textId="77777777" w:rsidR="002E0D61" w:rsidRPr="00DD2F9B" w:rsidRDefault="00360517" w:rsidP="005E69E0">
            <w:pPr>
              <w:pStyle w:val="Tablefont"/>
              <w:keepNext/>
            </w:pPr>
            <w:r>
              <w:t>Carcinogenicity – 3B, H (skin)</w:t>
            </w:r>
          </w:p>
        </w:tc>
      </w:tr>
      <w:tr w:rsidR="002E0D61" w:rsidRPr="004C23F4" w14:paraId="6D8461C3" w14:textId="77777777" w:rsidTr="00812887">
        <w:trPr>
          <w:cantSplit/>
        </w:trPr>
        <w:tc>
          <w:tcPr>
            <w:tcW w:w="3227" w:type="dxa"/>
          </w:tcPr>
          <w:p w14:paraId="2762B338" w14:textId="77777777" w:rsidR="004079B4" w:rsidRPr="004C23F4" w:rsidRDefault="002E0D61" w:rsidP="005E69E0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10823052" w14:textId="77777777" w:rsidR="002E0D61" w:rsidRPr="00DD2F9B" w:rsidRDefault="00C148D9" w:rsidP="005E69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73EEB69B" w14:textId="77777777" w:rsidTr="00812887">
        <w:trPr>
          <w:cantSplit/>
        </w:trPr>
        <w:tc>
          <w:tcPr>
            <w:tcW w:w="3227" w:type="dxa"/>
          </w:tcPr>
          <w:p w14:paraId="0AA75F3B" w14:textId="77777777" w:rsidR="004079B4" w:rsidRDefault="002E0D61" w:rsidP="005E69E0">
            <w:pPr>
              <w:pStyle w:val="Tablefont"/>
              <w:keepNext/>
            </w:pPr>
            <w:r>
              <w:t>HCOTN</w:t>
            </w:r>
          </w:p>
        </w:tc>
        <w:tc>
          <w:tcPr>
            <w:tcW w:w="6015" w:type="dxa"/>
          </w:tcPr>
          <w:p w14:paraId="51FD0D29" w14:textId="77777777" w:rsidR="002E0D61" w:rsidRPr="00DD2F9B" w:rsidRDefault="00C148D9" w:rsidP="005E69E0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27DFDF1A" w14:textId="77777777" w:rsidTr="00812887">
        <w:trPr>
          <w:cantSplit/>
        </w:trPr>
        <w:tc>
          <w:tcPr>
            <w:tcW w:w="3227" w:type="dxa"/>
          </w:tcPr>
          <w:p w14:paraId="27E05AE9" w14:textId="77777777" w:rsidR="004079B4" w:rsidRDefault="00386093" w:rsidP="005E69E0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650C6732" w14:textId="77777777" w:rsidR="00386093" w:rsidRPr="00DD2F9B" w:rsidRDefault="00C148D9" w:rsidP="005E69E0">
            <w:pPr>
              <w:keepNext/>
            </w:pPr>
            <w:r>
              <w:t>Carcinogenicity – Group 3</w:t>
            </w:r>
          </w:p>
        </w:tc>
      </w:tr>
      <w:tr w:rsidR="00386093" w:rsidRPr="004C23F4" w14:paraId="08814EA9" w14:textId="77777777" w:rsidTr="00812887">
        <w:trPr>
          <w:cantSplit/>
        </w:trPr>
        <w:tc>
          <w:tcPr>
            <w:tcW w:w="3227" w:type="dxa"/>
          </w:tcPr>
          <w:p w14:paraId="527EBE8A" w14:textId="77777777" w:rsidR="004079B4" w:rsidRDefault="00386093" w:rsidP="00970BCF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36082A8" w14:textId="77777777" w:rsidR="00386093" w:rsidRPr="00DD2F9B" w:rsidRDefault="00675196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3B364E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4323AD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9EEC9A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6085D4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B40B1C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69" w:type="dxa"/>
              <w:tblLook w:val="04A0" w:firstRow="1" w:lastRow="0" w:firstColumn="1" w:lastColumn="0" w:noHBand="0" w:noVBand="1"/>
            </w:tblPr>
            <w:tblGrid>
              <w:gridCol w:w="3584"/>
              <w:gridCol w:w="1057"/>
              <w:gridCol w:w="1057"/>
              <w:gridCol w:w="3112"/>
            </w:tblGrid>
            <w:tr w:rsidR="00C6521E" w:rsidRPr="00C6521E" w14:paraId="718F6109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ADE3D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ECAA71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539A8E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CE378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21E" w:rsidRPr="00C6521E" w14:paraId="26BF6B3E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8A8C6F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23A4308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2A7966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8022AF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21E" w:rsidRPr="00C6521E" w14:paraId="65648400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1F0EF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04B845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1E18CA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9E289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21E" w:rsidRPr="00C6521E" w14:paraId="52EE3A06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8D2DC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2E1A1D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AC9C5B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F73663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21E" w:rsidRPr="00C6521E" w14:paraId="2BAC456B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34CBA7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75867B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4FB19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19C76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21E" w:rsidRPr="00C6521E" w14:paraId="1B97F4B6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FD897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4CD9B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60885B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BC4C1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6521E" w:rsidRPr="00C6521E" w14:paraId="107F4073" w14:textId="77777777" w:rsidTr="00C6521E">
              <w:trPr>
                <w:trHeight w:val="345"/>
              </w:trPr>
              <w:tc>
                <w:tcPr>
                  <w:tcW w:w="36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93A05E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7BFD1B" w14:textId="77777777" w:rsidR="00C6521E" w:rsidRPr="00C6521E" w:rsidRDefault="00C6521E" w:rsidP="00C6521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A9CF2D" w14:textId="77777777" w:rsidR="00C6521E" w:rsidRPr="00C6521E" w:rsidRDefault="00C6521E" w:rsidP="00C6521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DA713" w14:textId="77777777" w:rsidR="00C6521E" w:rsidRPr="00C6521E" w:rsidRDefault="00C6521E" w:rsidP="00C6521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6521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7CD8264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BF2012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A0AB3D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E24174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99DE944" w14:textId="2C2F7EE9" w:rsidR="00EB3D1B" w:rsidRDefault="005E69E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7A111CC" w14:textId="77777777" w:rsidR="00687890" w:rsidRPr="004C23F4" w:rsidRDefault="00B479A9" w:rsidP="001E228A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85E8036" w14:textId="77777777" w:rsidTr="007421D8">
        <w:trPr>
          <w:cantSplit/>
          <w:tblHeader/>
        </w:trPr>
        <w:tc>
          <w:tcPr>
            <w:tcW w:w="4077" w:type="dxa"/>
            <w:vAlign w:val="center"/>
          </w:tcPr>
          <w:p w14:paraId="393493C7" w14:textId="77777777" w:rsidR="001B79E5" w:rsidRDefault="001B79E5" w:rsidP="001E228A">
            <w:pPr>
              <w:pStyle w:val="Tablefont"/>
            </w:pPr>
            <w:r>
              <w:lastRenderedPageBreak/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1161CE0" w14:textId="77777777" w:rsidR="001B79E5" w:rsidRDefault="0086413B" w:rsidP="001E228A">
                <w:pPr>
                  <w:pStyle w:val="Tablefont"/>
                </w:pPr>
                <w:r>
                  <w:t>70.09</w:t>
                </w:r>
              </w:p>
            </w:tc>
          </w:sdtContent>
        </w:sdt>
      </w:tr>
      <w:tr w:rsidR="00A31D99" w:rsidRPr="004C23F4" w14:paraId="17F9F96E" w14:textId="77777777" w:rsidTr="007421D8">
        <w:trPr>
          <w:cantSplit/>
          <w:tblHeader/>
        </w:trPr>
        <w:tc>
          <w:tcPr>
            <w:tcW w:w="4077" w:type="dxa"/>
            <w:vAlign w:val="center"/>
          </w:tcPr>
          <w:p w14:paraId="1C69725C" w14:textId="77777777" w:rsidR="00A31D99" w:rsidRPr="00263255" w:rsidRDefault="00A31D99" w:rsidP="001E228A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54E5A0" w14:textId="77777777" w:rsidR="00A31D99" w:rsidRDefault="00A0643F" w:rsidP="001E228A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19D0D46" w14:textId="77777777" w:rsidTr="007421D8">
        <w:trPr>
          <w:cantSplit/>
          <w:tblHeader/>
        </w:trPr>
        <w:tc>
          <w:tcPr>
            <w:tcW w:w="4077" w:type="dxa"/>
            <w:vAlign w:val="center"/>
          </w:tcPr>
          <w:p w14:paraId="6BE29D51" w14:textId="77777777" w:rsidR="00687890" w:rsidRPr="00263255" w:rsidRDefault="00687890" w:rsidP="001E228A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BA1AA5" w14:textId="77777777" w:rsidR="00687890" w:rsidRPr="004C23F4" w:rsidRDefault="00E46BCB" w:rsidP="001E228A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B056AC" w14:textId="77777777" w:rsidTr="007421D8">
        <w:trPr>
          <w:cantSplit/>
          <w:tblHeader/>
        </w:trPr>
        <w:tc>
          <w:tcPr>
            <w:tcW w:w="4077" w:type="dxa"/>
            <w:vAlign w:val="center"/>
          </w:tcPr>
          <w:p w14:paraId="11130E79" w14:textId="77777777" w:rsidR="00687890" w:rsidRPr="00263255" w:rsidRDefault="00687890" w:rsidP="001E228A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1EFBD8" w14:textId="77777777" w:rsidR="00687890" w:rsidRPr="004C23F4" w:rsidRDefault="00A20751" w:rsidP="001E228A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446B20" w14:textId="77777777" w:rsidTr="007421D8">
        <w:trPr>
          <w:cantSplit/>
          <w:tblHeader/>
        </w:trPr>
        <w:tc>
          <w:tcPr>
            <w:tcW w:w="4077" w:type="dxa"/>
            <w:vAlign w:val="center"/>
          </w:tcPr>
          <w:p w14:paraId="65F9F014" w14:textId="77777777" w:rsidR="00687890" w:rsidRPr="00263255" w:rsidRDefault="00687890" w:rsidP="001E228A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7C292D" w14:textId="77777777" w:rsidR="00687890" w:rsidRPr="004C23F4" w:rsidRDefault="00687890" w:rsidP="001E228A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B0C8C8A" w14:textId="77777777" w:rsidTr="007421D8">
        <w:trPr>
          <w:cantSplit/>
          <w:tblHeader/>
        </w:trPr>
        <w:tc>
          <w:tcPr>
            <w:tcW w:w="4077" w:type="dxa"/>
            <w:vAlign w:val="center"/>
          </w:tcPr>
          <w:p w14:paraId="39CEAB47" w14:textId="77777777" w:rsidR="00E06F40" w:rsidRPr="00263255" w:rsidRDefault="00E06F40" w:rsidP="001E228A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88D97FC" w14:textId="77777777" w:rsidR="00E06F40" w:rsidRPr="00A006A0" w:rsidRDefault="009C77C8" w:rsidP="001E228A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148D9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B787CD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51B24A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85A6E4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04513F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F7B91D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D5ABAB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B8FAD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2961A5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37CD7D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77220D6" w14:textId="77777777" w:rsidR="0044229F" w:rsidRDefault="00B7672A" w:rsidP="00084859">
      <w:r w:rsidRPr="002022B6">
        <w:t>Deutsche Forschungsgemeinschaft (DFG)</w:t>
      </w:r>
      <w:r>
        <w:t xml:space="preserve"> (</w:t>
      </w:r>
      <w:r w:rsidR="000B5C93">
        <w:t>2018</w:t>
      </w:r>
      <w:r>
        <w:t xml:space="preserve">) </w:t>
      </w:r>
      <w:r w:rsidR="000B5C93">
        <w:t>Crotonaldehyde</w:t>
      </w:r>
      <w:r>
        <w:t xml:space="preserve"> – MAK value documentation.</w:t>
      </w:r>
    </w:p>
    <w:p w14:paraId="30628CA2" w14:textId="5AEAB4A5" w:rsidR="00B7672A" w:rsidRDefault="00B7672A" w:rsidP="00084859">
      <w:r w:rsidRPr="002022B6">
        <w:t>International Agency for Research on Cancer</w:t>
      </w:r>
      <w:r>
        <w:t xml:space="preserve"> (IARC) (</w:t>
      </w:r>
      <w:r w:rsidR="000B5C93">
        <w:t>1995</w:t>
      </w:r>
      <w:r>
        <w:t xml:space="preserve">) </w:t>
      </w:r>
      <w:r w:rsidR="000B5C93">
        <w:t>Volume 63, Dry Cleaning, Some Chlorinated Solvents and Other Industrial Chemicals</w:t>
      </w:r>
      <w:r>
        <w:t>. IARC Monographs on the evaluation of the carcinogenic risk to humans.</w:t>
      </w:r>
    </w:p>
    <w:p w14:paraId="7920F933" w14:textId="3AF5A9D9" w:rsidR="006374EC" w:rsidRDefault="006374EC" w:rsidP="00084859">
      <w:r w:rsidRPr="006374EC">
        <w:t>National Industrial Chemicals Notification and Assessment S</w:t>
      </w:r>
      <w:r>
        <w:t>cheme (NICNAS) (2016) Crotonaldehyde</w:t>
      </w:r>
      <w:r w:rsidRPr="006374EC">
        <w:t>: Human health tier II assessment – IMAP report.</w:t>
      </w:r>
    </w:p>
    <w:p w14:paraId="4FB9E2FD" w14:textId="77777777" w:rsidR="0066077C" w:rsidRPr="00351FE0" w:rsidRDefault="0066077C" w:rsidP="00084859">
      <w:r w:rsidRPr="00D86E03">
        <w:t>US National Institute for Occupational Safety and Healt</w:t>
      </w:r>
      <w:r w:rsidRPr="005E69E0">
        <w:t>h (NIOSH) (</w:t>
      </w:r>
      <w:sdt>
        <w:sdtPr>
          <w:id w:val="-1194999823"/>
          <w:placeholder>
            <w:docPart w:val="52BADE7CDB7F4312B04FAB81AB08A3A2"/>
          </w:placeholder>
          <w:temporary/>
          <w:showingPlcHdr/>
        </w:sdtPr>
        <w:sdtEndPr/>
        <w:sdtContent>
          <w:r w:rsidRPr="005E69E0">
            <w:t>1994</w:t>
          </w:r>
        </w:sdtContent>
      </w:sdt>
      <w:r w:rsidRPr="005E69E0">
        <w:t xml:space="preserve">) </w:t>
      </w:r>
      <w:r>
        <w:t>Immediately dangerous to life or health concentrations – crotonaldehyde.</w:t>
      </w:r>
    </w:p>
    <w:sectPr w:rsidR="0066077C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D7456" w14:textId="77777777" w:rsidR="002A7D17" w:rsidRDefault="002A7D17" w:rsidP="00F43AD5">
      <w:pPr>
        <w:spacing w:after="0" w:line="240" w:lineRule="auto"/>
      </w:pPr>
      <w:r>
        <w:separator/>
      </w:r>
    </w:p>
  </w:endnote>
  <w:endnote w:type="continuationSeparator" w:id="0">
    <w:p w14:paraId="5FAEAAE0" w14:textId="77777777" w:rsidR="002A7D17" w:rsidRDefault="002A7D1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E616" w14:textId="77777777" w:rsidR="000001D4" w:rsidRDefault="000001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18D4BCB" w14:textId="77777777" w:rsidR="008A36CF" w:rsidRDefault="00275D2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Crotonaldehyde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4170-30-3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4A19033" w14:textId="75FCEE9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001D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CE420" w14:textId="77777777" w:rsidR="000001D4" w:rsidRDefault="00000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9BE1E" w14:textId="77777777" w:rsidR="002A7D17" w:rsidRDefault="002A7D17" w:rsidP="00F43AD5">
      <w:pPr>
        <w:spacing w:after="0" w:line="240" w:lineRule="auto"/>
      </w:pPr>
      <w:r>
        <w:separator/>
      </w:r>
    </w:p>
  </w:footnote>
  <w:footnote w:type="continuationSeparator" w:id="0">
    <w:p w14:paraId="642DA474" w14:textId="77777777" w:rsidR="002A7D17" w:rsidRDefault="002A7D1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658DE" w14:textId="42F1335A" w:rsidR="00DC646C" w:rsidRDefault="00DC6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E2E40" w14:textId="3A4BE96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205E5F" wp14:editId="7AD132D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5F148" w14:textId="20B10A9F" w:rsidR="00DC646C" w:rsidRDefault="00DC646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850AF" w14:textId="239FFD2B" w:rsidR="00D272E3" w:rsidRDefault="00D272E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481B4" w14:textId="4BC01750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DDE71" w14:textId="0D44CE03" w:rsidR="00D272E3" w:rsidRDefault="00D272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72A7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036E48"/>
    <w:multiLevelType w:val="hybridMultilevel"/>
    <w:tmpl w:val="1220C23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6495928">
    <w:abstractNumId w:val="0"/>
  </w:num>
  <w:num w:numId="2" w16cid:durableId="68040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1D4"/>
    <w:rsid w:val="00005AC8"/>
    <w:rsid w:val="00007665"/>
    <w:rsid w:val="00007B80"/>
    <w:rsid w:val="00013A22"/>
    <w:rsid w:val="00014C3F"/>
    <w:rsid w:val="00017C82"/>
    <w:rsid w:val="00032B88"/>
    <w:rsid w:val="00044A3F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0E"/>
    <w:rsid w:val="000B3E12"/>
    <w:rsid w:val="000B3E78"/>
    <w:rsid w:val="000B5C93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4DD"/>
    <w:rsid w:val="00113443"/>
    <w:rsid w:val="001269A7"/>
    <w:rsid w:val="00131092"/>
    <w:rsid w:val="0013554C"/>
    <w:rsid w:val="00140E6A"/>
    <w:rsid w:val="0014627E"/>
    <w:rsid w:val="00146358"/>
    <w:rsid w:val="00146545"/>
    <w:rsid w:val="00146B75"/>
    <w:rsid w:val="0015266D"/>
    <w:rsid w:val="0015288A"/>
    <w:rsid w:val="00160F47"/>
    <w:rsid w:val="00177CA1"/>
    <w:rsid w:val="00183823"/>
    <w:rsid w:val="00183942"/>
    <w:rsid w:val="001906DD"/>
    <w:rsid w:val="001A009E"/>
    <w:rsid w:val="001A1287"/>
    <w:rsid w:val="001A3859"/>
    <w:rsid w:val="001A3C9D"/>
    <w:rsid w:val="001A43F8"/>
    <w:rsid w:val="001B5148"/>
    <w:rsid w:val="001B79E5"/>
    <w:rsid w:val="001C77FC"/>
    <w:rsid w:val="001D56F0"/>
    <w:rsid w:val="001D5C72"/>
    <w:rsid w:val="001D663B"/>
    <w:rsid w:val="001D7B41"/>
    <w:rsid w:val="001E228A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08C0"/>
    <w:rsid w:val="00231F1B"/>
    <w:rsid w:val="00244AD1"/>
    <w:rsid w:val="002463BC"/>
    <w:rsid w:val="002465CE"/>
    <w:rsid w:val="0025734A"/>
    <w:rsid w:val="00263255"/>
    <w:rsid w:val="00274A2C"/>
    <w:rsid w:val="00275D2D"/>
    <w:rsid w:val="00276494"/>
    <w:rsid w:val="00276BE5"/>
    <w:rsid w:val="00277B0C"/>
    <w:rsid w:val="00282566"/>
    <w:rsid w:val="00284F92"/>
    <w:rsid w:val="002A34F2"/>
    <w:rsid w:val="002A7D17"/>
    <w:rsid w:val="002B1A2C"/>
    <w:rsid w:val="002C0E73"/>
    <w:rsid w:val="002C34F2"/>
    <w:rsid w:val="002C363D"/>
    <w:rsid w:val="002C58FF"/>
    <w:rsid w:val="002C7AFE"/>
    <w:rsid w:val="002D05D2"/>
    <w:rsid w:val="002E0D61"/>
    <w:rsid w:val="002E2F58"/>
    <w:rsid w:val="002E4C7B"/>
    <w:rsid w:val="002E6D57"/>
    <w:rsid w:val="00302D4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517"/>
    <w:rsid w:val="003605DB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5383"/>
    <w:rsid w:val="003B387D"/>
    <w:rsid w:val="003C0D58"/>
    <w:rsid w:val="003D4FA3"/>
    <w:rsid w:val="003E0807"/>
    <w:rsid w:val="003E15D6"/>
    <w:rsid w:val="003E51FB"/>
    <w:rsid w:val="003E6B39"/>
    <w:rsid w:val="003F07E1"/>
    <w:rsid w:val="003F3AF5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229F"/>
    <w:rsid w:val="00444482"/>
    <w:rsid w:val="00444B42"/>
    <w:rsid w:val="00445E44"/>
    <w:rsid w:val="004509E2"/>
    <w:rsid w:val="004515EE"/>
    <w:rsid w:val="004529F0"/>
    <w:rsid w:val="0045700B"/>
    <w:rsid w:val="00460A03"/>
    <w:rsid w:val="00472A11"/>
    <w:rsid w:val="00472AAD"/>
    <w:rsid w:val="00474E33"/>
    <w:rsid w:val="00476803"/>
    <w:rsid w:val="00485BFD"/>
    <w:rsid w:val="00485C4C"/>
    <w:rsid w:val="004867A2"/>
    <w:rsid w:val="004873F2"/>
    <w:rsid w:val="00490D4C"/>
    <w:rsid w:val="00493A35"/>
    <w:rsid w:val="0049527A"/>
    <w:rsid w:val="004966BF"/>
    <w:rsid w:val="00497984"/>
    <w:rsid w:val="004A04A3"/>
    <w:rsid w:val="004A5088"/>
    <w:rsid w:val="004C1E3F"/>
    <w:rsid w:val="004C23F4"/>
    <w:rsid w:val="004C3475"/>
    <w:rsid w:val="004C58B6"/>
    <w:rsid w:val="004D16A3"/>
    <w:rsid w:val="004D4AA1"/>
    <w:rsid w:val="004D6D68"/>
    <w:rsid w:val="004E563C"/>
    <w:rsid w:val="004E5EDD"/>
    <w:rsid w:val="004F1446"/>
    <w:rsid w:val="004F448A"/>
    <w:rsid w:val="004F493D"/>
    <w:rsid w:val="004F65E8"/>
    <w:rsid w:val="0050005E"/>
    <w:rsid w:val="00502B88"/>
    <w:rsid w:val="00513BF7"/>
    <w:rsid w:val="005142C4"/>
    <w:rsid w:val="0051509C"/>
    <w:rsid w:val="005272E2"/>
    <w:rsid w:val="0053108F"/>
    <w:rsid w:val="00532B56"/>
    <w:rsid w:val="00534B10"/>
    <w:rsid w:val="005446A2"/>
    <w:rsid w:val="00544D2F"/>
    <w:rsid w:val="00545C3C"/>
    <w:rsid w:val="00551BD8"/>
    <w:rsid w:val="00581055"/>
    <w:rsid w:val="00591E38"/>
    <w:rsid w:val="005A19C5"/>
    <w:rsid w:val="005A3034"/>
    <w:rsid w:val="005A462D"/>
    <w:rsid w:val="005B253B"/>
    <w:rsid w:val="005B37B5"/>
    <w:rsid w:val="005B771D"/>
    <w:rsid w:val="005B7BAE"/>
    <w:rsid w:val="005C5D16"/>
    <w:rsid w:val="005D3193"/>
    <w:rsid w:val="005D4A6E"/>
    <w:rsid w:val="005D79E9"/>
    <w:rsid w:val="005D7DC8"/>
    <w:rsid w:val="005E361E"/>
    <w:rsid w:val="005E4AF2"/>
    <w:rsid w:val="005E6979"/>
    <w:rsid w:val="005E69E0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3736D"/>
    <w:rsid w:val="006374EC"/>
    <w:rsid w:val="006447BA"/>
    <w:rsid w:val="00647B85"/>
    <w:rsid w:val="00650905"/>
    <w:rsid w:val="006532ED"/>
    <w:rsid w:val="00653926"/>
    <w:rsid w:val="006549F2"/>
    <w:rsid w:val="006567B7"/>
    <w:rsid w:val="00657BFB"/>
    <w:rsid w:val="0066077C"/>
    <w:rsid w:val="0066333C"/>
    <w:rsid w:val="006639B4"/>
    <w:rsid w:val="006650FE"/>
    <w:rsid w:val="0067305D"/>
    <w:rsid w:val="00675196"/>
    <w:rsid w:val="00677D9B"/>
    <w:rsid w:val="006867F3"/>
    <w:rsid w:val="00687890"/>
    <w:rsid w:val="006901A2"/>
    <w:rsid w:val="00690368"/>
    <w:rsid w:val="0069079C"/>
    <w:rsid w:val="00690B53"/>
    <w:rsid w:val="00692C9A"/>
    <w:rsid w:val="00695B72"/>
    <w:rsid w:val="006B160A"/>
    <w:rsid w:val="006B4E6C"/>
    <w:rsid w:val="006B50B6"/>
    <w:rsid w:val="006B63B2"/>
    <w:rsid w:val="006D79EA"/>
    <w:rsid w:val="006E5D05"/>
    <w:rsid w:val="00701053"/>
    <w:rsid w:val="00701507"/>
    <w:rsid w:val="00713FAF"/>
    <w:rsid w:val="00714021"/>
    <w:rsid w:val="00716A0F"/>
    <w:rsid w:val="00717D45"/>
    <w:rsid w:val="007208F7"/>
    <w:rsid w:val="007218AF"/>
    <w:rsid w:val="007365D1"/>
    <w:rsid w:val="00740E0E"/>
    <w:rsid w:val="007421D8"/>
    <w:rsid w:val="00742E46"/>
    <w:rsid w:val="00750212"/>
    <w:rsid w:val="00754779"/>
    <w:rsid w:val="0075716D"/>
    <w:rsid w:val="00765F14"/>
    <w:rsid w:val="00770E31"/>
    <w:rsid w:val="00771A2E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7CC5"/>
    <w:rsid w:val="007C2B98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13ED"/>
    <w:rsid w:val="00804F5A"/>
    <w:rsid w:val="00810C6D"/>
    <w:rsid w:val="00812887"/>
    <w:rsid w:val="00816DA6"/>
    <w:rsid w:val="008236BB"/>
    <w:rsid w:val="00826F21"/>
    <w:rsid w:val="00834CC8"/>
    <w:rsid w:val="00835E00"/>
    <w:rsid w:val="00837113"/>
    <w:rsid w:val="008414E4"/>
    <w:rsid w:val="00843E21"/>
    <w:rsid w:val="0084508E"/>
    <w:rsid w:val="00846DB3"/>
    <w:rsid w:val="00857A8A"/>
    <w:rsid w:val="008630EE"/>
    <w:rsid w:val="0086413B"/>
    <w:rsid w:val="00864D13"/>
    <w:rsid w:val="00871CD5"/>
    <w:rsid w:val="008745A2"/>
    <w:rsid w:val="008768A8"/>
    <w:rsid w:val="008852E6"/>
    <w:rsid w:val="0088798F"/>
    <w:rsid w:val="00887E4B"/>
    <w:rsid w:val="008915C8"/>
    <w:rsid w:val="008A36CF"/>
    <w:rsid w:val="008A3BC4"/>
    <w:rsid w:val="008A5699"/>
    <w:rsid w:val="008B403C"/>
    <w:rsid w:val="008B7983"/>
    <w:rsid w:val="008C2511"/>
    <w:rsid w:val="008C2A93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259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BCF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7C8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4BCE"/>
    <w:rsid w:val="00A16849"/>
    <w:rsid w:val="00A16D91"/>
    <w:rsid w:val="00A174CC"/>
    <w:rsid w:val="00A17CF8"/>
    <w:rsid w:val="00A2073D"/>
    <w:rsid w:val="00A20751"/>
    <w:rsid w:val="00A21163"/>
    <w:rsid w:val="00A27E2D"/>
    <w:rsid w:val="00A31D99"/>
    <w:rsid w:val="00A357BA"/>
    <w:rsid w:val="00A35ADC"/>
    <w:rsid w:val="00A402A3"/>
    <w:rsid w:val="00A51DC8"/>
    <w:rsid w:val="00A53681"/>
    <w:rsid w:val="00A633D4"/>
    <w:rsid w:val="00A6461A"/>
    <w:rsid w:val="00A76A29"/>
    <w:rsid w:val="00A76CD2"/>
    <w:rsid w:val="00A77650"/>
    <w:rsid w:val="00A80570"/>
    <w:rsid w:val="00A84504"/>
    <w:rsid w:val="00A8672F"/>
    <w:rsid w:val="00A92828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8CE"/>
    <w:rsid w:val="00B40C60"/>
    <w:rsid w:val="00B479A9"/>
    <w:rsid w:val="00B52EDF"/>
    <w:rsid w:val="00B71188"/>
    <w:rsid w:val="00B7672A"/>
    <w:rsid w:val="00B76A41"/>
    <w:rsid w:val="00B87D4C"/>
    <w:rsid w:val="00B92813"/>
    <w:rsid w:val="00B93646"/>
    <w:rsid w:val="00BA0B38"/>
    <w:rsid w:val="00BA1DBB"/>
    <w:rsid w:val="00BA4510"/>
    <w:rsid w:val="00BA529A"/>
    <w:rsid w:val="00BB612A"/>
    <w:rsid w:val="00BC11F7"/>
    <w:rsid w:val="00BD499F"/>
    <w:rsid w:val="00BD56DE"/>
    <w:rsid w:val="00BF2406"/>
    <w:rsid w:val="00C049F5"/>
    <w:rsid w:val="00C06E43"/>
    <w:rsid w:val="00C148D9"/>
    <w:rsid w:val="00C16315"/>
    <w:rsid w:val="00C3091E"/>
    <w:rsid w:val="00C40FF1"/>
    <w:rsid w:val="00C419E2"/>
    <w:rsid w:val="00C45A25"/>
    <w:rsid w:val="00C5020E"/>
    <w:rsid w:val="00C54B26"/>
    <w:rsid w:val="00C57452"/>
    <w:rsid w:val="00C61EDF"/>
    <w:rsid w:val="00C6239D"/>
    <w:rsid w:val="00C6521E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610"/>
    <w:rsid w:val="00CE5AD6"/>
    <w:rsid w:val="00CE617F"/>
    <w:rsid w:val="00CE78EF"/>
    <w:rsid w:val="00CF31DE"/>
    <w:rsid w:val="00D0145C"/>
    <w:rsid w:val="00D048F7"/>
    <w:rsid w:val="00D0517E"/>
    <w:rsid w:val="00D140FC"/>
    <w:rsid w:val="00D21D8C"/>
    <w:rsid w:val="00D272E3"/>
    <w:rsid w:val="00D31357"/>
    <w:rsid w:val="00D33220"/>
    <w:rsid w:val="00D334D1"/>
    <w:rsid w:val="00D3461D"/>
    <w:rsid w:val="00D352B2"/>
    <w:rsid w:val="00D44C89"/>
    <w:rsid w:val="00D516CD"/>
    <w:rsid w:val="00D53E23"/>
    <w:rsid w:val="00D668E6"/>
    <w:rsid w:val="00D70670"/>
    <w:rsid w:val="00D74D80"/>
    <w:rsid w:val="00D75DA6"/>
    <w:rsid w:val="00D76624"/>
    <w:rsid w:val="00D76BA9"/>
    <w:rsid w:val="00D87570"/>
    <w:rsid w:val="00D91CB9"/>
    <w:rsid w:val="00D97989"/>
    <w:rsid w:val="00D97D8D"/>
    <w:rsid w:val="00DA352E"/>
    <w:rsid w:val="00DC646C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4E1"/>
    <w:rsid w:val="00E06F40"/>
    <w:rsid w:val="00E07CE8"/>
    <w:rsid w:val="00E10AB6"/>
    <w:rsid w:val="00E22D9A"/>
    <w:rsid w:val="00E26A07"/>
    <w:rsid w:val="00E32595"/>
    <w:rsid w:val="00E37CFD"/>
    <w:rsid w:val="00E41A26"/>
    <w:rsid w:val="00E46BCB"/>
    <w:rsid w:val="00E51CAF"/>
    <w:rsid w:val="00E54DFC"/>
    <w:rsid w:val="00E60F04"/>
    <w:rsid w:val="00E62AAC"/>
    <w:rsid w:val="00E67C2F"/>
    <w:rsid w:val="00E67EF5"/>
    <w:rsid w:val="00E804EA"/>
    <w:rsid w:val="00E80A71"/>
    <w:rsid w:val="00E82337"/>
    <w:rsid w:val="00E90B44"/>
    <w:rsid w:val="00E92499"/>
    <w:rsid w:val="00E94373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482F"/>
    <w:rsid w:val="00F56DD0"/>
    <w:rsid w:val="00F56F2D"/>
    <w:rsid w:val="00F57AF8"/>
    <w:rsid w:val="00F6491C"/>
    <w:rsid w:val="00F67BBB"/>
    <w:rsid w:val="00F72607"/>
    <w:rsid w:val="00F7324B"/>
    <w:rsid w:val="00F80E96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51E2D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D79E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0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B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B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B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BCF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B7CC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42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8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900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5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2BADE7CDB7F4312B04FAB81AB08A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E89A3-FDD2-44AC-87F5-E05597D6E50E}"/>
      </w:docPartPr>
      <w:docPartBody>
        <w:p w:rsidR="00335180" w:rsidRDefault="003C29F1" w:rsidP="003C29F1">
          <w:pPr>
            <w:pStyle w:val="52BADE7CDB7F4312B04FAB81AB08A3A2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6D90F1112B8493AA9690F8AB5EF5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A75CF-540B-4F8A-AC83-C4D7E68CE715}"/>
      </w:docPartPr>
      <w:docPartBody>
        <w:p w:rsidR="00232337" w:rsidRDefault="00131D35" w:rsidP="00131D35">
          <w:pPr>
            <w:pStyle w:val="D6D90F1112B8493AA9690F8AB5EF57A7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4A5248CA90F24D23A4645DD070816F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2E736-9A7B-464E-ABCB-DA28182E3766}"/>
      </w:docPartPr>
      <w:docPartBody>
        <w:p w:rsidR="001360EA" w:rsidRDefault="004956B0" w:rsidP="004956B0">
          <w:pPr>
            <w:pStyle w:val="4A5248CA90F24D23A4645DD070816F0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1D35"/>
    <w:rsid w:val="001360EA"/>
    <w:rsid w:val="00232337"/>
    <w:rsid w:val="00284F92"/>
    <w:rsid w:val="00335180"/>
    <w:rsid w:val="003C29F1"/>
    <w:rsid w:val="004956B0"/>
    <w:rsid w:val="005019CC"/>
    <w:rsid w:val="00D11296"/>
    <w:rsid w:val="00D21A9F"/>
    <w:rsid w:val="00D8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6B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2BADE7CDB7F4312B04FAB81AB08A3A2">
    <w:name w:val="52BADE7CDB7F4312B04FAB81AB08A3A2"/>
    <w:rsid w:val="003C29F1"/>
    <w:rPr>
      <w:lang w:val="en-US" w:eastAsia="en-US"/>
    </w:rPr>
  </w:style>
  <w:style w:type="paragraph" w:customStyle="1" w:styleId="D6D90F1112B8493AA9690F8AB5EF57A7">
    <w:name w:val="D6D90F1112B8493AA9690F8AB5EF57A7"/>
    <w:rsid w:val="00131D35"/>
  </w:style>
  <w:style w:type="paragraph" w:customStyle="1" w:styleId="4A5248CA90F24D23A4645DD070816F0E">
    <w:name w:val="4A5248CA90F24D23A4645DD070816F0E"/>
    <w:rsid w:val="004956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09C043-6C78-403B-866C-B404B6279D6D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8B03945-AF92-47E4-8D6C-55B1B9256F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E3D33-C5D4-4B26-963A-E10118AE56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C24DC0-AF87-4677-8C27-BE8FE1094F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2019-10-10T02:48:00Z</dcterms:created>
  <dcterms:modified xsi:type="dcterms:W3CDTF">2025-12-22T03:44:00Z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2025-12-22T03:44:47Z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8beed9cb-ead4-4289-950a-e87688b29482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