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36CC39C4" w14:textId="77777777" w:rsidR="00BD499F" w:rsidRPr="004C23F4" w:rsidRDefault="00A32004" w:rsidP="00B40C60">
          <w:pPr>
            <w:pStyle w:val="Heading1"/>
            <w:jc w:val="center"/>
            <w:rPr>
              <w:rFonts w:ascii="Arial" w:hAnsi="Arial" w:cs="Arial"/>
            </w:rPr>
          </w:pPr>
          <w:r>
            <w:rPr>
              <w:rFonts w:ascii="Arial" w:hAnsi="Arial" w:cs="Arial"/>
            </w:rPr>
            <w:t>C</w:t>
          </w:r>
          <w:r w:rsidR="00D17ECE">
            <w:rPr>
              <w:rFonts w:ascii="Arial" w:hAnsi="Arial" w:cs="Arial"/>
            </w:rPr>
            <w:t>opper</w:t>
          </w:r>
          <w:r w:rsidR="00A3015B">
            <w:rPr>
              <w:rFonts w:ascii="Arial" w:hAnsi="Arial" w:cs="Arial"/>
            </w:rPr>
            <w:t xml:space="preserve"> fume, </w:t>
          </w:r>
          <w:r w:rsidR="00C32159">
            <w:rPr>
              <w:rFonts w:ascii="Arial" w:hAnsi="Arial" w:cs="Arial"/>
            </w:rPr>
            <w:t>dust and mist</w:t>
          </w:r>
          <w:r w:rsidR="00FC5F5D">
            <w:rPr>
              <w:rFonts w:ascii="Arial" w:hAnsi="Arial" w:cs="Arial"/>
            </w:rPr>
            <w:t xml:space="preserve"> </w:t>
          </w:r>
          <w:r w:rsidR="00A3015B">
            <w:rPr>
              <w:rFonts w:ascii="Arial" w:hAnsi="Arial" w:cs="Arial"/>
            </w:rPr>
            <w:t>(</w:t>
          </w:r>
          <w:r w:rsidR="00FC5F5D">
            <w:rPr>
              <w:rFonts w:ascii="Arial" w:hAnsi="Arial" w:cs="Arial"/>
            </w:rPr>
            <w:t>As cu</w:t>
          </w:r>
          <w:r w:rsidR="00A3015B">
            <w:rPr>
              <w:rFonts w:ascii="Arial" w:hAnsi="Arial" w:cs="Arial"/>
            </w:rPr>
            <w:t>)</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4"/>
        <w:gridCol w:w="5032"/>
      </w:tblGrid>
      <w:tr w:rsidR="00F43AD5" w:rsidRPr="004C23F4" w14:paraId="516BF442" w14:textId="77777777" w:rsidTr="00B76A41">
        <w:trPr>
          <w:cantSplit/>
          <w:tblHeader/>
        </w:trPr>
        <w:tc>
          <w:tcPr>
            <w:tcW w:w="4077" w:type="dxa"/>
          </w:tcPr>
          <w:p w14:paraId="53D0ECD8" w14:textId="77777777" w:rsidR="00F43AD5" w:rsidRPr="00921DE7" w:rsidRDefault="00CB1CB1" w:rsidP="00B76A41">
            <w:pPr>
              <w:pStyle w:val="Tablerowright"/>
            </w:pPr>
            <w:r w:rsidRPr="00921DE7">
              <w:t>CAS number:</w:t>
            </w:r>
          </w:p>
        </w:tc>
        <w:tc>
          <w:tcPr>
            <w:tcW w:w="5165" w:type="dxa"/>
          </w:tcPr>
          <w:p w14:paraId="111AEFBE" w14:textId="77777777" w:rsidR="00F43AD5" w:rsidRPr="00717D45" w:rsidRDefault="002A2EF8" w:rsidP="00B76A41">
            <w:pPr>
              <w:pStyle w:val="Tablefont"/>
            </w:pPr>
            <w:r w:rsidRPr="002A2EF8">
              <w:t>7440-50-8</w:t>
            </w:r>
          </w:p>
        </w:tc>
      </w:tr>
      <w:tr w:rsidR="00F43AD5" w:rsidRPr="004C23F4" w14:paraId="74AE3AAF" w14:textId="77777777" w:rsidTr="00B76A41">
        <w:trPr>
          <w:cantSplit/>
        </w:trPr>
        <w:tc>
          <w:tcPr>
            <w:tcW w:w="4077" w:type="dxa"/>
          </w:tcPr>
          <w:p w14:paraId="35867692" w14:textId="77777777" w:rsidR="00F43AD5" w:rsidRPr="00921DE7" w:rsidRDefault="00CB1CB1" w:rsidP="00B76A41">
            <w:pPr>
              <w:pStyle w:val="Tablerowright"/>
            </w:pPr>
            <w:r w:rsidRPr="00921DE7">
              <w:t>Synonyms:</w:t>
            </w:r>
          </w:p>
        </w:tc>
        <w:tc>
          <w:tcPr>
            <w:tcW w:w="5165" w:type="dxa"/>
          </w:tcPr>
          <w:p w14:paraId="027F9CC7" w14:textId="77777777" w:rsidR="00F43AD5" w:rsidRPr="00717D45" w:rsidRDefault="002A2EF8" w:rsidP="00B76A41">
            <w:pPr>
              <w:pStyle w:val="Tablefont"/>
            </w:pPr>
            <w:r>
              <w:t>—</w:t>
            </w:r>
          </w:p>
        </w:tc>
      </w:tr>
      <w:tr w:rsidR="00F43AD5" w:rsidRPr="004C23F4" w14:paraId="01C0DCE1" w14:textId="77777777" w:rsidTr="00B76A41">
        <w:trPr>
          <w:cantSplit/>
        </w:trPr>
        <w:tc>
          <w:tcPr>
            <w:tcW w:w="4077" w:type="dxa"/>
          </w:tcPr>
          <w:p w14:paraId="5B0E34D9" w14:textId="77777777" w:rsidR="00F43AD5" w:rsidRPr="00921DE7" w:rsidRDefault="00CB1CB1" w:rsidP="00B76A41">
            <w:pPr>
              <w:pStyle w:val="Tablerowright"/>
            </w:pPr>
            <w:r w:rsidRPr="00921DE7">
              <w:t>Chemical formula:</w:t>
            </w:r>
          </w:p>
        </w:tc>
        <w:tc>
          <w:tcPr>
            <w:tcW w:w="5165" w:type="dxa"/>
          </w:tcPr>
          <w:p w14:paraId="4B0E618B" w14:textId="77777777" w:rsidR="00F43AD5" w:rsidRPr="00717D45" w:rsidRDefault="00EF3065" w:rsidP="00B76A41">
            <w:pPr>
              <w:pStyle w:val="Tablefont"/>
            </w:pPr>
            <w:r>
              <w:t>Cu</w:t>
            </w:r>
          </w:p>
        </w:tc>
      </w:tr>
      <w:tr w:rsidR="00F43AD5" w:rsidRPr="004C23F4" w14:paraId="1A26A427" w14:textId="77777777" w:rsidTr="00B76A41">
        <w:trPr>
          <w:cantSplit/>
        </w:trPr>
        <w:tc>
          <w:tcPr>
            <w:tcW w:w="4077" w:type="dxa"/>
          </w:tcPr>
          <w:p w14:paraId="5EE64CDF" w14:textId="77777777" w:rsidR="00F43AD5" w:rsidRPr="00921DE7" w:rsidRDefault="00CB1CB1" w:rsidP="00B76A41">
            <w:pPr>
              <w:pStyle w:val="Tablerowright"/>
            </w:pPr>
            <w:r w:rsidRPr="00921DE7">
              <w:t>Structural formula:</w:t>
            </w:r>
          </w:p>
        </w:tc>
        <w:tc>
          <w:tcPr>
            <w:tcW w:w="5165" w:type="dxa"/>
          </w:tcPr>
          <w:p w14:paraId="441FFC80" w14:textId="77777777" w:rsidR="00F43AD5" w:rsidRPr="00EF3065" w:rsidRDefault="00EF3065" w:rsidP="00B76A41">
            <w:pPr>
              <w:pStyle w:val="Tablerowheading"/>
              <w:rPr>
                <w:b w:val="0"/>
              </w:rPr>
            </w:pPr>
            <w:r w:rsidRPr="00EF3065">
              <w:rPr>
                <w:b w:val="0"/>
              </w:rPr>
              <w:t>—</w:t>
            </w:r>
          </w:p>
        </w:tc>
      </w:tr>
    </w:tbl>
    <w:p w14:paraId="577423FD"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D612D8">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5473ED95" w14:textId="77777777" w:rsidTr="00573FC8">
        <w:trPr>
          <w:cantSplit/>
          <w:tblHeader/>
        </w:trPr>
        <w:tc>
          <w:tcPr>
            <w:tcW w:w="4005" w:type="dxa"/>
            <w:vAlign w:val="center"/>
          </w:tcPr>
          <w:p w14:paraId="1D95871D" w14:textId="77777777" w:rsidR="002C7AFE" w:rsidRPr="002C58FF" w:rsidRDefault="00921DE7" w:rsidP="00921DE7">
            <w:pPr>
              <w:pStyle w:val="Tablerowright"/>
            </w:pPr>
            <w:r>
              <w:t>TWA:</w:t>
            </w:r>
          </w:p>
        </w:tc>
        <w:tc>
          <w:tcPr>
            <w:tcW w:w="5021" w:type="dxa"/>
          </w:tcPr>
          <w:p w14:paraId="0C6D3416" w14:textId="77777777" w:rsidR="002C7AFE" w:rsidRPr="00D612D8" w:rsidRDefault="00D612D8" w:rsidP="00017C82">
            <w:pPr>
              <w:pStyle w:val="Tablefont"/>
              <w:rPr>
                <w:b/>
                <w:vertAlign w:val="superscript"/>
              </w:rPr>
            </w:pPr>
            <w:r>
              <w:rPr>
                <w:b/>
              </w:rPr>
              <w:t>0.01 mg/m</w:t>
            </w:r>
            <w:r>
              <w:rPr>
                <w:b/>
                <w:vertAlign w:val="superscript"/>
              </w:rPr>
              <w:t>3</w:t>
            </w:r>
          </w:p>
        </w:tc>
      </w:tr>
      <w:tr w:rsidR="00573FC8" w:rsidRPr="004C23F4" w14:paraId="5F4CB851" w14:textId="77777777" w:rsidTr="00573FC8">
        <w:trPr>
          <w:cantSplit/>
        </w:trPr>
        <w:tc>
          <w:tcPr>
            <w:tcW w:w="4005" w:type="dxa"/>
            <w:vAlign w:val="center"/>
          </w:tcPr>
          <w:p w14:paraId="7E6E52CE" w14:textId="77777777" w:rsidR="00573FC8" w:rsidRPr="002C58FF" w:rsidRDefault="00573FC8" w:rsidP="00573FC8">
            <w:pPr>
              <w:pStyle w:val="Tablerowright"/>
            </w:pPr>
            <w:r w:rsidRPr="002C58FF">
              <w:t>STEL</w:t>
            </w:r>
            <w:r>
              <w:t>:</w:t>
            </w:r>
          </w:p>
        </w:tc>
        <w:tc>
          <w:tcPr>
            <w:tcW w:w="5021" w:type="dxa"/>
          </w:tcPr>
          <w:p w14:paraId="696B9554" w14:textId="77777777" w:rsidR="00573FC8" w:rsidRPr="00A32004" w:rsidRDefault="00573FC8" w:rsidP="008F7464">
            <w:pPr>
              <w:pStyle w:val="Tablerowheading"/>
            </w:pPr>
            <w:r w:rsidRPr="008F7464">
              <w:rPr>
                <w:b w:val="0"/>
              </w:rPr>
              <w:t>—</w:t>
            </w:r>
          </w:p>
        </w:tc>
      </w:tr>
      <w:tr w:rsidR="00573FC8" w:rsidRPr="004C23F4" w14:paraId="493F13D1" w14:textId="77777777" w:rsidTr="00573FC8">
        <w:trPr>
          <w:cantSplit/>
        </w:trPr>
        <w:tc>
          <w:tcPr>
            <w:tcW w:w="4005" w:type="dxa"/>
            <w:vAlign w:val="center"/>
          </w:tcPr>
          <w:p w14:paraId="1D47DE7C" w14:textId="77777777" w:rsidR="00573FC8" w:rsidRPr="002C58FF" w:rsidRDefault="00573FC8" w:rsidP="00573FC8">
            <w:pPr>
              <w:pStyle w:val="Tablerowright"/>
            </w:pPr>
            <w:r>
              <w:t>Peak limitation:</w:t>
            </w:r>
          </w:p>
        </w:tc>
        <w:tc>
          <w:tcPr>
            <w:tcW w:w="5021" w:type="dxa"/>
          </w:tcPr>
          <w:p w14:paraId="692EF377" w14:textId="77777777" w:rsidR="00573FC8" w:rsidRPr="00A32004" w:rsidRDefault="00573FC8" w:rsidP="008F7464">
            <w:pPr>
              <w:pStyle w:val="Tablerowheading"/>
            </w:pPr>
            <w:r w:rsidRPr="008F7464">
              <w:rPr>
                <w:b w:val="0"/>
              </w:rPr>
              <w:t>—</w:t>
            </w:r>
          </w:p>
        </w:tc>
      </w:tr>
      <w:tr w:rsidR="00573FC8" w:rsidRPr="004C23F4" w14:paraId="3AD47A73" w14:textId="77777777" w:rsidTr="00573FC8">
        <w:trPr>
          <w:cantSplit/>
        </w:trPr>
        <w:tc>
          <w:tcPr>
            <w:tcW w:w="4005" w:type="dxa"/>
          </w:tcPr>
          <w:p w14:paraId="13E80EDF" w14:textId="77777777" w:rsidR="00573FC8" w:rsidRPr="002C58FF" w:rsidRDefault="00573FC8" w:rsidP="00573FC8">
            <w:pPr>
              <w:pStyle w:val="Tablerowright"/>
            </w:pPr>
            <w:r>
              <w:rPr>
                <w:b w:val="0"/>
                <w:bCs/>
                <w:color w:val="000000" w:themeColor="text1"/>
              </w:rPr>
              <w:tab/>
            </w:r>
            <w:r w:rsidRPr="003241A8">
              <w:t>Notations</w:t>
            </w:r>
            <w:r>
              <w:t>:</w:t>
            </w:r>
          </w:p>
        </w:tc>
        <w:tc>
          <w:tcPr>
            <w:tcW w:w="5021" w:type="dxa"/>
          </w:tcPr>
          <w:p w14:paraId="488F419A" w14:textId="77777777" w:rsidR="00573FC8" w:rsidRPr="00A32004" w:rsidRDefault="00573FC8" w:rsidP="008F7464">
            <w:pPr>
              <w:pStyle w:val="Tablerowheading"/>
            </w:pPr>
            <w:r w:rsidRPr="008F7464">
              <w:rPr>
                <w:b w:val="0"/>
              </w:rPr>
              <w:t>—</w:t>
            </w:r>
          </w:p>
        </w:tc>
      </w:tr>
      <w:tr w:rsidR="002C7AFE" w:rsidRPr="004C23F4" w14:paraId="096FAD54" w14:textId="77777777" w:rsidTr="00573FC8">
        <w:trPr>
          <w:cantSplit/>
        </w:trPr>
        <w:tc>
          <w:tcPr>
            <w:tcW w:w="4005" w:type="dxa"/>
            <w:vAlign w:val="center"/>
          </w:tcPr>
          <w:p w14:paraId="046A6EE3" w14:textId="77777777" w:rsidR="00F10C97" w:rsidRPr="002C58FF" w:rsidRDefault="00921DE7" w:rsidP="009F04D2">
            <w:pPr>
              <w:pStyle w:val="Tablerowright"/>
            </w:pPr>
            <w:r>
              <w:t>IDLH:</w:t>
            </w:r>
          </w:p>
        </w:tc>
        <w:tc>
          <w:tcPr>
            <w:tcW w:w="5021" w:type="dxa"/>
          </w:tcPr>
          <w:p w14:paraId="022CBD88" w14:textId="77777777" w:rsidR="002C7AFE" w:rsidRPr="00EB3D1B" w:rsidRDefault="00930ECF" w:rsidP="00017C82">
            <w:pPr>
              <w:pStyle w:val="Tablefont"/>
              <w:rPr>
                <w:b/>
              </w:rPr>
            </w:pPr>
            <w:r>
              <w:rPr>
                <w:b/>
              </w:rPr>
              <w:t>100 mg/m</w:t>
            </w:r>
            <w:r w:rsidRPr="00930ECF">
              <w:rPr>
                <w:b/>
                <w:vertAlign w:val="superscript"/>
              </w:rPr>
              <w:t>3</w:t>
            </w:r>
          </w:p>
        </w:tc>
      </w:tr>
      <w:tr w:rsidR="009F04D2" w:rsidRPr="004C23F4" w14:paraId="158B6087" w14:textId="77777777" w:rsidTr="00E250FE">
        <w:trPr>
          <w:cantSplit/>
        </w:trPr>
        <w:tc>
          <w:tcPr>
            <w:tcW w:w="4005" w:type="dxa"/>
          </w:tcPr>
          <w:p w14:paraId="1C59155C" w14:textId="77777777" w:rsidR="009F04D2" w:rsidRDefault="009F04D2" w:rsidP="00E250FE">
            <w:pPr>
              <w:pStyle w:val="Tablerowright"/>
            </w:pPr>
            <w:r>
              <w:t>Sampling and analysis:</w:t>
            </w:r>
          </w:p>
        </w:tc>
        <w:tc>
          <w:tcPr>
            <w:tcW w:w="5021" w:type="dxa"/>
          </w:tcPr>
          <w:p w14:paraId="20952A7A" w14:textId="40E316F5" w:rsidR="009F04D2" w:rsidRPr="00E250FE" w:rsidRDefault="00E250FE" w:rsidP="00017C82">
            <w:pPr>
              <w:pStyle w:val="Tablefont"/>
            </w:pPr>
            <w:r w:rsidRPr="00E250FE">
              <w:t>There is uncertainty regarding quantification of the recommended value with currently available sampling and/or analysis techniques.</w:t>
            </w:r>
          </w:p>
        </w:tc>
      </w:tr>
    </w:tbl>
    <w:p w14:paraId="1F02E0D7" w14:textId="77777777" w:rsidR="00CB1CB1" w:rsidRPr="003365A5" w:rsidRDefault="00F10C97" w:rsidP="003365A5">
      <w:pPr>
        <w:pStyle w:val="Heading2"/>
      </w:pPr>
      <w:r>
        <w:t>Recommendation and basis for workplace exposure standard</w:t>
      </w:r>
    </w:p>
    <w:p w14:paraId="4C78665E" w14:textId="5F87A523" w:rsidR="006639B4" w:rsidRPr="00D612D8" w:rsidRDefault="00D612D8" w:rsidP="000C139A">
      <w:pPr>
        <w:rPr>
          <w:rFonts w:cs="Arial"/>
        </w:rPr>
      </w:pPr>
      <w:r>
        <w:rPr>
          <w:rFonts w:cs="Arial"/>
        </w:rPr>
        <w:t>A TWA of 0.01 mg/m</w:t>
      </w:r>
      <w:r>
        <w:rPr>
          <w:rFonts w:cs="Arial"/>
          <w:vertAlign w:val="superscript"/>
        </w:rPr>
        <w:t>3</w:t>
      </w:r>
      <w:r>
        <w:rPr>
          <w:rFonts w:cs="Arial"/>
        </w:rPr>
        <w:t xml:space="preserve"> is recommended</w:t>
      </w:r>
      <w:r w:rsidR="00A966C8">
        <w:rPr>
          <w:rFonts w:cs="Arial"/>
        </w:rPr>
        <w:t xml:space="preserve"> to protect for irritant and adverse lung effects</w:t>
      </w:r>
      <w:r>
        <w:rPr>
          <w:rFonts w:cs="Arial"/>
        </w:rPr>
        <w:t xml:space="preserve"> in exposed workers.</w:t>
      </w:r>
    </w:p>
    <w:p w14:paraId="41FC0691" w14:textId="77777777" w:rsidR="00C7155E" w:rsidRPr="004C23F4" w:rsidRDefault="00F10C97" w:rsidP="003365A5">
      <w:pPr>
        <w:pStyle w:val="Heading2"/>
      </w:pPr>
      <w:r>
        <w:t>Discussion and conclusions</w:t>
      </w:r>
    </w:p>
    <w:p w14:paraId="1361AC46" w14:textId="77777777" w:rsidR="005B2809" w:rsidRDefault="00D612D8" w:rsidP="00287E27">
      <w:r>
        <w:t xml:space="preserve">Copper is </w:t>
      </w:r>
      <w:r w:rsidR="00A32004">
        <w:t xml:space="preserve">a </w:t>
      </w:r>
      <w:r>
        <w:t xml:space="preserve">widely used structural metal particularly in situations </w:t>
      </w:r>
      <w:r w:rsidR="00A32004">
        <w:t xml:space="preserve">where </w:t>
      </w:r>
      <w:r>
        <w:t xml:space="preserve">high electrical and thermal conductivity are required. Copper compounds are also used in pesticides. </w:t>
      </w:r>
    </w:p>
    <w:p w14:paraId="7C94C5BC" w14:textId="515AC81A" w:rsidR="00287E27" w:rsidRDefault="00D612D8" w:rsidP="00287E27">
      <w:r>
        <w:t>The critical effect associated with inhalation is local irritation of the respiratory tract.</w:t>
      </w:r>
      <w:r w:rsidR="007715D8">
        <w:t xml:space="preserve"> Concentrations of metal copper dust in the order of 0.1 mg/m</w:t>
      </w:r>
      <w:r w:rsidR="007715D8">
        <w:rPr>
          <w:vertAlign w:val="superscript"/>
        </w:rPr>
        <w:t>3</w:t>
      </w:r>
      <w:r w:rsidR="007715D8">
        <w:t xml:space="preserve"> </w:t>
      </w:r>
      <w:r w:rsidR="005B2809">
        <w:t>a</w:t>
      </w:r>
      <w:r w:rsidR="007715D8">
        <w:t xml:space="preserve">re reported to be associated with </w:t>
      </w:r>
      <w:r w:rsidR="00A32004">
        <w:t xml:space="preserve">a </w:t>
      </w:r>
      <w:r w:rsidR="007715D8">
        <w:t>condition similar to metal fume fever.</w:t>
      </w:r>
      <w:r w:rsidR="00A32004">
        <w:t xml:space="preserve"> </w:t>
      </w:r>
      <w:r w:rsidR="006B1491">
        <w:t>A</w:t>
      </w:r>
      <w:r>
        <w:t xml:space="preserve"> study in workers </w:t>
      </w:r>
      <w:r w:rsidR="006B1491">
        <w:t xml:space="preserve">reports </w:t>
      </w:r>
      <w:r>
        <w:t>a NOAE</w:t>
      </w:r>
      <w:r w:rsidR="00287E27">
        <w:t>C of 0.008</w:t>
      </w:r>
      <w:r w:rsidR="006B1491">
        <w:t> </w:t>
      </w:r>
      <w:r w:rsidR="00287E27">
        <w:t>mg/m</w:t>
      </w:r>
      <w:r w:rsidR="00287E27">
        <w:rPr>
          <w:vertAlign w:val="superscript"/>
        </w:rPr>
        <w:t>3</w:t>
      </w:r>
      <w:r w:rsidR="00A8307F">
        <w:t xml:space="preserve"> </w:t>
      </w:r>
      <w:r w:rsidR="006B1491">
        <w:t xml:space="preserve">for influenza-like symptoms </w:t>
      </w:r>
      <w:r w:rsidR="00A8307F">
        <w:t>(DFG, 2015)</w:t>
      </w:r>
      <w:r w:rsidR="00287E27">
        <w:t xml:space="preserve">. A </w:t>
      </w:r>
      <w:r w:rsidR="00A32004">
        <w:t>four</w:t>
      </w:r>
      <w:r w:rsidR="00460710">
        <w:t> </w:t>
      </w:r>
      <w:r w:rsidR="00287E27">
        <w:t>week inhalation study in rats identified a LOAEC of 0.17 mg/m</w:t>
      </w:r>
      <w:r w:rsidR="00287E27">
        <w:rPr>
          <w:vertAlign w:val="superscript"/>
        </w:rPr>
        <w:t>3</w:t>
      </w:r>
      <w:r w:rsidR="00287E27">
        <w:t xml:space="preserve"> reported for marked inflammatory reactions in the lungs</w:t>
      </w:r>
      <w:r w:rsidR="007715D8">
        <w:t xml:space="preserve"> (ACGIH, 2018; DFG, 2015; SCOEL, 2014).</w:t>
      </w:r>
      <w:r w:rsidR="00A32004">
        <w:t xml:space="preserve"> </w:t>
      </w:r>
      <w:r w:rsidR="007715D8">
        <w:t>DFG (2015) and SCOEL (2014) derived a human equivalent NOAEC of</w:t>
      </w:r>
      <w:r w:rsidR="00184D96">
        <w:t xml:space="preserve"> 0.012</w:t>
      </w:r>
      <w:r w:rsidR="006B1491">
        <w:t> </w:t>
      </w:r>
      <w:r w:rsidR="00184D96">
        <w:t>mg/m</w:t>
      </w:r>
      <w:r w:rsidR="00184D96">
        <w:rPr>
          <w:vertAlign w:val="superscript"/>
        </w:rPr>
        <w:t>3</w:t>
      </w:r>
      <w:r w:rsidR="00184D96">
        <w:t xml:space="preserve"> and</w:t>
      </w:r>
      <w:r w:rsidR="007715D8">
        <w:t xml:space="preserve"> 0.016</w:t>
      </w:r>
      <w:r w:rsidR="006B1491">
        <w:t> </w:t>
      </w:r>
      <w:r w:rsidR="007715D8">
        <w:t>mg/m</w:t>
      </w:r>
      <w:r w:rsidR="007715D8">
        <w:rPr>
          <w:vertAlign w:val="superscript"/>
        </w:rPr>
        <w:t>3</w:t>
      </w:r>
      <w:r w:rsidR="003B4F94">
        <w:t>,</w:t>
      </w:r>
      <w:r w:rsidR="007715D8">
        <w:t xml:space="preserve"> </w:t>
      </w:r>
      <w:r w:rsidR="00184D96">
        <w:t>respectively.</w:t>
      </w:r>
    </w:p>
    <w:p w14:paraId="7272AE10" w14:textId="5D95A55E" w:rsidR="006639B4" w:rsidRPr="004C23F4" w:rsidRDefault="00184D96" w:rsidP="006639B4">
      <w:pPr>
        <w:rPr>
          <w:rFonts w:cs="Arial"/>
        </w:rPr>
      </w:pPr>
      <w:r>
        <w:t>G</w:t>
      </w:r>
      <w:r w:rsidR="007715D8">
        <w:t>i</w:t>
      </w:r>
      <w:r>
        <w:t>v</w:t>
      </w:r>
      <w:r w:rsidR="007715D8">
        <w:t xml:space="preserve">en the </w:t>
      </w:r>
      <w:r w:rsidR="006B1491">
        <w:t>observed NOAEC in humans</w:t>
      </w:r>
      <w:r w:rsidR="005B2809">
        <w:t xml:space="preserve"> of 0.008 </w:t>
      </w:r>
      <w:r w:rsidR="005B2809" w:rsidRPr="005B2809">
        <w:rPr>
          <w:rFonts w:cs="Arial"/>
        </w:rPr>
        <w:t>mg/m</w:t>
      </w:r>
      <w:r w:rsidR="005B2809" w:rsidRPr="005B2809">
        <w:rPr>
          <w:rFonts w:cs="Arial"/>
          <w:vertAlign w:val="superscript"/>
        </w:rPr>
        <w:t>3</w:t>
      </w:r>
      <w:r w:rsidR="006B1491" w:rsidRPr="005B2809">
        <w:rPr>
          <w:sz w:val="18"/>
        </w:rPr>
        <w:t xml:space="preserve"> </w:t>
      </w:r>
      <w:r w:rsidR="006B1491">
        <w:t xml:space="preserve">and </w:t>
      </w:r>
      <w:r w:rsidR="005B2809">
        <w:t xml:space="preserve">supported by </w:t>
      </w:r>
      <w:r w:rsidR="006B1491">
        <w:t xml:space="preserve">the derived </w:t>
      </w:r>
      <w:r w:rsidR="005B2809">
        <w:t xml:space="preserve">human equivalent </w:t>
      </w:r>
      <w:r w:rsidR="006B1491">
        <w:t>NOAEC</w:t>
      </w:r>
      <w:r w:rsidR="005B2809">
        <w:t>s</w:t>
      </w:r>
      <w:r w:rsidR="006B1491">
        <w:t xml:space="preserve"> from animal</w:t>
      </w:r>
      <w:r w:rsidR="005B2809">
        <w:t xml:space="preserve"> </w:t>
      </w:r>
      <w:r w:rsidR="006B1491">
        <w:t>s</w:t>
      </w:r>
      <w:r w:rsidR="005B2809">
        <w:t>tudies</w:t>
      </w:r>
      <w:r w:rsidR="00570D38">
        <w:t xml:space="preserve"> (SCOEL, 2014)</w:t>
      </w:r>
      <w:r w:rsidR="006B1491">
        <w:t xml:space="preserve">, </w:t>
      </w:r>
      <w:r>
        <w:t>a TWA of 0.01 mg/m</w:t>
      </w:r>
      <w:r>
        <w:rPr>
          <w:vertAlign w:val="superscript"/>
        </w:rPr>
        <w:t>3</w:t>
      </w:r>
      <w:r>
        <w:t xml:space="preserve"> is </w:t>
      </w:r>
      <w:r w:rsidR="006B1491">
        <w:t>recommended</w:t>
      </w:r>
      <w:r w:rsidR="00C3054B">
        <w:t xml:space="preserve"> to protect for irritant</w:t>
      </w:r>
      <w:r w:rsidR="00F50502">
        <w:t xml:space="preserve"> </w:t>
      </w:r>
      <w:r w:rsidR="00C3054B">
        <w:t xml:space="preserve">and lung effects </w:t>
      </w:r>
      <w:r w:rsidR="00F50502">
        <w:t>across various states</w:t>
      </w:r>
      <w:r>
        <w:t xml:space="preserve"> in exposed workers.</w:t>
      </w:r>
    </w:p>
    <w:p w14:paraId="348C83E4" w14:textId="77777777" w:rsidR="004529F0" w:rsidRPr="004C23F4" w:rsidRDefault="004529F0" w:rsidP="004529F0">
      <w:pPr>
        <w:pStyle w:val="Heading2"/>
      </w:pPr>
      <w:r>
        <w:t>Recommendation for notations</w:t>
      </w:r>
    </w:p>
    <w:p w14:paraId="0DAC80D9" w14:textId="16F847ED" w:rsidR="008A5CE9" w:rsidRPr="00D612D8" w:rsidRDefault="008A5CE9" w:rsidP="008A5CE9">
      <w:pPr>
        <w:rPr>
          <w:rFonts w:cs="Arial"/>
        </w:rPr>
      </w:pPr>
      <w:r w:rsidRPr="00D612D8">
        <w:rPr>
          <w:rFonts w:cs="Arial"/>
        </w:rPr>
        <w:t>Not classified as a carcinogen according to the Globally Harmonized System of Classification and Labelling o</w:t>
      </w:r>
      <w:r w:rsidR="002A0D54">
        <w:rPr>
          <w:rFonts w:cs="Arial"/>
        </w:rPr>
        <w:t>f</w:t>
      </w:r>
      <w:r w:rsidRPr="00D612D8">
        <w:rPr>
          <w:rFonts w:cs="Arial"/>
        </w:rPr>
        <w:t xml:space="preserve"> Chemicals (GHS). </w:t>
      </w:r>
    </w:p>
    <w:p w14:paraId="2DD7AF18" w14:textId="77777777" w:rsidR="008A5CE9" w:rsidRPr="00D612D8" w:rsidRDefault="008A5CE9" w:rsidP="008A5CE9">
      <w:pPr>
        <w:rPr>
          <w:rFonts w:cs="Arial"/>
        </w:rPr>
      </w:pPr>
      <w:r w:rsidRPr="00D612D8">
        <w:rPr>
          <w:rFonts w:cs="Arial"/>
        </w:rPr>
        <w:t>Not classified as a skin</w:t>
      </w:r>
      <w:r w:rsidR="00411B20">
        <w:rPr>
          <w:rFonts w:cs="Arial"/>
        </w:rPr>
        <w:t xml:space="preserve"> sensitiser</w:t>
      </w:r>
      <w:r w:rsidRPr="00D612D8">
        <w:rPr>
          <w:rFonts w:cs="Arial"/>
        </w:rPr>
        <w:t xml:space="preserve"> or respiratory sensitiser according to the GHS.</w:t>
      </w:r>
    </w:p>
    <w:p w14:paraId="4664F047" w14:textId="718D7A2F" w:rsidR="0025734A" w:rsidRPr="004C23F4" w:rsidRDefault="007511E2" w:rsidP="008A5CE9">
      <w:pPr>
        <w:rPr>
          <w:rFonts w:cs="Arial"/>
        </w:rPr>
      </w:pPr>
      <w:r>
        <w:rPr>
          <w:rFonts w:cs="Arial"/>
        </w:rPr>
        <w:t>There are i</w:t>
      </w:r>
      <w:r w:rsidR="008A5CE9" w:rsidRPr="00D612D8">
        <w:rPr>
          <w:rFonts w:cs="Arial"/>
        </w:rPr>
        <w:t xml:space="preserve">nsufficient </w:t>
      </w:r>
      <w:r w:rsidR="00411B20">
        <w:rPr>
          <w:rFonts w:cs="Arial"/>
        </w:rPr>
        <w:t>data</w:t>
      </w:r>
      <w:r w:rsidR="008A5CE9" w:rsidRPr="00D612D8">
        <w:rPr>
          <w:rFonts w:cs="Arial"/>
        </w:rPr>
        <w:t xml:space="preserve"> to recommend a skin notation.</w:t>
      </w:r>
    </w:p>
    <w:p w14:paraId="2962B55A"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4AD4043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2B215CF"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7DB6E4F5" w14:textId="77777777" w:rsidTr="006356F7">
        <w:trPr>
          <w:gridAfter w:val="1"/>
          <w:wAfter w:w="8" w:type="pct"/>
          <w:trHeight w:val="393"/>
          <w:tblHeader/>
        </w:trPr>
        <w:tc>
          <w:tcPr>
            <w:tcW w:w="4992" w:type="pct"/>
            <w:shd w:val="clear" w:color="auto" w:fill="BFBFBF" w:themeFill="background1" w:themeFillShade="BF"/>
            <w:vAlign w:val="center"/>
          </w:tcPr>
          <w:p w14:paraId="44FB74A6"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60CED0D" w14:textId="77777777" w:rsidTr="006356F7">
        <w:tc>
          <w:tcPr>
            <w:tcW w:w="5000" w:type="pct"/>
            <w:gridSpan w:val="2"/>
            <w:shd w:val="clear" w:color="auto" w:fill="F2F2F2" w:themeFill="background1" w:themeFillShade="F2"/>
          </w:tcPr>
          <w:p w14:paraId="6C7A9758"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2A2EF8">
                  <w:t>1991</w:t>
                </w:r>
              </w:sdtContent>
            </w:sdt>
            <w:r w:rsidRPr="003365A5">
              <w:tab/>
            </w:r>
            <w:r>
              <w:tab/>
            </w:r>
            <w:sdt>
              <w:sdtPr>
                <w:alias w:val="SWA WES"/>
                <w:tag w:val="SWA WES"/>
                <w:id w:val="857077202"/>
                <w:placeholder>
                  <w:docPart w:val="81CFEC2FDBC5451289F394E66D92D1A0"/>
                </w:placeholder>
              </w:sdtPr>
              <w:sdtContent>
                <w:r w:rsidR="00F51773">
                  <w:t xml:space="preserve">TWA: </w:t>
                </w:r>
                <w:r w:rsidR="00DB5371">
                  <w:t>0.2 mg/m</w:t>
                </w:r>
                <w:r w:rsidR="00DB5371" w:rsidRPr="00DB5371">
                  <w:rPr>
                    <w:vertAlign w:val="superscript"/>
                  </w:rPr>
                  <w:t>3</w:t>
                </w:r>
              </w:sdtContent>
            </w:sdt>
          </w:p>
        </w:tc>
      </w:tr>
      <w:tr w:rsidR="00C978F0" w:rsidRPr="00DA352E" w14:paraId="6E96663E" w14:textId="77777777" w:rsidTr="006356F7">
        <w:trPr>
          <w:gridAfter w:val="1"/>
          <w:wAfter w:w="8" w:type="pct"/>
        </w:trPr>
        <w:tc>
          <w:tcPr>
            <w:tcW w:w="4992" w:type="pct"/>
          </w:tcPr>
          <w:p w14:paraId="28EEDCB9" w14:textId="77777777" w:rsidR="00C978F0" w:rsidRPr="00DA352E" w:rsidRDefault="00C978F0" w:rsidP="003365A5">
            <w:pPr>
              <w:pStyle w:val="Tabletextprimarysource"/>
            </w:pPr>
          </w:p>
        </w:tc>
      </w:tr>
      <w:tr w:rsidR="00C978F0" w:rsidRPr="00DA352E" w14:paraId="36B33F90" w14:textId="77777777" w:rsidTr="006356F7">
        <w:trPr>
          <w:gridAfter w:val="1"/>
          <w:wAfter w:w="8" w:type="pct"/>
        </w:trPr>
        <w:tc>
          <w:tcPr>
            <w:tcW w:w="4992" w:type="pct"/>
            <w:shd w:val="clear" w:color="auto" w:fill="F2F2F2" w:themeFill="background1" w:themeFillShade="F2"/>
          </w:tcPr>
          <w:p w14:paraId="1ADD4BD7" w14:textId="5B5B8F29" w:rsidR="00C978F0" w:rsidRPr="00DA352E" w:rsidRDefault="00DA352E" w:rsidP="00097CED">
            <w:pPr>
              <w:pStyle w:val="Tablerowheadingitalic"/>
              <w:tabs>
                <w:tab w:val="clear" w:pos="2268"/>
                <w:tab w:val="clear" w:pos="5670"/>
                <w:tab w:val="left" w:pos="1418"/>
                <w:tab w:val="left" w:pos="2552"/>
              </w:tabs>
              <w:ind w:left="2857" w:hanging="2857"/>
            </w:pPr>
            <w:r w:rsidRPr="00DA352E">
              <w:t>ACGIH</w:t>
            </w:r>
            <w:r w:rsidR="00916EC0">
              <w:t xml:space="preserve"> </w:t>
            </w:r>
            <w:r w:rsidR="00916EC0" w:rsidRPr="003365A5">
              <w:tab/>
            </w:r>
            <w:sdt>
              <w:sdtPr>
                <w:id w:val="444816450"/>
                <w:placeholder>
                  <w:docPart w:val="C8FBF9621EB94FE084F687C8955AF85F"/>
                </w:placeholder>
                <w:text/>
              </w:sdtPr>
              <w:sdtContent>
                <w:r w:rsidR="00F301AA">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F51773">
                  <w:t>TLV-TWA: 0.2 mg/m</w:t>
                </w:r>
                <w:r w:rsidR="00F51773" w:rsidRPr="00F51773">
                  <w:rPr>
                    <w:vertAlign w:val="superscript"/>
                  </w:rPr>
                  <w:t>3</w:t>
                </w:r>
                <w:r w:rsidR="00F301AA">
                  <w:t xml:space="preserve"> (Fume as Cu); </w:t>
                </w:r>
                <w:r w:rsidR="00C3054B">
                  <w:br/>
                </w:r>
                <w:r w:rsidR="00F301AA">
                  <w:t>TLV-TWA: 1 mg/m</w:t>
                </w:r>
                <w:r w:rsidR="00F301AA">
                  <w:rPr>
                    <w:vertAlign w:val="superscript"/>
                  </w:rPr>
                  <w:t>3</w:t>
                </w:r>
                <w:r w:rsidR="00F301AA">
                  <w:t xml:space="preserve"> (Dusts and Mists as Cu)</w:t>
                </w:r>
              </w:sdtContent>
            </w:sdt>
          </w:p>
        </w:tc>
      </w:tr>
      <w:tr w:rsidR="00C978F0" w:rsidRPr="00DA352E" w14:paraId="4056B568" w14:textId="77777777" w:rsidTr="006356F7">
        <w:trPr>
          <w:gridAfter w:val="1"/>
          <w:wAfter w:w="8" w:type="pct"/>
        </w:trPr>
        <w:tc>
          <w:tcPr>
            <w:tcW w:w="4992" w:type="pct"/>
          </w:tcPr>
          <w:p w14:paraId="159A4398" w14:textId="77777777" w:rsidR="00C978F0" w:rsidRDefault="00F301AA" w:rsidP="003365A5">
            <w:pPr>
              <w:pStyle w:val="Tabletextprimarysource"/>
            </w:pPr>
            <w:r>
              <w:t>TLV-TWAs recommended to minimise the potential for irritant effects and systemic effects similar to metal fume fever.</w:t>
            </w:r>
          </w:p>
          <w:p w14:paraId="5A1FCE3F" w14:textId="77777777" w:rsidR="00F301AA" w:rsidRDefault="00F301AA" w:rsidP="003365A5">
            <w:pPr>
              <w:pStyle w:val="Tabletextprimarysource"/>
            </w:pPr>
            <w:r>
              <w:t>Summary of data:</w:t>
            </w:r>
          </w:p>
          <w:p w14:paraId="33C794AA" w14:textId="7CD89E27" w:rsidR="00944D9D" w:rsidRDefault="00944D9D" w:rsidP="003365A5">
            <w:pPr>
              <w:pStyle w:val="Tabletextprimarysource"/>
            </w:pPr>
            <w:r>
              <w:t>Fumes are considered the primary exposure consideration in relation to health effects.</w:t>
            </w:r>
          </w:p>
          <w:p w14:paraId="0A9EFAC1" w14:textId="77777777" w:rsidR="00944D9D" w:rsidRDefault="00944D9D" w:rsidP="003365A5">
            <w:pPr>
              <w:pStyle w:val="Tabletextprimarysource"/>
            </w:pPr>
            <w:r>
              <w:t>Human data:</w:t>
            </w:r>
          </w:p>
          <w:p w14:paraId="10066C0C" w14:textId="4EAC085C" w:rsidR="00944D9D" w:rsidRDefault="00CB731C" w:rsidP="005B2809">
            <w:pPr>
              <w:pStyle w:val="ListBullet"/>
              <w:numPr>
                <w:ilvl w:val="0"/>
                <w:numId w:val="1"/>
              </w:numPr>
              <w:spacing w:before="60" w:after="60"/>
              <w:ind w:left="714" w:hanging="357"/>
              <w:contextualSpacing w:val="0"/>
            </w:pPr>
            <w:r>
              <w:t>H</w:t>
            </w:r>
            <w:r w:rsidR="00190ADE">
              <w:t xml:space="preserve">ealth effects from Cu fumes </w:t>
            </w:r>
            <w:r>
              <w:t xml:space="preserve">reported </w:t>
            </w:r>
            <w:r w:rsidR="00190ADE">
              <w:t>as</w:t>
            </w:r>
            <w:r>
              <w:t xml:space="preserve"> </w:t>
            </w:r>
            <w:r w:rsidR="00190ADE">
              <w:t>irritation of the upper respiratory tract, metallic or sweet taste sensation, nausea, metal fume fever and in some occurrences, discoloration of the skin and hair</w:t>
            </w:r>
          </w:p>
          <w:p w14:paraId="616BC919" w14:textId="46361555" w:rsidR="00B82D7A" w:rsidRDefault="005B2809" w:rsidP="005B2809">
            <w:pPr>
              <w:pStyle w:val="ListBullet"/>
              <w:numPr>
                <w:ilvl w:val="0"/>
                <w:numId w:val="1"/>
              </w:numPr>
              <w:spacing w:before="60" w:after="60"/>
              <w:ind w:left="714" w:hanging="357"/>
              <w:contextualSpacing w:val="0"/>
            </w:pPr>
            <w:r>
              <w:t>N</w:t>
            </w:r>
            <w:r w:rsidR="00B82D7A">
              <w:t>o adverse effects resulting from exposure to 0.4</w:t>
            </w:r>
            <w:r w:rsidR="006B6262">
              <w:t> </w:t>
            </w:r>
            <w:r w:rsidR="00B82D7A">
              <w:t>mg/m</w:t>
            </w:r>
            <w:r w:rsidR="00B82D7A" w:rsidRPr="00D46765">
              <w:rPr>
                <w:vertAlign w:val="superscript"/>
              </w:rPr>
              <w:t>3</w:t>
            </w:r>
            <w:r w:rsidR="00B82D7A">
              <w:t xml:space="preserve"> Cu fumes (</w:t>
            </w:r>
            <w:r>
              <w:t>industry experience in UK</w:t>
            </w:r>
            <w:r w:rsidR="00EB62C7">
              <w:t>)</w:t>
            </w:r>
          </w:p>
          <w:p w14:paraId="3A3A20C2" w14:textId="5963DC30" w:rsidR="00AE1A59" w:rsidRDefault="00B82D7A" w:rsidP="005B2809">
            <w:pPr>
              <w:pStyle w:val="ListBullet"/>
              <w:numPr>
                <w:ilvl w:val="0"/>
                <w:numId w:val="1"/>
              </w:numPr>
              <w:spacing w:before="60" w:after="60"/>
              <w:ind w:left="714" w:hanging="357"/>
              <w:contextualSpacing w:val="0"/>
            </w:pPr>
            <w:r>
              <w:t>Short-term exposure to 1</w:t>
            </w:r>
            <w:r w:rsidR="00411B20">
              <w:t>–</w:t>
            </w:r>
            <w:r>
              <w:t>3 mg/m</w:t>
            </w:r>
            <w:r w:rsidRPr="00D46765">
              <w:rPr>
                <w:vertAlign w:val="superscript"/>
              </w:rPr>
              <w:t>3</w:t>
            </w:r>
            <w:r>
              <w:t xml:space="preserve"> Cu welding fume resulted in altered taste</w:t>
            </w:r>
            <w:r w:rsidR="005B2809">
              <w:t xml:space="preserve"> and</w:t>
            </w:r>
            <w:r>
              <w:t xml:space="preserve"> no nausea</w:t>
            </w:r>
            <w:r w:rsidR="00EB62C7">
              <w:t xml:space="preserve"> </w:t>
            </w:r>
          </w:p>
          <w:p w14:paraId="7F0E9B85" w14:textId="31D0FF4B" w:rsidR="00B82D7A" w:rsidRDefault="00570D38" w:rsidP="005B2809">
            <w:pPr>
              <w:pStyle w:val="ListBullet"/>
              <w:numPr>
                <w:ilvl w:val="0"/>
                <w:numId w:val="1"/>
              </w:numPr>
              <w:spacing w:before="60" w:after="60"/>
              <w:ind w:left="714" w:hanging="357"/>
              <w:contextualSpacing w:val="0"/>
            </w:pPr>
            <w:r>
              <w:t xml:space="preserve">No </w:t>
            </w:r>
            <w:r w:rsidR="00EB62C7">
              <w:t>complaints</w:t>
            </w:r>
            <w:r>
              <w:t xml:space="preserve"> </w:t>
            </w:r>
            <w:r w:rsidR="002F4DFC">
              <w:t xml:space="preserve">reported </w:t>
            </w:r>
            <w:r>
              <w:t>at concentrations of 0.02–0.4 mg/m</w:t>
            </w:r>
            <w:r w:rsidRPr="00D46765">
              <w:rPr>
                <w:vertAlign w:val="superscript"/>
              </w:rPr>
              <w:t>3</w:t>
            </w:r>
            <w:r w:rsidR="00EB62C7">
              <w:t xml:space="preserve"> (no further information provided)</w:t>
            </w:r>
          </w:p>
          <w:p w14:paraId="6E713C8B" w14:textId="77777777" w:rsidR="00CB731C" w:rsidRDefault="00CB731C" w:rsidP="005B2809">
            <w:pPr>
              <w:pStyle w:val="ListBullet"/>
              <w:numPr>
                <w:ilvl w:val="0"/>
                <w:numId w:val="1"/>
              </w:numPr>
              <w:spacing w:before="60" w:after="60"/>
              <w:ind w:left="714" w:hanging="357"/>
              <w:contextualSpacing w:val="0"/>
            </w:pPr>
            <w:r>
              <w:t>Concentrations of metal Cu dust in the order of 0.1 mg/m</w:t>
            </w:r>
            <w:r w:rsidRPr="005B2809">
              <w:rPr>
                <w:vertAlign w:val="superscript"/>
              </w:rPr>
              <w:t>3</w:t>
            </w:r>
            <w:r>
              <w:t xml:space="preserve"> reported to be associated with condition similar to metal fume fever (no further information provided)</w:t>
            </w:r>
          </w:p>
          <w:p w14:paraId="092C8AD3" w14:textId="4A9802AF" w:rsidR="00B90865" w:rsidRDefault="00B90865" w:rsidP="005B2809">
            <w:pPr>
              <w:pStyle w:val="ListBullet"/>
              <w:numPr>
                <w:ilvl w:val="0"/>
                <w:numId w:val="1"/>
              </w:numPr>
              <w:spacing w:before="60" w:after="60"/>
              <w:ind w:left="714" w:hanging="357"/>
              <w:contextualSpacing w:val="0"/>
            </w:pPr>
            <w:r>
              <w:t>Exposure to Cu salts as dust or mist can cause can result in irritation of nasal mucous membranes, sometimes of the pharynx and on occasion, ulceration with perforation of the nasal septum</w:t>
            </w:r>
          </w:p>
          <w:p w14:paraId="0CD66A8A" w14:textId="77777777" w:rsidR="001A49CC" w:rsidRDefault="00B82D7A" w:rsidP="005B2809">
            <w:pPr>
              <w:pStyle w:val="ListBullet"/>
              <w:numPr>
                <w:ilvl w:val="0"/>
                <w:numId w:val="1"/>
              </w:numPr>
              <w:spacing w:before="60" w:after="60"/>
              <w:ind w:left="714" w:hanging="357"/>
              <w:contextualSpacing w:val="0"/>
            </w:pPr>
            <w:r>
              <w:t>Cu salts act as irritants on eyes and skin</w:t>
            </w:r>
            <w:r w:rsidR="00A32004">
              <w:t>.</w:t>
            </w:r>
          </w:p>
          <w:p w14:paraId="628E177B" w14:textId="77777777" w:rsidR="00425809" w:rsidRDefault="00425809" w:rsidP="00EB552C">
            <w:pPr>
              <w:pStyle w:val="Tabletextprimarysource"/>
            </w:pPr>
          </w:p>
          <w:p w14:paraId="18C1F837" w14:textId="4A20ACB2" w:rsidR="00EB552C" w:rsidRDefault="00EB552C" w:rsidP="00EB552C">
            <w:pPr>
              <w:pStyle w:val="Tabletextprimarysource"/>
            </w:pPr>
            <w:r>
              <w:t>No animal data presented</w:t>
            </w:r>
            <w:r w:rsidR="00A32004">
              <w:t>.</w:t>
            </w:r>
            <w:r>
              <w:t xml:space="preserve"> </w:t>
            </w:r>
          </w:p>
          <w:p w14:paraId="645C25C7" w14:textId="77777777" w:rsidR="00EB552C" w:rsidRDefault="00EB552C" w:rsidP="00EB552C">
            <w:pPr>
              <w:pStyle w:val="Tabletextprimarysource"/>
            </w:pPr>
            <w:r>
              <w:t>Insufficient data to recommend a skin, sensitiser or carcinogen notation.</w:t>
            </w:r>
          </w:p>
          <w:p w14:paraId="3E222E4A" w14:textId="77777777" w:rsidR="00411B20" w:rsidRPr="00DA352E" w:rsidRDefault="00411B20" w:rsidP="00EB552C">
            <w:pPr>
              <w:pStyle w:val="Tabletextprimarysource"/>
            </w:pPr>
          </w:p>
        </w:tc>
      </w:tr>
      <w:tr w:rsidR="00C978F0" w:rsidRPr="00DA352E" w14:paraId="41E41BB3" w14:textId="77777777" w:rsidTr="006356F7">
        <w:trPr>
          <w:gridAfter w:val="1"/>
          <w:wAfter w:w="8" w:type="pct"/>
        </w:trPr>
        <w:tc>
          <w:tcPr>
            <w:tcW w:w="4992" w:type="pct"/>
            <w:shd w:val="clear" w:color="auto" w:fill="F2F2F2" w:themeFill="background1" w:themeFillShade="F2"/>
          </w:tcPr>
          <w:p w14:paraId="597A3F88"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Content>
                <w:r w:rsidR="00F51773">
                  <w:t>2015</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425367">
                  <w:t xml:space="preserve">MAK: </w:t>
                </w:r>
                <w:r w:rsidR="00F301AA">
                  <w:t>0.01 mg/m</w:t>
                </w:r>
                <w:r w:rsidR="00F301AA">
                  <w:rPr>
                    <w:vertAlign w:val="superscript"/>
                  </w:rPr>
                  <w:t>3</w:t>
                </w:r>
                <w:r w:rsidR="00F301AA">
                  <w:t xml:space="preserve"> (respirable fraction)</w:t>
                </w:r>
              </w:sdtContent>
            </w:sdt>
          </w:p>
        </w:tc>
      </w:tr>
      <w:tr w:rsidR="00C978F0" w:rsidRPr="00DA352E" w14:paraId="0C3A5947" w14:textId="77777777" w:rsidTr="006356F7">
        <w:trPr>
          <w:gridAfter w:val="1"/>
          <w:wAfter w:w="8" w:type="pct"/>
        </w:trPr>
        <w:tc>
          <w:tcPr>
            <w:tcW w:w="4992" w:type="pct"/>
          </w:tcPr>
          <w:p w14:paraId="67076CF4" w14:textId="4C88FC2C" w:rsidR="000E5567" w:rsidRDefault="000E5567" w:rsidP="005B2809">
            <w:pPr>
              <w:pStyle w:val="ListBullet"/>
            </w:pPr>
            <w:r>
              <w:t>MAK recommended to protect for local effects on the respiratory tract in exposed workers.</w:t>
            </w:r>
          </w:p>
          <w:p w14:paraId="3E3F143A" w14:textId="77777777" w:rsidR="00D46765" w:rsidRDefault="00D46765" w:rsidP="005B2809">
            <w:pPr>
              <w:pStyle w:val="ListBullet"/>
            </w:pPr>
          </w:p>
          <w:p w14:paraId="22EBBF0F" w14:textId="77777777" w:rsidR="000E5567" w:rsidRDefault="000E5567" w:rsidP="005B2809">
            <w:pPr>
              <w:pStyle w:val="ListBullet"/>
            </w:pPr>
            <w:r>
              <w:t>Summary of additional data:</w:t>
            </w:r>
          </w:p>
          <w:p w14:paraId="0FADB399" w14:textId="4AC963CC" w:rsidR="00D46765" w:rsidRDefault="000E5567" w:rsidP="005B2809">
            <w:pPr>
              <w:pStyle w:val="ListBullet"/>
              <w:numPr>
                <w:ilvl w:val="0"/>
                <w:numId w:val="1"/>
              </w:numPr>
              <w:spacing w:before="60" w:after="60"/>
              <w:ind w:left="714" w:hanging="357"/>
              <w:contextualSpacing w:val="0"/>
            </w:pPr>
            <w:r>
              <w:t xml:space="preserve">A repeated exposure study in workers report influenza-like symptoms after exposure </w:t>
            </w:r>
          </w:p>
          <w:p w14:paraId="2C0E8CB5" w14:textId="715EC923" w:rsidR="005B2809" w:rsidRDefault="000E5567" w:rsidP="005B2809">
            <w:pPr>
              <w:pStyle w:val="ListBullet"/>
              <w:numPr>
                <w:ilvl w:val="0"/>
                <w:numId w:val="1"/>
              </w:numPr>
              <w:spacing w:before="60" w:after="60"/>
              <w:ind w:left="714" w:hanging="357"/>
              <w:contextualSpacing w:val="0"/>
            </w:pPr>
            <w:r>
              <w:t>0.12</w:t>
            </w:r>
            <w:r w:rsidR="00D46765">
              <w:t>–</w:t>
            </w:r>
            <w:r>
              <w:t>0.36</w:t>
            </w:r>
            <w:r w:rsidR="00D46765">
              <w:t> </w:t>
            </w:r>
            <w:r>
              <w:t>mg/m</w:t>
            </w:r>
            <w:r w:rsidRPr="00D46765">
              <w:rPr>
                <w:vertAlign w:val="superscript"/>
              </w:rPr>
              <w:t>3</w:t>
            </w:r>
            <w:r>
              <w:t xml:space="preserve"> of fine metallic Cu</w:t>
            </w:r>
          </w:p>
          <w:p w14:paraId="7F7A000F" w14:textId="20E23465" w:rsidR="005B2809" w:rsidRDefault="009A4D4C" w:rsidP="005B2809">
            <w:pPr>
              <w:pStyle w:val="ListBullet"/>
              <w:numPr>
                <w:ilvl w:val="0"/>
                <w:numId w:val="3"/>
              </w:numPr>
              <w:spacing w:before="60" w:after="60"/>
              <w:ind w:left="1014"/>
              <w:contextualSpacing w:val="0"/>
            </w:pPr>
            <w:r>
              <w:t>NOAEC of</w:t>
            </w:r>
            <w:r w:rsidR="000E5567">
              <w:t xml:space="preserve"> 0.008 </w:t>
            </w:r>
            <w:r w:rsidR="005B2809" w:rsidRPr="005B2809">
              <w:rPr>
                <w:rFonts w:cs="Arial"/>
              </w:rPr>
              <w:t>mg/m</w:t>
            </w:r>
            <w:r w:rsidR="005B2809" w:rsidRPr="005B2809">
              <w:rPr>
                <w:rFonts w:cs="Arial"/>
                <w:sz w:val="22"/>
                <w:vertAlign w:val="superscript"/>
              </w:rPr>
              <w:t>3</w:t>
            </w:r>
          </w:p>
          <w:p w14:paraId="490D63F0" w14:textId="3596826A" w:rsidR="000E5567" w:rsidRDefault="000E5567" w:rsidP="005B2809">
            <w:pPr>
              <w:pStyle w:val="ListBullet"/>
              <w:numPr>
                <w:ilvl w:val="0"/>
                <w:numId w:val="3"/>
              </w:numPr>
              <w:spacing w:before="60" w:after="60"/>
              <w:ind w:left="1014"/>
              <w:contextualSpacing w:val="0"/>
            </w:pPr>
            <w:r>
              <w:t>study considered to be insufficiently documented</w:t>
            </w:r>
          </w:p>
          <w:p w14:paraId="21BFBE96" w14:textId="01B7C825" w:rsidR="000E5567" w:rsidRDefault="000E5567" w:rsidP="005B2809">
            <w:pPr>
              <w:pStyle w:val="ListBullet"/>
              <w:numPr>
                <w:ilvl w:val="0"/>
                <w:numId w:val="1"/>
              </w:numPr>
              <w:spacing w:before="60" w:after="60"/>
              <w:ind w:left="714" w:hanging="357"/>
              <w:contextualSpacing w:val="0"/>
            </w:pPr>
            <w:r>
              <w:t xml:space="preserve">LOAEC </w:t>
            </w:r>
            <w:r w:rsidR="009E4265">
              <w:t>of 0.2 mg/m</w:t>
            </w:r>
            <w:r w:rsidR="009E4265" w:rsidRPr="00D46765">
              <w:rPr>
                <w:vertAlign w:val="superscript"/>
              </w:rPr>
              <w:t>3</w:t>
            </w:r>
            <w:r w:rsidR="009E4265">
              <w:t xml:space="preserve"> </w:t>
            </w:r>
            <w:r>
              <w:t xml:space="preserve">in rats </w:t>
            </w:r>
            <w:r w:rsidR="009E4265">
              <w:t xml:space="preserve">for </w:t>
            </w:r>
            <w:r>
              <w:t>marked inflammatory reactions in the lungs</w:t>
            </w:r>
            <w:r w:rsidR="007016D1">
              <w:t xml:space="preserve"> </w:t>
            </w:r>
            <w:r w:rsidR="009E4265">
              <w:t xml:space="preserve">(rats, inhalation, </w:t>
            </w:r>
            <w:r>
              <w:t xml:space="preserve">4 wk </w:t>
            </w:r>
            <w:r w:rsidR="009E4265">
              <w:t>)</w:t>
            </w:r>
          </w:p>
          <w:p w14:paraId="6EDFF270" w14:textId="7803132E" w:rsidR="003C289A" w:rsidRDefault="007016D1" w:rsidP="005B2809">
            <w:pPr>
              <w:pStyle w:val="ListBullet"/>
              <w:spacing w:before="60" w:after="60"/>
              <w:contextualSpacing w:val="0"/>
            </w:pPr>
            <w:r>
              <w:t>Derived a N</w:t>
            </w:r>
            <w:r w:rsidR="00C3054B">
              <w:t>O</w:t>
            </w:r>
            <w:r>
              <w:t>AEC of 0.067 mg/m</w:t>
            </w:r>
            <w:r w:rsidRPr="00D46765">
              <w:rPr>
                <w:vertAlign w:val="superscript"/>
              </w:rPr>
              <w:t>3</w:t>
            </w:r>
            <w:r>
              <w:t xml:space="preserve"> b</w:t>
            </w:r>
            <w:r w:rsidR="00184D96">
              <w:t>y applying a factor of 3 to</w:t>
            </w:r>
            <w:r w:rsidR="000E5567">
              <w:t xml:space="preserve"> the LOAEC in rats</w:t>
            </w:r>
          </w:p>
          <w:p w14:paraId="6FE72245" w14:textId="145FA0AA" w:rsidR="003C289A" w:rsidRDefault="00184D96" w:rsidP="005B2809">
            <w:pPr>
              <w:pStyle w:val="ListBullet"/>
              <w:spacing w:before="60" w:after="60"/>
              <w:contextualSpacing w:val="0"/>
            </w:pPr>
            <w:r>
              <w:t>A human equivalent concentration of 0.012 mg/m</w:t>
            </w:r>
            <w:r w:rsidRPr="00D46765">
              <w:rPr>
                <w:vertAlign w:val="superscript"/>
              </w:rPr>
              <w:t xml:space="preserve">3 </w:t>
            </w:r>
            <w:r w:rsidRPr="00184D96">
              <w:t>is then estimated b</w:t>
            </w:r>
            <w:r w:rsidR="00425367" w:rsidRPr="00184D96">
              <w:t>ased</w:t>
            </w:r>
            <w:r w:rsidR="00425367">
              <w:t xml:space="preserve"> on </w:t>
            </w:r>
            <w:r>
              <w:t xml:space="preserve">a </w:t>
            </w:r>
            <w:r w:rsidR="00425367">
              <w:t xml:space="preserve">retained particle doses </w:t>
            </w:r>
            <w:r>
              <w:t>model comparison</w:t>
            </w:r>
            <w:r w:rsidR="00425367">
              <w:t xml:space="preserve"> between humans and rats</w:t>
            </w:r>
          </w:p>
          <w:p w14:paraId="40976CEB" w14:textId="380BB765" w:rsidR="00411B20" w:rsidRPr="00DA352E" w:rsidRDefault="00425367" w:rsidP="00C3054B">
            <w:pPr>
              <w:pStyle w:val="ListBullet"/>
              <w:spacing w:before="60" w:after="60"/>
              <w:contextualSpacing w:val="0"/>
            </w:pPr>
            <w:r>
              <w:t>The TWA is considered protective and is supported by the evidence in humans.</w:t>
            </w:r>
          </w:p>
        </w:tc>
      </w:tr>
      <w:tr w:rsidR="00C978F0" w:rsidRPr="00DA352E" w14:paraId="7E2EA2AA" w14:textId="77777777" w:rsidTr="006356F7">
        <w:trPr>
          <w:gridAfter w:val="1"/>
          <w:wAfter w:w="8" w:type="pct"/>
        </w:trPr>
        <w:tc>
          <w:tcPr>
            <w:tcW w:w="4992" w:type="pct"/>
            <w:shd w:val="clear" w:color="auto" w:fill="F2F2F2" w:themeFill="background1" w:themeFillShade="F2"/>
          </w:tcPr>
          <w:p w14:paraId="357FAD78"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Content>
                <w:r w:rsidR="000D4E8D">
                  <w:t>2014</w:t>
                </w:r>
              </w:sdtContent>
            </w:sdt>
            <w:r w:rsidR="00916EC0" w:rsidRPr="003365A5">
              <w:tab/>
            </w:r>
            <w:r w:rsidR="0051509C">
              <w:tab/>
            </w:r>
            <w:sdt>
              <w:sdtPr>
                <w:alias w:val="SCOEL WES equivalent"/>
                <w:tag w:val="SCOEL WES equivalent"/>
                <w:id w:val="-1474213062"/>
                <w:placeholder>
                  <w:docPart w:val="9E827C9D0DA949E385F2E9AB4264125E"/>
                </w:placeholder>
              </w:sdtPr>
              <w:sdtContent>
                <w:r w:rsidR="00425367">
                  <w:t xml:space="preserve">TWA: </w:t>
                </w:r>
                <w:r w:rsidR="000D4E8D">
                  <w:t>0.01 mg/m</w:t>
                </w:r>
                <w:r w:rsidR="000D4E8D" w:rsidRPr="000D4E8D">
                  <w:rPr>
                    <w:vertAlign w:val="superscript"/>
                  </w:rPr>
                  <w:t>3</w:t>
                </w:r>
                <w:r w:rsidR="000D4E8D">
                  <w:t xml:space="preserve"> (respirable fraction)</w:t>
                </w:r>
              </w:sdtContent>
            </w:sdt>
          </w:p>
        </w:tc>
      </w:tr>
      <w:tr w:rsidR="00C978F0" w:rsidRPr="00DA352E" w14:paraId="66238332" w14:textId="77777777" w:rsidTr="006356F7">
        <w:trPr>
          <w:gridAfter w:val="1"/>
          <w:wAfter w:w="8" w:type="pct"/>
        </w:trPr>
        <w:tc>
          <w:tcPr>
            <w:tcW w:w="4992" w:type="pct"/>
          </w:tcPr>
          <w:p w14:paraId="5E235E4C" w14:textId="77777777" w:rsidR="00C978F0" w:rsidRDefault="00206E8C" w:rsidP="003365A5">
            <w:pPr>
              <w:pStyle w:val="Tabletextprimarysource"/>
            </w:pPr>
            <w:r>
              <w:t>TWA recommended to protect for local action on the respiratory tract</w:t>
            </w:r>
            <w:r w:rsidR="00F03B46">
              <w:t xml:space="preserve"> including immunosuppression attributable to disturbance of alveolar macrophage function.</w:t>
            </w:r>
          </w:p>
          <w:p w14:paraId="0DE58445" w14:textId="77777777" w:rsidR="00F03B46" w:rsidRDefault="00F03B46" w:rsidP="003365A5">
            <w:pPr>
              <w:pStyle w:val="Tabletextprimarysource"/>
            </w:pPr>
            <w:r>
              <w:t>Summary of additional data:</w:t>
            </w:r>
          </w:p>
          <w:p w14:paraId="39100BCE" w14:textId="10E77604" w:rsidR="00F03B46" w:rsidRDefault="00F2506A" w:rsidP="005B2809">
            <w:pPr>
              <w:pStyle w:val="ListBullet"/>
              <w:numPr>
                <w:ilvl w:val="0"/>
                <w:numId w:val="1"/>
              </w:numPr>
              <w:spacing w:before="60" w:after="60"/>
              <w:ind w:left="714" w:hanging="357"/>
              <w:contextualSpacing w:val="0"/>
            </w:pPr>
            <w:r>
              <w:t>NOAEC of 0.13 mg/m</w:t>
            </w:r>
            <w:r w:rsidRPr="00D46765">
              <w:rPr>
                <w:vertAlign w:val="superscript"/>
              </w:rPr>
              <w:t xml:space="preserve">3 </w:t>
            </w:r>
            <w:r w:rsidR="005B2809">
              <w:t>CuSO</w:t>
            </w:r>
            <w:r w:rsidR="005B2809" w:rsidRPr="005B2809">
              <w:rPr>
                <w:vertAlign w:val="subscript"/>
              </w:rPr>
              <w:t>4</w:t>
            </w:r>
            <w:r w:rsidRPr="00D46765">
              <w:rPr>
                <w:vertAlign w:val="superscript"/>
              </w:rPr>
              <w:t xml:space="preserve"> </w:t>
            </w:r>
            <w:r>
              <w:t xml:space="preserve">in hamsters for </w:t>
            </w:r>
            <w:r w:rsidRPr="00F2506A">
              <w:t>dose</w:t>
            </w:r>
            <w:r w:rsidR="007715D8">
              <w:t>-</w:t>
            </w:r>
            <w:r w:rsidRPr="00F2506A">
              <w:t>dependent decrease of the endocytotic capacity of lung macrophages</w:t>
            </w:r>
            <w:r>
              <w:t>; single 4 h dose</w:t>
            </w:r>
          </w:p>
          <w:p w14:paraId="44AEA51D" w14:textId="77777777" w:rsidR="005B2809" w:rsidRDefault="00F2506A" w:rsidP="005B2809">
            <w:pPr>
              <w:pStyle w:val="ListBullet"/>
              <w:numPr>
                <w:ilvl w:val="0"/>
                <w:numId w:val="3"/>
              </w:numPr>
              <w:spacing w:before="60" w:after="60"/>
              <w:ind w:left="1014"/>
              <w:contextualSpacing w:val="0"/>
            </w:pPr>
            <w:r>
              <w:t>LOAEC of 0.17 mg/m</w:t>
            </w:r>
            <w:r w:rsidRPr="00D46765">
              <w:rPr>
                <w:vertAlign w:val="superscript"/>
              </w:rPr>
              <w:t>3</w:t>
            </w:r>
            <w:r>
              <w:t xml:space="preserve"> in rats (same study as DFG, 2015)</w:t>
            </w:r>
          </w:p>
          <w:p w14:paraId="5ED6C4B8" w14:textId="3F815BC7" w:rsidR="005B2809" w:rsidRDefault="00F2506A" w:rsidP="005B2809">
            <w:pPr>
              <w:pStyle w:val="ListBullet"/>
              <w:numPr>
                <w:ilvl w:val="0"/>
                <w:numId w:val="1"/>
              </w:numPr>
              <w:spacing w:before="60" w:after="60"/>
              <w:ind w:left="714" w:hanging="357"/>
              <w:contextualSpacing w:val="0"/>
            </w:pPr>
            <w:r>
              <w:t>NOAEC in rats calculated as 0.067</w:t>
            </w:r>
            <w:r w:rsidR="00460710">
              <w:t> </w:t>
            </w:r>
            <w:r>
              <w:t>mg/m</w:t>
            </w:r>
            <w:r w:rsidRPr="00D46765">
              <w:rPr>
                <w:vertAlign w:val="superscript"/>
              </w:rPr>
              <w:t xml:space="preserve">3 </w:t>
            </w:r>
            <w:r>
              <w:t>(1/3 LOAEC)</w:t>
            </w:r>
          </w:p>
          <w:p w14:paraId="37A1B547" w14:textId="118EF0E1" w:rsidR="00F2506A" w:rsidRDefault="00F2506A" w:rsidP="005B2809">
            <w:pPr>
              <w:pStyle w:val="ListBullet"/>
              <w:numPr>
                <w:ilvl w:val="0"/>
                <w:numId w:val="3"/>
              </w:numPr>
              <w:spacing w:before="60" w:after="60"/>
              <w:ind w:left="1014"/>
              <w:contextualSpacing w:val="0"/>
            </w:pPr>
            <w:r>
              <w:t xml:space="preserve">human NOAEC </w:t>
            </w:r>
            <w:r w:rsidR="008F7464" w:rsidRPr="00D46765">
              <w:t>≡</w:t>
            </w:r>
            <w:r>
              <w:t>0.016 mg/m</w:t>
            </w:r>
            <w:r w:rsidRPr="00D46765">
              <w:rPr>
                <w:vertAlign w:val="superscript"/>
              </w:rPr>
              <w:t xml:space="preserve">3 </w:t>
            </w:r>
            <w:r w:rsidR="00425809">
              <w:t xml:space="preserve"> </w:t>
            </w:r>
            <w:r>
              <w:t>Cu</w:t>
            </w:r>
            <w:r w:rsidR="007715D8">
              <w:t xml:space="preserve"> using a Multiple-Path Particle Deposition model</w:t>
            </w:r>
          </w:p>
          <w:p w14:paraId="51B43DA8" w14:textId="77777777" w:rsidR="00F2506A" w:rsidRDefault="009A4D4C" w:rsidP="005B2809">
            <w:pPr>
              <w:pStyle w:val="ListBullet"/>
              <w:numPr>
                <w:ilvl w:val="0"/>
                <w:numId w:val="1"/>
              </w:numPr>
              <w:spacing w:before="60" w:after="60"/>
              <w:ind w:left="714" w:hanging="357"/>
              <w:contextualSpacing w:val="0"/>
            </w:pPr>
            <w:r>
              <w:t>TWA of 0.01 mg/m</w:t>
            </w:r>
            <w:r w:rsidRPr="00D46765">
              <w:rPr>
                <w:vertAlign w:val="superscript"/>
              </w:rPr>
              <w:t>3</w:t>
            </w:r>
            <w:r>
              <w:t xml:space="preserve"> is supported by the derived NOAEC (0.016 mg/m</w:t>
            </w:r>
            <w:r w:rsidRPr="00D46765">
              <w:rPr>
                <w:vertAlign w:val="superscript"/>
              </w:rPr>
              <w:t>3</w:t>
            </w:r>
            <w:r>
              <w:t>) and the human NOAEC of 0.008 mg/m</w:t>
            </w:r>
            <w:r w:rsidRPr="00D46765">
              <w:rPr>
                <w:vertAlign w:val="superscript"/>
              </w:rPr>
              <w:t>3</w:t>
            </w:r>
            <w:r>
              <w:t xml:space="preserve"> (DFG, 2015)</w:t>
            </w:r>
          </w:p>
          <w:p w14:paraId="0AAE4035" w14:textId="77777777" w:rsidR="009A4D4C" w:rsidRDefault="009A4D4C" w:rsidP="005B2809">
            <w:pPr>
              <w:pStyle w:val="ListBullet"/>
              <w:numPr>
                <w:ilvl w:val="0"/>
                <w:numId w:val="1"/>
              </w:numPr>
              <w:spacing w:before="60" w:after="60"/>
              <w:ind w:left="714" w:hanging="357"/>
              <w:contextualSpacing w:val="0"/>
            </w:pPr>
            <w:r>
              <w:t>Due to uncert</w:t>
            </w:r>
            <w:r w:rsidR="008B7A70">
              <w:t>ainites a scientifically based S</w:t>
            </w:r>
            <w:r>
              <w:t>TEL cannot be derived</w:t>
            </w:r>
          </w:p>
          <w:p w14:paraId="59E1F37D" w14:textId="77777777" w:rsidR="008B7A70" w:rsidRDefault="008B7A70" w:rsidP="005B2809">
            <w:pPr>
              <w:pStyle w:val="ListBullet"/>
              <w:numPr>
                <w:ilvl w:val="0"/>
                <w:numId w:val="1"/>
              </w:numPr>
              <w:spacing w:before="60" w:after="60"/>
              <w:ind w:left="714" w:hanging="357"/>
              <w:contextualSpacing w:val="0"/>
            </w:pPr>
            <w:r>
              <w:t>Copper compounds were not mutagenic in most studies in bacteria and yeasts</w:t>
            </w:r>
          </w:p>
          <w:p w14:paraId="4C46F221" w14:textId="4083300A" w:rsidR="008B7A70" w:rsidRDefault="008B7A70" w:rsidP="005B2809">
            <w:pPr>
              <w:pStyle w:val="ListBullet"/>
              <w:numPr>
                <w:ilvl w:val="0"/>
                <w:numId w:val="1"/>
              </w:numPr>
              <w:spacing w:before="60" w:after="60"/>
              <w:ind w:left="714" w:hanging="357"/>
              <w:contextualSpacing w:val="0"/>
            </w:pPr>
            <w:r>
              <w:t xml:space="preserve">Dermal uptake of </w:t>
            </w:r>
            <w:r w:rsidR="005B2809">
              <w:t xml:space="preserve">Cu </w:t>
            </w:r>
            <w:r>
              <w:t>compounds is considered to be low.</w:t>
            </w:r>
          </w:p>
          <w:p w14:paraId="58C3AF28" w14:textId="77777777" w:rsidR="00411B20" w:rsidRPr="00DA352E" w:rsidRDefault="00411B20" w:rsidP="00D46765">
            <w:pPr>
              <w:pStyle w:val="ListBullet"/>
            </w:pPr>
          </w:p>
        </w:tc>
      </w:tr>
      <w:tr w:rsidR="00DA352E" w:rsidRPr="00DA352E" w14:paraId="204186B2" w14:textId="77777777" w:rsidTr="006356F7">
        <w:trPr>
          <w:gridAfter w:val="1"/>
          <w:wAfter w:w="8" w:type="pct"/>
        </w:trPr>
        <w:tc>
          <w:tcPr>
            <w:tcW w:w="4992" w:type="pct"/>
            <w:shd w:val="clear" w:color="auto" w:fill="F2F2F2" w:themeFill="background1" w:themeFillShade="F2"/>
          </w:tcPr>
          <w:p w14:paraId="7B6D040E"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1E5574">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r w:rsidR="001E5574">
                  <w:t>NA</w:t>
                </w:r>
              </w:sdtContent>
            </w:sdt>
          </w:p>
        </w:tc>
      </w:tr>
      <w:tr w:rsidR="00DA352E" w:rsidRPr="00DA352E" w14:paraId="02A09779" w14:textId="77777777" w:rsidTr="006356F7">
        <w:trPr>
          <w:gridAfter w:val="1"/>
          <w:wAfter w:w="8" w:type="pct"/>
        </w:trPr>
        <w:tc>
          <w:tcPr>
            <w:tcW w:w="4992" w:type="pct"/>
          </w:tcPr>
          <w:p w14:paraId="0CD92D04" w14:textId="22A81914" w:rsidR="00DA352E" w:rsidRPr="00DA352E" w:rsidRDefault="001E5574" w:rsidP="003365A5">
            <w:pPr>
              <w:pStyle w:val="Tabletextprimarysource"/>
            </w:pPr>
            <w:r>
              <w:t>No report</w:t>
            </w:r>
            <w:r w:rsidR="007511E2">
              <w:t>.</w:t>
            </w:r>
          </w:p>
        </w:tc>
      </w:tr>
      <w:tr w:rsidR="00DA352E" w:rsidRPr="00DA352E" w14:paraId="4FF3B5D8" w14:textId="77777777" w:rsidTr="006356F7">
        <w:trPr>
          <w:gridAfter w:val="1"/>
          <w:wAfter w:w="8" w:type="pct"/>
        </w:trPr>
        <w:tc>
          <w:tcPr>
            <w:tcW w:w="4992" w:type="pct"/>
            <w:shd w:val="clear" w:color="auto" w:fill="F2F2F2" w:themeFill="background1" w:themeFillShade="F2"/>
          </w:tcPr>
          <w:p w14:paraId="65DFA617"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1E5574">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r w:rsidR="001E5574">
                  <w:t>NA</w:t>
                </w:r>
              </w:sdtContent>
            </w:sdt>
          </w:p>
        </w:tc>
      </w:tr>
      <w:tr w:rsidR="00DA352E" w:rsidRPr="00DA352E" w14:paraId="712EA215" w14:textId="77777777" w:rsidTr="006356F7">
        <w:trPr>
          <w:gridAfter w:val="1"/>
          <w:wAfter w:w="8" w:type="pct"/>
        </w:trPr>
        <w:tc>
          <w:tcPr>
            <w:tcW w:w="4992" w:type="pct"/>
          </w:tcPr>
          <w:p w14:paraId="5394091E" w14:textId="07941107" w:rsidR="00DA352E" w:rsidRPr="00DA352E" w:rsidRDefault="001E5574" w:rsidP="003365A5">
            <w:pPr>
              <w:pStyle w:val="Tabletextprimarysource"/>
            </w:pPr>
            <w:r>
              <w:t>No report</w:t>
            </w:r>
            <w:r w:rsidR="007511E2">
              <w:t>.</w:t>
            </w:r>
          </w:p>
        </w:tc>
      </w:tr>
    </w:tbl>
    <w:p w14:paraId="250CE5D5"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8"/>
        <w:gridCol w:w="423"/>
        <w:gridCol w:w="661"/>
        <w:gridCol w:w="6444"/>
      </w:tblGrid>
      <w:tr w:rsidR="004966BF" w:rsidRPr="00263255" w14:paraId="67FB5C71" w14:textId="77777777" w:rsidTr="008B7A70">
        <w:trPr>
          <w:cantSplit/>
          <w:trHeight w:val="393"/>
          <w:tblHeader/>
        </w:trPr>
        <w:tc>
          <w:tcPr>
            <w:tcW w:w="1498" w:type="dxa"/>
            <w:shd w:val="clear" w:color="auto" w:fill="BFBFBF" w:themeFill="background1" w:themeFillShade="BF"/>
            <w:vAlign w:val="center"/>
          </w:tcPr>
          <w:p w14:paraId="7AD9ECEC"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1563240E" w14:textId="77777777" w:rsidR="004966BF" w:rsidRPr="00263255" w:rsidRDefault="004966BF" w:rsidP="00263255">
            <w:pPr>
              <w:pStyle w:val="Tableheader"/>
            </w:pPr>
          </w:p>
        </w:tc>
        <w:tc>
          <w:tcPr>
            <w:tcW w:w="661" w:type="dxa"/>
            <w:shd w:val="clear" w:color="auto" w:fill="BFBFBF" w:themeFill="background1" w:themeFillShade="BF"/>
            <w:vAlign w:val="center"/>
          </w:tcPr>
          <w:p w14:paraId="176AEC8E" w14:textId="77777777" w:rsidR="004966BF" w:rsidRPr="00263255" w:rsidRDefault="004966BF" w:rsidP="00263255">
            <w:pPr>
              <w:pStyle w:val="Tableheader"/>
            </w:pPr>
            <w:r>
              <w:t>Year</w:t>
            </w:r>
          </w:p>
        </w:tc>
        <w:tc>
          <w:tcPr>
            <w:tcW w:w="6444" w:type="dxa"/>
            <w:shd w:val="clear" w:color="auto" w:fill="BFBFBF" w:themeFill="background1" w:themeFillShade="BF"/>
            <w:vAlign w:val="center"/>
          </w:tcPr>
          <w:p w14:paraId="7C01B14A" w14:textId="77777777" w:rsidR="004966BF" w:rsidRPr="00263255" w:rsidRDefault="004966BF" w:rsidP="00263255">
            <w:pPr>
              <w:pStyle w:val="Tableheader"/>
            </w:pPr>
            <w:r>
              <w:t>Additional information</w:t>
            </w:r>
          </w:p>
        </w:tc>
      </w:tr>
      <w:tr w:rsidR="008B7A70" w:rsidRPr="004C23F4" w14:paraId="096DF44A" w14:textId="77777777" w:rsidTr="00B54294">
        <w:trPr>
          <w:cantSplit/>
        </w:trPr>
        <w:tc>
          <w:tcPr>
            <w:tcW w:w="1498" w:type="dxa"/>
          </w:tcPr>
          <w:p w14:paraId="31163EEE" w14:textId="77777777" w:rsidR="008B7A70" w:rsidRPr="004C23F4" w:rsidRDefault="008B7A70" w:rsidP="00224EE2">
            <w:pPr>
              <w:pStyle w:val="Tablefont"/>
            </w:pPr>
            <w:r>
              <w:t>ECHA</w:t>
            </w:r>
          </w:p>
        </w:tc>
        <w:tc>
          <w:tcPr>
            <w:tcW w:w="423" w:type="dxa"/>
          </w:tcPr>
          <w:p w14:paraId="3D790F2C" w14:textId="77777777" w:rsidR="008B7A70" w:rsidRPr="00CE617F" w:rsidRDefault="00000000" w:rsidP="00AB43C4">
            <w:pPr>
              <w:spacing w:before="40"/>
              <w:jc w:val="center"/>
              <w:rPr>
                <w:rStyle w:val="checkbox"/>
              </w:rPr>
            </w:pPr>
            <w:sdt>
              <w:sdtPr>
                <w:rPr>
                  <w:rStyle w:val="checkbox"/>
                </w:rPr>
                <w:id w:val="-2066787458"/>
                <w:placeholder>
                  <w:docPart w:val="DD812BDB2E83457898D0B261690240BD"/>
                </w:placeholder>
                <w:dropDownList>
                  <w:listItem w:displayText="" w:value=""/>
                  <w:listItem w:displayText="" w:value=""/>
                  <w:listItem w:displayText="" w:value=""/>
                </w:dropDownList>
              </w:sdtPr>
              <w:sdtContent>
                <w:r w:rsidR="008B7A70">
                  <w:rPr>
                    <w:rStyle w:val="checkbox"/>
                  </w:rPr>
                  <w:t></w:t>
                </w:r>
              </w:sdtContent>
            </w:sdt>
          </w:p>
        </w:tc>
        <w:tc>
          <w:tcPr>
            <w:tcW w:w="661" w:type="dxa"/>
          </w:tcPr>
          <w:p w14:paraId="6847D53C" w14:textId="77777777" w:rsidR="008B7A70" w:rsidRPr="004C23F4" w:rsidRDefault="008B7A70" w:rsidP="00717D45">
            <w:pPr>
              <w:pStyle w:val="Tablefont"/>
              <w:rPr>
                <w:rStyle w:val="checkbox"/>
                <w:rFonts w:ascii="Arial" w:hAnsi="Arial" w:cs="Arial"/>
              </w:rPr>
            </w:pPr>
          </w:p>
        </w:tc>
        <w:tc>
          <w:tcPr>
            <w:tcW w:w="6444" w:type="dxa"/>
          </w:tcPr>
          <w:p w14:paraId="26CC5F3A" w14:textId="50F1A96F" w:rsidR="008B7A70" w:rsidRPr="004C23F4" w:rsidRDefault="00070ACC" w:rsidP="005B2809">
            <w:pPr>
              <w:pStyle w:val="ListBullet"/>
              <w:numPr>
                <w:ilvl w:val="0"/>
                <w:numId w:val="2"/>
              </w:numPr>
              <w:spacing w:before="60" w:after="60"/>
              <w:ind w:left="714" w:hanging="357"/>
              <w:contextualSpacing w:val="0"/>
              <w:rPr>
                <w:rStyle w:val="checkbox"/>
                <w:rFonts w:ascii="Arial" w:hAnsi="Arial" w:cs="Arial"/>
                <w:lang w:eastAsia="en-AU"/>
              </w:rPr>
            </w:pPr>
            <w:r>
              <w:rPr>
                <w:rStyle w:val="checkbox"/>
                <w:rFonts w:ascii="Arial" w:hAnsi="Arial" w:cs="Arial"/>
              </w:rPr>
              <w:t>NOAEC</w:t>
            </w:r>
            <w:r w:rsidR="00F66E97">
              <w:rPr>
                <w:rStyle w:val="checkbox"/>
                <w:rFonts w:ascii="Arial" w:hAnsi="Arial" w:cs="Arial"/>
              </w:rPr>
              <w:t xml:space="preserve"> of</w:t>
            </w:r>
            <w:r>
              <w:rPr>
                <w:rStyle w:val="checkbox"/>
                <w:rFonts w:ascii="Arial" w:hAnsi="Arial" w:cs="Arial"/>
              </w:rPr>
              <w:t xml:space="preserve"> 0.2 mg/m</w:t>
            </w:r>
            <w:r>
              <w:rPr>
                <w:rStyle w:val="checkbox"/>
                <w:rFonts w:ascii="Arial" w:hAnsi="Arial" w:cs="Arial"/>
                <w:vertAlign w:val="superscript"/>
              </w:rPr>
              <w:t>3</w:t>
            </w:r>
            <w:r>
              <w:rPr>
                <w:rStyle w:val="checkbox"/>
                <w:rFonts w:ascii="Arial" w:hAnsi="Arial" w:cs="Arial"/>
              </w:rPr>
              <w:t xml:space="preserve"> (</w:t>
            </w:r>
            <w:r w:rsidR="005B2809">
              <w:rPr>
                <w:rStyle w:val="checkbox"/>
                <w:rFonts w:ascii="Arial" w:hAnsi="Arial" w:cs="Arial"/>
              </w:rPr>
              <w:t>Cu</w:t>
            </w:r>
            <w:r w:rsidR="005B2809" w:rsidRPr="005B2809">
              <w:rPr>
                <w:rStyle w:val="checkbox"/>
                <w:rFonts w:ascii="Arial" w:hAnsi="Arial" w:cs="Arial"/>
                <w:vertAlign w:val="subscript"/>
              </w:rPr>
              <w:t>2</w:t>
            </w:r>
            <w:r w:rsidR="005B2809">
              <w:rPr>
                <w:rStyle w:val="checkbox"/>
                <w:rFonts w:ascii="Arial" w:hAnsi="Arial" w:cs="Arial"/>
              </w:rPr>
              <w:t>O</w:t>
            </w:r>
            <w:r>
              <w:rPr>
                <w:rStyle w:val="checkbox"/>
                <w:rFonts w:ascii="Arial" w:hAnsi="Arial" w:cs="Arial"/>
              </w:rPr>
              <w:t>)</w:t>
            </w:r>
            <w:r w:rsidRPr="00070ACC">
              <w:rPr>
                <w:rStyle w:val="checkbox"/>
                <w:rFonts w:ascii="Arial" w:hAnsi="Arial" w:cs="Arial"/>
              </w:rPr>
              <w:t xml:space="preserve">, </w:t>
            </w:r>
            <w:r w:rsidR="003229BB">
              <w:rPr>
                <w:rStyle w:val="checkbox"/>
                <w:rFonts w:ascii="Arial" w:hAnsi="Arial" w:cs="Arial"/>
              </w:rPr>
              <w:t xml:space="preserve">based on </w:t>
            </w:r>
            <w:r w:rsidRPr="00070ACC">
              <w:rPr>
                <w:rStyle w:val="checkbox"/>
                <w:rFonts w:ascii="Arial" w:hAnsi="Arial" w:cs="Arial"/>
              </w:rPr>
              <w:t>highest dose tested</w:t>
            </w:r>
            <w:r w:rsidR="003229BB">
              <w:rPr>
                <w:rStyle w:val="checkbox"/>
                <w:rFonts w:ascii="Arial" w:hAnsi="Arial" w:cs="Arial"/>
              </w:rPr>
              <w:t xml:space="preserve"> and </w:t>
            </w:r>
            <w:r w:rsidRPr="00070ACC">
              <w:rPr>
                <w:rStyle w:val="checkbox"/>
                <w:rFonts w:ascii="Arial" w:hAnsi="Arial" w:cs="Arial"/>
              </w:rPr>
              <w:t>lack of fi</w:t>
            </w:r>
            <w:r>
              <w:rPr>
                <w:rStyle w:val="checkbox"/>
                <w:rFonts w:ascii="Arial" w:hAnsi="Arial" w:cs="Arial"/>
              </w:rPr>
              <w:t>ndings in lung weight ratio</w:t>
            </w:r>
            <w:r w:rsidR="00F66E97">
              <w:rPr>
                <w:rStyle w:val="checkbox"/>
                <w:rFonts w:ascii="Arial" w:hAnsi="Arial" w:cs="Arial"/>
              </w:rPr>
              <w:t>s</w:t>
            </w:r>
            <w:r w:rsidR="003229BB">
              <w:rPr>
                <w:rStyle w:val="checkbox"/>
                <w:rFonts w:ascii="Arial" w:hAnsi="Arial" w:cs="Arial"/>
              </w:rPr>
              <w:t xml:space="preserve"> (rats, inhalation,</w:t>
            </w:r>
            <w:r>
              <w:rPr>
                <w:rStyle w:val="checkbox"/>
                <w:rFonts w:ascii="Arial" w:hAnsi="Arial" w:cs="Arial"/>
              </w:rPr>
              <w:t xml:space="preserve"> </w:t>
            </w:r>
            <w:r w:rsidR="005B2809">
              <w:rPr>
                <w:rStyle w:val="checkbox"/>
                <w:rFonts w:ascii="Arial" w:hAnsi="Arial" w:cs="Arial"/>
              </w:rPr>
              <w:t>28 </w:t>
            </w:r>
            <w:r>
              <w:rPr>
                <w:rStyle w:val="checkbox"/>
                <w:rFonts w:ascii="Arial" w:hAnsi="Arial" w:cs="Arial"/>
              </w:rPr>
              <w:t>d</w:t>
            </w:r>
            <w:r w:rsidR="003229BB">
              <w:rPr>
                <w:rStyle w:val="checkbox"/>
                <w:rFonts w:ascii="Arial" w:hAnsi="Arial" w:cs="Arial"/>
              </w:rPr>
              <w:t>).</w:t>
            </w:r>
          </w:p>
        </w:tc>
      </w:tr>
    </w:tbl>
    <w:bookmarkEnd w:id="0"/>
    <w:p w14:paraId="5A41618B"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4986B0B9" w14:textId="77777777" w:rsidTr="008B7A70">
        <w:trPr>
          <w:trHeight w:val="454"/>
          <w:tblHeader/>
        </w:trPr>
        <w:tc>
          <w:tcPr>
            <w:tcW w:w="6603" w:type="dxa"/>
            <w:vAlign w:val="center"/>
          </w:tcPr>
          <w:p w14:paraId="19480736"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3" w:type="dxa"/>
                <w:vAlign w:val="center"/>
              </w:tcPr>
              <w:p w14:paraId="7B4963CD" w14:textId="77777777" w:rsidR="002E0D61" w:rsidRDefault="008B7A70" w:rsidP="00C3091E">
                <w:pPr>
                  <w:pStyle w:val="Tablefont"/>
                  <w:keepNext/>
                  <w:keepLines/>
                  <w:spacing w:before="40" w:after="40"/>
                </w:pPr>
                <w:r>
                  <w:t>No</w:t>
                </w:r>
              </w:p>
            </w:tc>
          </w:sdtContent>
        </w:sdt>
      </w:tr>
      <w:tr w:rsidR="008A36CF" w14:paraId="03179EB6" w14:textId="77777777" w:rsidTr="008B7A70">
        <w:trPr>
          <w:trHeight w:val="454"/>
        </w:trPr>
        <w:tc>
          <w:tcPr>
            <w:tcW w:w="6603" w:type="dxa"/>
            <w:vAlign w:val="center"/>
          </w:tcPr>
          <w:p w14:paraId="4F368FC9" w14:textId="46E865BD" w:rsidR="008A36CF" w:rsidRPr="006901A2" w:rsidRDefault="00000000" w:rsidP="008A36CF">
            <w:pPr>
              <w:pStyle w:val="Tablefont"/>
              <w:keepNext/>
              <w:keepLines/>
              <w:spacing w:before="40" w:after="40"/>
              <w:rPr>
                <w:b/>
              </w:rPr>
            </w:p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r w:rsidR="006B1491">
                  <w:rPr>
                    <w:b/>
                  </w:rPr>
                  <w:t>The chemical is not a non-threshold based genotoxic carcinogen.</w:t>
                </w:r>
              </w:sdtContent>
            </w:sdt>
          </w:p>
        </w:tc>
        <w:tc>
          <w:tcPr>
            <w:tcW w:w="2423" w:type="dxa"/>
            <w:vAlign w:val="center"/>
          </w:tcPr>
          <w:p w14:paraId="7B36DF0B" w14:textId="77777777" w:rsidR="008A36CF" w:rsidRDefault="008A36CF" w:rsidP="008A36CF">
            <w:pPr>
              <w:pStyle w:val="Tablefont"/>
              <w:keepNext/>
              <w:keepLines/>
              <w:spacing w:before="40" w:after="40"/>
            </w:pPr>
          </w:p>
        </w:tc>
      </w:tr>
    </w:tbl>
    <w:bookmarkEnd w:id="1"/>
    <w:p w14:paraId="3C306D61"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1A61F72D" w14:textId="77777777" w:rsidTr="00812887">
        <w:trPr>
          <w:cantSplit/>
          <w:tblHeader/>
        </w:trPr>
        <w:tc>
          <w:tcPr>
            <w:tcW w:w="3227" w:type="dxa"/>
            <w:shd w:val="clear" w:color="auto" w:fill="BFBFBF" w:themeFill="background1" w:themeFillShade="BF"/>
            <w:vAlign w:val="center"/>
          </w:tcPr>
          <w:p w14:paraId="28E10419"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5B67061A" w14:textId="77777777" w:rsidR="00687890" w:rsidRPr="004C23F4" w:rsidRDefault="00687890" w:rsidP="00F4402E">
            <w:pPr>
              <w:pStyle w:val="Tableheader"/>
              <w:tabs>
                <w:tab w:val="right" w:pos="5272"/>
              </w:tabs>
            </w:pPr>
            <w:r w:rsidRPr="004C23F4">
              <w:t>Notations</w:t>
            </w:r>
            <w:r w:rsidR="003A2B94">
              <w:tab/>
            </w:r>
          </w:p>
        </w:tc>
      </w:tr>
      <w:tr w:rsidR="00687890" w:rsidRPr="004C23F4" w14:paraId="0DFC40CB" w14:textId="77777777" w:rsidTr="00812887">
        <w:trPr>
          <w:cantSplit/>
        </w:trPr>
        <w:tc>
          <w:tcPr>
            <w:tcW w:w="3227" w:type="dxa"/>
          </w:tcPr>
          <w:p w14:paraId="3B544A1F" w14:textId="77777777" w:rsidR="004079B4" w:rsidRPr="004C23F4" w:rsidRDefault="00084513" w:rsidP="00F4402E">
            <w:pPr>
              <w:pStyle w:val="Tablefont"/>
            </w:pPr>
            <w:r w:rsidRPr="004C23F4">
              <w:t>SWA</w:t>
            </w:r>
          </w:p>
        </w:tc>
        <w:tc>
          <w:tcPr>
            <w:tcW w:w="6015" w:type="dxa"/>
          </w:tcPr>
          <w:p w14:paraId="2BAC59C2" w14:textId="77777777" w:rsidR="00687890" w:rsidRPr="00DD2F9B" w:rsidRDefault="00666DFD" w:rsidP="00DD2F9B">
            <w:pPr>
              <w:pStyle w:val="Tablefont"/>
            </w:pPr>
            <w:r>
              <w:t>NA</w:t>
            </w:r>
          </w:p>
        </w:tc>
      </w:tr>
      <w:tr w:rsidR="007925F0" w:rsidRPr="004C23F4" w14:paraId="39CE98C3" w14:textId="77777777" w:rsidTr="00812887">
        <w:trPr>
          <w:cantSplit/>
        </w:trPr>
        <w:tc>
          <w:tcPr>
            <w:tcW w:w="3227" w:type="dxa"/>
          </w:tcPr>
          <w:p w14:paraId="214E7301" w14:textId="77777777" w:rsidR="004079B4" w:rsidRPr="004C23F4" w:rsidRDefault="007925F0" w:rsidP="00F4402E">
            <w:pPr>
              <w:pStyle w:val="Tablefont"/>
            </w:pPr>
            <w:r>
              <w:t>HCIS</w:t>
            </w:r>
          </w:p>
        </w:tc>
        <w:tc>
          <w:tcPr>
            <w:tcW w:w="6015" w:type="dxa"/>
          </w:tcPr>
          <w:p w14:paraId="599EBD3C" w14:textId="77777777" w:rsidR="007925F0" w:rsidRPr="00DD2F9B" w:rsidRDefault="00666DFD" w:rsidP="00DD2F9B">
            <w:pPr>
              <w:pStyle w:val="Tablefont"/>
            </w:pPr>
            <w:r>
              <w:t>NA</w:t>
            </w:r>
          </w:p>
        </w:tc>
      </w:tr>
      <w:tr w:rsidR="00AF483F" w:rsidRPr="004C23F4" w14:paraId="1C0AF814" w14:textId="77777777" w:rsidTr="00812887">
        <w:trPr>
          <w:cantSplit/>
        </w:trPr>
        <w:tc>
          <w:tcPr>
            <w:tcW w:w="3227" w:type="dxa"/>
          </w:tcPr>
          <w:p w14:paraId="45C7553E" w14:textId="77777777" w:rsidR="00AF483F" w:rsidRPr="004C23F4" w:rsidRDefault="00AF483F" w:rsidP="00F4402E">
            <w:pPr>
              <w:pStyle w:val="Tablefont"/>
            </w:pPr>
            <w:r>
              <w:t>NICNAS</w:t>
            </w:r>
          </w:p>
        </w:tc>
        <w:tc>
          <w:tcPr>
            <w:tcW w:w="6015" w:type="dxa"/>
          </w:tcPr>
          <w:p w14:paraId="0B1E14A7" w14:textId="77777777" w:rsidR="00AF483F" w:rsidRPr="00DD2F9B" w:rsidRDefault="00334C19" w:rsidP="00DD2F9B">
            <w:pPr>
              <w:pStyle w:val="Tablefont"/>
            </w:pPr>
            <w:r>
              <w:t>NA</w:t>
            </w:r>
          </w:p>
        </w:tc>
      </w:tr>
      <w:tr w:rsidR="00687890" w:rsidRPr="004C23F4" w14:paraId="224AB9E7" w14:textId="77777777" w:rsidTr="00812887">
        <w:trPr>
          <w:cantSplit/>
        </w:trPr>
        <w:tc>
          <w:tcPr>
            <w:tcW w:w="3227" w:type="dxa"/>
          </w:tcPr>
          <w:p w14:paraId="6BDBCD96" w14:textId="77777777" w:rsidR="004079B4" w:rsidRPr="004C23F4" w:rsidRDefault="00687890" w:rsidP="00F4402E">
            <w:pPr>
              <w:pStyle w:val="Tablefont"/>
            </w:pPr>
            <w:r w:rsidRPr="004C23F4">
              <w:t>EU Annex</w:t>
            </w:r>
          </w:p>
        </w:tc>
        <w:tc>
          <w:tcPr>
            <w:tcW w:w="6015" w:type="dxa"/>
          </w:tcPr>
          <w:p w14:paraId="6A6AE7C7" w14:textId="77777777" w:rsidR="00687890" w:rsidRPr="00DD2F9B" w:rsidRDefault="00334C19" w:rsidP="00DD2F9B">
            <w:pPr>
              <w:pStyle w:val="Tablefont"/>
            </w:pPr>
            <w:r>
              <w:t>NA</w:t>
            </w:r>
          </w:p>
        </w:tc>
      </w:tr>
      <w:tr w:rsidR="00E41A26" w:rsidRPr="004C23F4" w14:paraId="6B0C1D58" w14:textId="77777777" w:rsidTr="00812887">
        <w:trPr>
          <w:cantSplit/>
        </w:trPr>
        <w:tc>
          <w:tcPr>
            <w:tcW w:w="3227" w:type="dxa"/>
          </w:tcPr>
          <w:p w14:paraId="27CA8905" w14:textId="77777777" w:rsidR="00E41A26" w:rsidRDefault="00E41A26" w:rsidP="00F4402E">
            <w:pPr>
              <w:pStyle w:val="Tablefont"/>
            </w:pPr>
            <w:r>
              <w:t>ECHA</w:t>
            </w:r>
          </w:p>
        </w:tc>
        <w:tc>
          <w:tcPr>
            <w:tcW w:w="6015" w:type="dxa"/>
          </w:tcPr>
          <w:p w14:paraId="1FF73DD7" w14:textId="77777777" w:rsidR="00E41A26" w:rsidRPr="00DD2F9B" w:rsidRDefault="00334C19" w:rsidP="00DD2F9B">
            <w:pPr>
              <w:pStyle w:val="Tablefont"/>
            </w:pPr>
            <w:r>
              <w:t>NA</w:t>
            </w:r>
          </w:p>
        </w:tc>
      </w:tr>
      <w:tr w:rsidR="002E0D61" w:rsidRPr="004C23F4" w14:paraId="5230921B" w14:textId="77777777" w:rsidTr="00812887">
        <w:trPr>
          <w:cantSplit/>
        </w:trPr>
        <w:tc>
          <w:tcPr>
            <w:tcW w:w="3227" w:type="dxa"/>
          </w:tcPr>
          <w:p w14:paraId="4ACEBAAB" w14:textId="77777777" w:rsidR="004079B4" w:rsidRPr="004C23F4" w:rsidRDefault="002E0D61" w:rsidP="00F4402E">
            <w:pPr>
              <w:pStyle w:val="Tablefont"/>
            </w:pPr>
            <w:r>
              <w:t>ACGIH</w:t>
            </w:r>
          </w:p>
        </w:tc>
        <w:tc>
          <w:tcPr>
            <w:tcW w:w="6015" w:type="dxa"/>
          </w:tcPr>
          <w:p w14:paraId="77DC1C24" w14:textId="77777777" w:rsidR="002E0D61" w:rsidRPr="00DD2F9B" w:rsidRDefault="00334C19" w:rsidP="00DD2F9B">
            <w:pPr>
              <w:pStyle w:val="Tablefont"/>
            </w:pPr>
            <w:r>
              <w:t>NA</w:t>
            </w:r>
          </w:p>
        </w:tc>
      </w:tr>
      <w:tr w:rsidR="002E0D61" w:rsidRPr="004C23F4" w14:paraId="01CC9806" w14:textId="77777777" w:rsidTr="00812887">
        <w:trPr>
          <w:cantSplit/>
        </w:trPr>
        <w:tc>
          <w:tcPr>
            <w:tcW w:w="3227" w:type="dxa"/>
          </w:tcPr>
          <w:p w14:paraId="2C61E78F" w14:textId="77777777" w:rsidR="004079B4" w:rsidRPr="004C23F4" w:rsidRDefault="002E0D61" w:rsidP="00F4402E">
            <w:pPr>
              <w:pStyle w:val="Tablefont"/>
            </w:pPr>
            <w:r>
              <w:t>DFG</w:t>
            </w:r>
          </w:p>
        </w:tc>
        <w:tc>
          <w:tcPr>
            <w:tcW w:w="6015" w:type="dxa"/>
          </w:tcPr>
          <w:p w14:paraId="42FD12F2" w14:textId="77777777" w:rsidR="002E0D61" w:rsidRPr="00DD2F9B" w:rsidRDefault="00334C19" w:rsidP="00DD2F9B">
            <w:pPr>
              <w:pStyle w:val="Tablefont"/>
            </w:pPr>
            <w:r>
              <w:t>NA</w:t>
            </w:r>
          </w:p>
        </w:tc>
      </w:tr>
      <w:tr w:rsidR="002E0D61" w:rsidRPr="004C23F4" w14:paraId="5DB496CA" w14:textId="77777777" w:rsidTr="00812887">
        <w:trPr>
          <w:cantSplit/>
        </w:trPr>
        <w:tc>
          <w:tcPr>
            <w:tcW w:w="3227" w:type="dxa"/>
          </w:tcPr>
          <w:p w14:paraId="20F0C3F2" w14:textId="77777777" w:rsidR="004079B4" w:rsidRPr="004C23F4" w:rsidRDefault="002E0D61" w:rsidP="00F4402E">
            <w:pPr>
              <w:pStyle w:val="Tablefont"/>
            </w:pPr>
            <w:r>
              <w:lastRenderedPageBreak/>
              <w:t>SCOEL</w:t>
            </w:r>
          </w:p>
        </w:tc>
        <w:tc>
          <w:tcPr>
            <w:tcW w:w="6015" w:type="dxa"/>
          </w:tcPr>
          <w:p w14:paraId="4F99E35F" w14:textId="77777777" w:rsidR="002E0D61" w:rsidRPr="00DD2F9B" w:rsidRDefault="005D7040" w:rsidP="00DD2F9B">
            <w:pPr>
              <w:pStyle w:val="Tablefont"/>
            </w:pPr>
            <w:r>
              <w:t>NA</w:t>
            </w:r>
          </w:p>
        </w:tc>
      </w:tr>
      <w:tr w:rsidR="002E0D61" w:rsidRPr="004C23F4" w14:paraId="11DFC7FC" w14:textId="77777777" w:rsidTr="00812887">
        <w:trPr>
          <w:cantSplit/>
        </w:trPr>
        <w:tc>
          <w:tcPr>
            <w:tcW w:w="3227" w:type="dxa"/>
          </w:tcPr>
          <w:p w14:paraId="7409B712" w14:textId="77777777" w:rsidR="004079B4" w:rsidRDefault="002E0D61" w:rsidP="00F4402E">
            <w:pPr>
              <w:pStyle w:val="Tablefont"/>
            </w:pPr>
            <w:r>
              <w:t>HCOTN</w:t>
            </w:r>
          </w:p>
        </w:tc>
        <w:tc>
          <w:tcPr>
            <w:tcW w:w="6015" w:type="dxa"/>
          </w:tcPr>
          <w:p w14:paraId="33C118C3" w14:textId="77777777" w:rsidR="002E0D61" w:rsidRPr="00DD2F9B" w:rsidRDefault="00334C19" w:rsidP="00DD2F9B">
            <w:pPr>
              <w:pStyle w:val="Tablefont"/>
            </w:pPr>
            <w:r>
              <w:t>NA</w:t>
            </w:r>
          </w:p>
        </w:tc>
      </w:tr>
      <w:tr w:rsidR="00386093" w:rsidRPr="004C23F4" w14:paraId="4492D9B3" w14:textId="77777777" w:rsidTr="00812887">
        <w:trPr>
          <w:cantSplit/>
        </w:trPr>
        <w:tc>
          <w:tcPr>
            <w:tcW w:w="3227" w:type="dxa"/>
          </w:tcPr>
          <w:p w14:paraId="5107CB8A" w14:textId="77777777" w:rsidR="004079B4" w:rsidRDefault="00386093" w:rsidP="00F4402E">
            <w:pPr>
              <w:pStyle w:val="Tablefont"/>
            </w:pPr>
            <w:r>
              <w:t>IARC</w:t>
            </w:r>
          </w:p>
        </w:tc>
        <w:tc>
          <w:tcPr>
            <w:tcW w:w="6015" w:type="dxa"/>
          </w:tcPr>
          <w:p w14:paraId="3318416E" w14:textId="77777777" w:rsidR="00386093" w:rsidRPr="00DD2F9B" w:rsidRDefault="00930ECF" w:rsidP="00DD2F9B">
            <w:pPr>
              <w:pStyle w:val="Tablefont"/>
            </w:pPr>
            <w:r>
              <w:t>NA</w:t>
            </w:r>
          </w:p>
        </w:tc>
      </w:tr>
      <w:tr w:rsidR="00386093" w:rsidRPr="004C23F4" w14:paraId="64D62DAD" w14:textId="77777777" w:rsidTr="00812887">
        <w:trPr>
          <w:cantSplit/>
        </w:trPr>
        <w:tc>
          <w:tcPr>
            <w:tcW w:w="3227" w:type="dxa"/>
          </w:tcPr>
          <w:p w14:paraId="50B67F78" w14:textId="77777777" w:rsidR="004079B4" w:rsidRDefault="00386093" w:rsidP="00F4402E">
            <w:pPr>
              <w:pStyle w:val="Tablefont"/>
              <w:keepNext/>
            </w:pPr>
            <w:r>
              <w:t>US NIOSH</w:t>
            </w:r>
          </w:p>
        </w:tc>
        <w:tc>
          <w:tcPr>
            <w:tcW w:w="6015" w:type="dxa"/>
          </w:tcPr>
          <w:p w14:paraId="0444F776" w14:textId="77777777" w:rsidR="00386093" w:rsidRPr="00DD2F9B" w:rsidRDefault="009B0B3B" w:rsidP="00D87570">
            <w:pPr>
              <w:pStyle w:val="Tablefont"/>
              <w:keepNext/>
            </w:pPr>
            <w:r>
              <w:t>NA</w:t>
            </w:r>
          </w:p>
        </w:tc>
      </w:tr>
    </w:tbl>
    <w:bookmarkEnd w:id="2"/>
    <w:p w14:paraId="07A32E74"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1A39BB23"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4E811FB" w14:textId="77777777" w:rsidTr="00EA6243">
        <w:trPr>
          <w:cantSplit/>
          <w:tblHeader/>
        </w:trPr>
        <w:tc>
          <w:tcPr>
            <w:tcW w:w="5000" w:type="pct"/>
            <w:shd w:val="clear" w:color="auto" w:fill="BFBFBF" w:themeFill="background1" w:themeFillShade="BF"/>
            <w:vAlign w:val="center"/>
          </w:tcPr>
          <w:p w14:paraId="33CCDA86"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2AF70783" w14:textId="77777777" w:rsidTr="00EA6243">
        <w:trPr>
          <w:cantSplit/>
          <w:tblHeader/>
        </w:trPr>
        <w:tc>
          <w:tcPr>
            <w:tcW w:w="5000" w:type="pct"/>
            <w:vAlign w:val="center"/>
          </w:tcPr>
          <w:p w14:paraId="6606B913" w14:textId="03E50ED6" w:rsidR="00932DCE" w:rsidRPr="004C23F4" w:rsidRDefault="00B9117D" w:rsidP="00F9496B">
            <w:pPr>
              <w:pStyle w:val="Tablefont"/>
            </w:pPr>
            <w:r w:rsidRPr="00B9117D">
              <w:t>Insufficient data to assign a skin notation</w:t>
            </w:r>
            <w:r w:rsidR="005B2809">
              <w:t>.</w:t>
            </w:r>
          </w:p>
        </w:tc>
      </w:tr>
    </w:tbl>
    <w:bookmarkEnd w:id="3"/>
    <w:p w14:paraId="61E7FEDC"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2C49A745" w14:textId="77777777" w:rsidTr="00610F2E">
        <w:trPr>
          <w:trHeight w:val="454"/>
          <w:tblHeader/>
        </w:trPr>
        <w:tc>
          <w:tcPr>
            <w:tcW w:w="4361" w:type="dxa"/>
            <w:vAlign w:val="center"/>
          </w:tcPr>
          <w:p w14:paraId="1C2928B2"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720B0848" w14:textId="77777777" w:rsidR="00EB3D1B" w:rsidRDefault="00930ECF" w:rsidP="00EB3D1B">
                <w:pPr>
                  <w:pStyle w:val="Tablefont"/>
                </w:pPr>
                <w:r>
                  <w:t>Yes</w:t>
                </w:r>
              </w:p>
            </w:tc>
          </w:sdtContent>
        </w:sdt>
      </w:tr>
    </w:tbl>
    <w:p w14:paraId="20A2D850"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3711BD66" w14:textId="77777777" w:rsidTr="00EA6243">
        <w:trPr>
          <w:cantSplit/>
          <w:tblHeader/>
        </w:trPr>
        <w:tc>
          <w:tcPr>
            <w:tcW w:w="4077" w:type="dxa"/>
            <w:vAlign w:val="center"/>
          </w:tcPr>
          <w:p w14:paraId="22512B2A"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1EF1A348" w14:textId="77777777" w:rsidR="001B79E5" w:rsidRDefault="00E2256A" w:rsidP="001B79E5">
                <w:pPr>
                  <w:pStyle w:val="Tablefont"/>
                </w:pPr>
                <w:r>
                  <w:t>63.55</w:t>
                </w:r>
              </w:p>
            </w:tc>
          </w:sdtContent>
        </w:sdt>
      </w:tr>
      <w:tr w:rsidR="00A31D99" w:rsidRPr="004C23F4" w14:paraId="3A0AFA7D" w14:textId="77777777" w:rsidTr="00EA6243">
        <w:trPr>
          <w:cantSplit/>
          <w:tblHeader/>
        </w:trPr>
        <w:tc>
          <w:tcPr>
            <w:tcW w:w="4077" w:type="dxa"/>
            <w:vAlign w:val="center"/>
          </w:tcPr>
          <w:p w14:paraId="3E9BCD65"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7A235F46"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0E3D8808" w14:textId="77777777" w:rsidTr="00EA6243">
        <w:trPr>
          <w:cantSplit/>
          <w:tblHeader/>
        </w:trPr>
        <w:tc>
          <w:tcPr>
            <w:tcW w:w="4077" w:type="dxa"/>
            <w:vAlign w:val="center"/>
          </w:tcPr>
          <w:p w14:paraId="52386334"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Content>
            <w:tc>
              <w:tcPr>
                <w:tcW w:w="5165" w:type="dxa"/>
                <w:vAlign w:val="center"/>
              </w:tcPr>
              <w:p w14:paraId="58429AE7" w14:textId="77777777" w:rsidR="00687890" w:rsidRPr="004C23F4" w:rsidRDefault="008F7464" w:rsidP="00717D45">
                <w:pPr>
                  <w:pStyle w:val="Tablefont"/>
                </w:pPr>
                <w:r>
                  <w:rPr>
                    <w:rFonts w:ascii="MS Gothic" w:eastAsia="MS Gothic" w:hAnsi="MS Gothic" w:cs="MS Gothic" w:hint="eastAsia"/>
                  </w:rPr>
                  <w:sym w:font="Wingdings" w:char="F0FC"/>
                </w:r>
              </w:p>
            </w:tc>
          </w:sdtContent>
        </w:sdt>
      </w:tr>
      <w:tr w:rsidR="00687890" w:rsidRPr="004C23F4" w14:paraId="0F546E4F" w14:textId="77777777" w:rsidTr="00EA6243">
        <w:trPr>
          <w:cantSplit/>
        </w:trPr>
        <w:tc>
          <w:tcPr>
            <w:tcW w:w="4077" w:type="dxa"/>
            <w:vAlign w:val="center"/>
          </w:tcPr>
          <w:p w14:paraId="699854E6"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13FDEC06"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C493A98" w14:textId="77777777" w:rsidTr="00EA6243">
        <w:trPr>
          <w:cantSplit/>
        </w:trPr>
        <w:tc>
          <w:tcPr>
            <w:tcW w:w="4077" w:type="dxa"/>
            <w:vAlign w:val="center"/>
          </w:tcPr>
          <w:p w14:paraId="35189528"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Content>
            <w:tc>
              <w:tcPr>
                <w:tcW w:w="5165" w:type="dxa"/>
                <w:vAlign w:val="center"/>
              </w:tcPr>
              <w:p w14:paraId="0B1EEBD0" w14:textId="77777777" w:rsidR="00687890" w:rsidRPr="004C23F4" w:rsidRDefault="008F7464" w:rsidP="00717D45">
                <w:pPr>
                  <w:pStyle w:val="Tablefont"/>
                </w:pPr>
                <w:r>
                  <w:rPr>
                    <w:rFonts w:ascii="MS Gothic" w:eastAsia="MS Gothic" w:hAnsi="MS Gothic" w:cs="MS Gothic" w:hint="eastAsia"/>
                  </w:rPr>
                  <w:sym w:font="Wingdings" w:char="F0FC"/>
                </w:r>
              </w:p>
            </w:tc>
          </w:sdtContent>
        </w:sdt>
      </w:tr>
      <w:tr w:rsidR="00E06F40" w:rsidRPr="004C23F4" w14:paraId="3E9AD878" w14:textId="77777777" w:rsidTr="00EA6243">
        <w:trPr>
          <w:cantSplit/>
        </w:trPr>
        <w:tc>
          <w:tcPr>
            <w:tcW w:w="4077" w:type="dxa"/>
            <w:vAlign w:val="center"/>
          </w:tcPr>
          <w:p w14:paraId="60599D41"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8F29DC1"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56F47E3"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84647C4" w14:textId="77777777" w:rsidTr="00F053FA">
        <w:trPr>
          <w:tblHeader/>
        </w:trPr>
        <w:tc>
          <w:tcPr>
            <w:tcW w:w="4077" w:type="dxa"/>
            <w:shd w:val="clear" w:color="auto" w:fill="BFBFBF" w:themeFill="background1" w:themeFillShade="BF"/>
            <w:vAlign w:val="center"/>
          </w:tcPr>
          <w:p w14:paraId="2925B691"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26D9B01E" w14:textId="77777777" w:rsidR="00224EE2" w:rsidRPr="004C23F4" w:rsidRDefault="00224EE2" w:rsidP="00EB3D1B">
            <w:pPr>
              <w:pStyle w:val="Tableheader"/>
              <w:keepNext/>
              <w:keepLines/>
            </w:pPr>
            <w:r>
              <w:t>Standard</w:t>
            </w:r>
          </w:p>
        </w:tc>
      </w:tr>
      <w:tr w:rsidR="007F1005" w:rsidRPr="004C23F4" w14:paraId="0D473CA9" w14:textId="77777777" w:rsidTr="00F053FA">
        <w:trPr>
          <w:tblHeader/>
        </w:trPr>
        <w:sdt>
          <w:sdtPr>
            <w:id w:val="-25557549"/>
            <w:placeholder>
              <w:docPart w:val="2BF891C0AB704CDAB9BC6E80D556473F"/>
            </w:placeholder>
            <w:showingPlcHdr/>
            <w:text/>
          </w:sdtPr>
          <w:sdtContent>
            <w:tc>
              <w:tcPr>
                <w:tcW w:w="4077" w:type="dxa"/>
                <w:vAlign w:val="center"/>
              </w:tcPr>
              <w:p w14:paraId="0B3BEE0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1526D1B1" w14:textId="77777777" w:rsidR="007F1005" w:rsidRPr="004C23F4" w:rsidRDefault="007F1005" w:rsidP="00EB3D1B">
            <w:pPr>
              <w:pStyle w:val="Tablefont"/>
              <w:keepLines/>
            </w:pPr>
          </w:p>
        </w:tc>
      </w:tr>
    </w:tbl>
    <w:bookmarkEnd w:id="4"/>
    <w:p w14:paraId="00EECC35" w14:textId="77777777" w:rsidR="00F87D92" w:rsidRDefault="00F87D92" w:rsidP="00EF7F78">
      <w:pPr>
        <w:pStyle w:val="Heading2"/>
        <w:tabs>
          <w:tab w:val="right" w:pos="8505"/>
        </w:tabs>
      </w:pPr>
      <w:r>
        <w:t>References</w:t>
      </w:r>
      <w:r w:rsidR="00EF7F78">
        <w:tab/>
      </w:r>
    </w:p>
    <w:p w14:paraId="641CB231"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BECF0B2" w14:textId="77777777" w:rsidR="00AF03C2" w:rsidRDefault="00885F99" w:rsidP="00084859">
      <w:r w:rsidRPr="002022B6">
        <w:t>Deutsche Forschungsgemeinschaft (DFG)</w:t>
      </w:r>
      <w:r>
        <w:t xml:space="preserve"> (</w:t>
      </w:r>
      <w:r w:rsidR="00147AB8">
        <w:t>2015</w:t>
      </w:r>
      <w:r>
        <w:t xml:space="preserve">) </w:t>
      </w:r>
      <w:r w:rsidR="00147AB8">
        <w:t>Copper and its inorganic compounds</w:t>
      </w:r>
      <w:r>
        <w:t xml:space="preserve"> – MAK value documentation.</w:t>
      </w:r>
    </w:p>
    <w:p w14:paraId="0BDABB60" w14:textId="77777777" w:rsidR="008F7464" w:rsidRPr="00E461B8" w:rsidRDefault="008F7464" w:rsidP="008F7464">
      <w:r w:rsidRPr="00E461B8">
        <w:t>European Chemicals Agency Regulation (ECHA) No 1907/2006 of the European Parliament and of the Council of 18 December 2006 concerning the Registration, Evaluation, Authorisation and Restriction of Chemicals (REACH).</w:t>
      </w:r>
    </w:p>
    <w:p w14:paraId="61531C21" w14:textId="77777777" w:rsidR="00885F99" w:rsidRDefault="00885F99" w:rsidP="00084859">
      <w:r w:rsidRPr="002022B6">
        <w:lastRenderedPageBreak/>
        <w:t>EU Scientific Committee on Occupational Exposure Limits (SCOEL)</w:t>
      </w:r>
      <w:r>
        <w:t xml:space="preserve"> (</w:t>
      </w:r>
      <w:r w:rsidR="00FA4D8F">
        <w:t>2014</w:t>
      </w:r>
      <w:r>
        <w:t xml:space="preserve">) Recommendation from the Scientific Committee on Occupational Exposure Limits for </w:t>
      </w:r>
      <w:r w:rsidR="00FA4D8F">
        <w:t>copper and its inorganic compounds</w:t>
      </w:r>
      <w:r>
        <w:t>. SCOEL/</w:t>
      </w:r>
      <w:r w:rsidR="00FA4D8F">
        <w:t>SUM/171</w:t>
      </w:r>
      <w:r>
        <w:t>.</w:t>
      </w:r>
    </w:p>
    <w:p w14:paraId="4C6AF80D" w14:textId="77777777" w:rsidR="00F36862" w:rsidRPr="00F36862" w:rsidRDefault="00F36862" w:rsidP="008F7464">
      <w:r w:rsidRPr="00D86E03">
        <w:t>US National Institute for Occupational Safety and Health (NIOSH)</w:t>
      </w:r>
      <w:r>
        <w:t xml:space="preserve"> (</w:t>
      </w:r>
      <w:r w:rsidR="008B7A70">
        <w:t>1994</w:t>
      </w:r>
      <w:r>
        <w:t>) Immediately dangerous to life or health concentrations – copper (dust and mists, as Cu).</w:t>
      </w:r>
    </w:p>
    <w:sectPr w:rsidR="00F36862" w:rsidRPr="00F36862"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D3A2C" w14:textId="77777777" w:rsidR="000D4A99" w:rsidRDefault="000D4A99" w:rsidP="00F43AD5">
      <w:pPr>
        <w:spacing w:after="0" w:line="240" w:lineRule="auto"/>
      </w:pPr>
      <w:r>
        <w:separator/>
      </w:r>
    </w:p>
  </w:endnote>
  <w:endnote w:type="continuationSeparator" w:id="0">
    <w:p w14:paraId="0A74D9C0" w14:textId="77777777" w:rsidR="000D4A99" w:rsidRDefault="000D4A9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CF1CC" w14:textId="77777777" w:rsidR="002648C5" w:rsidRDefault="00264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01261F9" w14:textId="77777777" w:rsidR="008A36CF" w:rsidRDefault="00DB5371" w:rsidP="0034744C">
        <w:pPr>
          <w:pStyle w:val="Footer"/>
          <w:rPr>
            <w:sz w:val="18"/>
            <w:szCs w:val="18"/>
          </w:rPr>
        </w:pPr>
        <w:r>
          <w:rPr>
            <w:b/>
            <w:sz w:val="18"/>
            <w:szCs w:val="18"/>
          </w:rPr>
          <w:t>C</w:t>
        </w:r>
        <w:r w:rsidR="00623CDB">
          <w:rPr>
            <w:b/>
            <w:sz w:val="18"/>
            <w:szCs w:val="18"/>
          </w:rPr>
          <w:t>opper</w:t>
        </w:r>
        <w:r w:rsidR="00C32159">
          <w:rPr>
            <w:b/>
            <w:sz w:val="18"/>
            <w:szCs w:val="18"/>
          </w:rPr>
          <w:t xml:space="preserve"> fume</w:t>
        </w:r>
        <w:r w:rsidR="00A3015B">
          <w:rPr>
            <w:b/>
            <w:sz w:val="18"/>
            <w:szCs w:val="18"/>
          </w:rPr>
          <w:t>,</w:t>
        </w:r>
        <w:r w:rsidR="00C32159">
          <w:rPr>
            <w:b/>
            <w:sz w:val="18"/>
            <w:szCs w:val="18"/>
          </w:rPr>
          <w:t xml:space="preserve"> dust and mist</w:t>
        </w:r>
        <w:r w:rsidR="00A3015B">
          <w:rPr>
            <w:b/>
            <w:sz w:val="18"/>
            <w:szCs w:val="18"/>
          </w:rPr>
          <w:t xml:space="preserve"> (as Cu)</w:t>
        </w:r>
        <w:r w:rsidR="008A36CF">
          <w:rPr>
            <w:b/>
            <w:sz w:val="18"/>
            <w:szCs w:val="18"/>
          </w:rPr>
          <w:t xml:space="preserve"> (</w:t>
        </w:r>
        <w:r>
          <w:rPr>
            <w:b/>
            <w:sz w:val="18"/>
            <w:szCs w:val="18"/>
          </w:rPr>
          <w:t>7440-50-8</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4C455BC2" w14:textId="243DF44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648C5">
          <w:rPr>
            <w:noProof/>
            <w:sz w:val="18"/>
            <w:szCs w:val="18"/>
          </w:rPr>
          <w:t>3</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0C96B" w14:textId="77777777" w:rsidR="002648C5" w:rsidRDefault="00264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43C27" w14:textId="77777777" w:rsidR="000D4A99" w:rsidRDefault="000D4A99" w:rsidP="00F43AD5">
      <w:pPr>
        <w:spacing w:after="0" w:line="240" w:lineRule="auto"/>
      </w:pPr>
      <w:r>
        <w:separator/>
      </w:r>
    </w:p>
  </w:footnote>
  <w:footnote w:type="continuationSeparator" w:id="0">
    <w:p w14:paraId="0B6FA502" w14:textId="77777777" w:rsidR="000D4A99" w:rsidRDefault="000D4A9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243FF" w14:textId="4C3BCD66" w:rsidR="002648C5" w:rsidRDefault="00264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A5247" w14:textId="2D43B140" w:rsidR="008A36CF" w:rsidRDefault="008A36CF" w:rsidP="00F43AD5">
    <w:pPr>
      <w:pStyle w:val="Header"/>
      <w:jc w:val="right"/>
    </w:pPr>
    <w:r>
      <w:rPr>
        <w:noProof/>
        <w:lang w:eastAsia="en-AU"/>
      </w:rPr>
      <w:drawing>
        <wp:inline distT="0" distB="0" distL="0" distR="0" wp14:anchorId="3DD12751" wp14:editId="1BDE1F9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76CC8" w14:textId="266D5AA9" w:rsidR="002648C5" w:rsidRDefault="002648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1F67F" w14:textId="5740E783" w:rsidR="002648C5" w:rsidRDefault="002648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E1063" w14:textId="6FFE78DC" w:rsidR="008A36CF" w:rsidRDefault="008A36CF"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06F2D" w14:textId="18F3AD02" w:rsidR="002648C5" w:rsidRDefault="002648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2B2A92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FCF6572"/>
    <w:multiLevelType w:val="hybridMultilevel"/>
    <w:tmpl w:val="1A0A606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7F4968E1"/>
    <w:multiLevelType w:val="hybridMultilevel"/>
    <w:tmpl w:val="7EFE3500"/>
    <w:lvl w:ilvl="0" w:tplc="0C090001">
      <w:start w:val="1"/>
      <w:numFmt w:val="bullet"/>
      <w:lvlText w:val=""/>
      <w:lvlJc w:val="left"/>
      <w:pPr>
        <w:ind w:left="729" w:hanging="360"/>
      </w:pPr>
      <w:rPr>
        <w:rFonts w:ascii="Symbol" w:hAnsi="Symbol" w:hint="default"/>
      </w:rPr>
    </w:lvl>
    <w:lvl w:ilvl="1" w:tplc="0C090003" w:tentative="1">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num w:numId="1" w16cid:durableId="116948637">
    <w:abstractNumId w:val="0"/>
  </w:num>
  <w:num w:numId="2" w16cid:durableId="1913006191">
    <w:abstractNumId w:val="2"/>
  </w:num>
  <w:num w:numId="3" w16cid:durableId="19378584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2C75"/>
    <w:rsid w:val="00046DF5"/>
    <w:rsid w:val="00052060"/>
    <w:rsid w:val="0005574A"/>
    <w:rsid w:val="00055FE1"/>
    <w:rsid w:val="00056EC2"/>
    <w:rsid w:val="00060B48"/>
    <w:rsid w:val="00067F32"/>
    <w:rsid w:val="00070ACC"/>
    <w:rsid w:val="00071807"/>
    <w:rsid w:val="000803E1"/>
    <w:rsid w:val="00084513"/>
    <w:rsid w:val="00084859"/>
    <w:rsid w:val="00092D94"/>
    <w:rsid w:val="00097CED"/>
    <w:rsid w:val="000B0868"/>
    <w:rsid w:val="000B3E12"/>
    <w:rsid w:val="000B3E78"/>
    <w:rsid w:val="000B7B48"/>
    <w:rsid w:val="000C096D"/>
    <w:rsid w:val="000C139A"/>
    <w:rsid w:val="000C2053"/>
    <w:rsid w:val="000C248C"/>
    <w:rsid w:val="000D291C"/>
    <w:rsid w:val="000D4A99"/>
    <w:rsid w:val="000D4E8D"/>
    <w:rsid w:val="000E5567"/>
    <w:rsid w:val="000E5A54"/>
    <w:rsid w:val="000E63D3"/>
    <w:rsid w:val="000E67CF"/>
    <w:rsid w:val="0010461E"/>
    <w:rsid w:val="00106FAA"/>
    <w:rsid w:val="00113443"/>
    <w:rsid w:val="001269A7"/>
    <w:rsid w:val="001274CE"/>
    <w:rsid w:val="00131092"/>
    <w:rsid w:val="00140E6A"/>
    <w:rsid w:val="00146545"/>
    <w:rsid w:val="00146B75"/>
    <w:rsid w:val="00147AB8"/>
    <w:rsid w:val="0015266D"/>
    <w:rsid w:val="0015288A"/>
    <w:rsid w:val="00160F47"/>
    <w:rsid w:val="00172A04"/>
    <w:rsid w:val="00177CA1"/>
    <w:rsid w:val="00183823"/>
    <w:rsid w:val="00183942"/>
    <w:rsid w:val="00184D96"/>
    <w:rsid w:val="00190ADE"/>
    <w:rsid w:val="001A009E"/>
    <w:rsid w:val="001A1287"/>
    <w:rsid w:val="001A3859"/>
    <w:rsid w:val="001A3C9D"/>
    <w:rsid w:val="001A43F8"/>
    <w:rsid w:val="001A49CC"/>
    <w:rsid w:val="001B79E5"/>
    <w:rsid w:val="001D56F0"/>
    <w:rsid w:val="001D663B"/>
    <w:rsid w:val="001D7B41"/>
    <w:rsid w:val="001E46DA"/>
    <w:rsid w:val="001E5574"/>
    <w:rsid w:val="001E7D80"/>
    <w:rsid w:val="001F4B6C"/>
    <w:rsid w:val="001F62CB"/>
    <w:rsid w:val="001F6ED0"/>
    <w:rsid w:val="001F72E6"/>
    <w:rsid w:val="001F73C5"/>
    <w:rsid w:val="002046A6"/>
    <w:rsid w:val="00204956"/>
    <w:rsid w:val="00206E8C"/>
    <w:rsid w:val="00213640"/>
    <w:rsid w:val="00221547"/>
    <w:rsid w:val="002216FC"/>
    <w:rsid w:val="00222533"/>
    <w:rsid w:val="00222F30"/>
    <w:rsid w:val="00224EE2"/>
    <w:rsid w:val="00227EC7"/>
    <w:rsid w:val="00244AD1"/>
    <w:rsid w:val="002463BC"/>
    <w:rsid w:val="002465CE"/>
    <w:rsid w:val="0025734A"/>
    <w:rsid w:val="00263255"/>
    <w:rsid w:val="00263D7B"/>
    <w:rsid w:val="002648C5"/>
    <w:rsid w:val="00266707"/>
    <w:rsid w:val="00276494"/>
    <w:rsid w:val="00277B0C"/>
    <w:rsid w:val="00287E27"/>
    <w:rsid w:val="00292687"/>
    <w:rsid w:val="00292CA1"/>
    <w:rsid w:val="002A0D54"/>
    <w:rsid w:val="002A2EF8"/>
    <w:rsid w:val="002A53BF"/>
    <w:rsid w:val="002B1A2C"/>
    <w:rsid w:val="002C34F2"/>
    <w:rsid w:val="002C39CB"/>
    <w:rsid w:val="002C58FF"/>
    <w:rsid w:val="002C7AFE"/>
    <w:rsid w:val="002D05D2"/>
    <w:rsid w:val="002E0D61"/>
    <w:rsid w:val="002E4C7B"/>
    <w:rsid w:val="002F4DFC"/>
    <w:rsid w:val="0030740C"/>
    <w:rsid w:val="00315833"/>
    <w:rsid w:val="003215EE"/>
    <w:rsid w:val="003224BF"/>
    <w:rsid w:val="003229BB"/>
    <w:rsid w:val="003241A8"/>
    <w:rsid w:val="003253F0"/>
    <w:rsid w:val="003337DA"/>
    <w:rsid w:val="00334C19"/>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B4F94"/>
    <w:rsid w:val="003C0D58"/>
    <w:rsid w:val="003C289A"/>
    <w:rsid w:val="003D4FA3"/>
    <w:rsid w:val="003E0807"/>
    <w:rsid w:val="003E0BA5"/>
    <w:rsid w:val="003E51FB"/>
    <w:rsid w:val="003E6B39"/>
    <w:rsid w:val="003F07E1"/>
    <w:rsid w:val="004030BC"/>
    <w:rsid w:val="00403F7D"/>
    <w:rsid w:val="00406785"/>
    <w:rsid w:val="004079B4"/>
    <w:rsid w:val="00411B20"/>
    <w:rsid w:val="00417A56"/>
    <w:rsid w:val="00420957"/>
    <w:rsid w:val="00422A10"/>
    <w:rsid w:val="00425367"/>
    <w:rsid w:val="00425809"/>
    <w:rsid w:val="00430179"/>
    <w:rsid w:val="004414B5"/>
    <w:rsid w:val="00444482"/>
    <w:rsid w:val="00444B42"/>
    <w:rsid w:val="00445E44"/>
    <w:rsid w:val="004509E2"/>
    <w:rsid w:val="004515EE"/>
    <w:rsid w:val="004529F0"/>
    <w:rsid w:val="0046071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069BB"/>
    <w:rsid w:val="005142C4"/>
    <w:rsid w:val="0051509C"/>
    <w:rsid w:val="005272E2"/>
    <w:rsid w:val="0053108F"/>
    <w:rsid w:val="00532B56"/>
    <w:rsid w:val="00534B10"/>
    <w:rsid w:val="005446A2"/>
    <w:rsid w:val="00544D2F"/>
    <w:rsid w:val="00551BD8"/>
    <w:rsid w:val="00570D38"/>
    <w:rsid w:val="00573D63"/>
    <w:rsid w:val="00573FC8"/>
    <w:rsid w:val="00581055"/>
    <w:rsid w:val="00591E38"/>
    <w:rsid w:val="005A19C5"/>
    <w:rsid w:val="005A3034"/>
    <w:rsid w:val="005A462D"/>
    <w:rsid w:val="005B253B"/>
    <w:rsid w:val="005B2809"/>
    <w:rsid w:val="005B771D"/>
    <w:rsid w:val="005C5D16"/>
    <w:rsid w:val="005D3193"/>
    <w:rsid w:val="005D4A6E"/>
    <w:rsid w:val="005D7040"/>
    <w:rsid w:val="005E6979"/>
    <w:rsid w:val="005E75CB"/>
    <w:rsid w:val="006013C1"/>
    <w:rsid w:val="0060669E"/>
    <w:rsid w:val="00610F2E"/>
    <w:rsid w:val="00611399"/>
    <w:rsid w:val="00612AFE"/>
    <w:rsid w:val="00623CDB"/>
    <w:rsid w:val="00624C4E"/>
    <w:rsid w:val="00625200"/>
    <w:rsid w:val="006356F7"/>
    <w:rsid w:val="006363A8"/>
    <w:rsid w:val="00636DB7"/>
    <w:rsid w:val="00642F1D"/>
    <w:rsid w:val="00650905"/>
    <w:rsid w:val="006532ED"/>
    <w:rsid w:val="006549F2"/>
    <w:rsid w:val="006567B7"/>
    <w:rsid w:val="00657BFB"/>
    <w:rsid w:val="0066333C"/>
    <w:rsid w:val="006639B4"/>
    <w:rsid w:val="006650FE"/>
    <w:rsid w:val="00666DFD"/>
    <w:rsid w:val="006709BD"/>
    <w:rsid w:val="0067305D"/>
    <w:rsid w:val="00677D9B"/>
    <w:rsid w:val="006867F3"/>
    <w:rsid w:val="00687890"/>
    <w:rsid w:val="006901A2"/>
    <w:rsid w:val="00690368"/>
    <w:rsid w:val="0069079C"/>
    <w:rsid w:val="00690B53"/>
    <w:rsid w:val="00694588"/>
    <w:rsid w:val="00695B72"/>
    <w:rsid w:val="006A68D1"/>
    <w:rsid w:val="006A6D9A"/>
    <w:rsid w:val="006B1491"/>
    <w:rsid w:val="006B160A"/>
    <w:rsid w:val="006B4E6C"/>
    <w:rsid w:val="006B50B6"/>
    <w:rsid w:val="006B6262"/>
    <w:rsid w:val="006D79EA"/>
    <w:rsid w:val="006E5D05"/>
    <w:rsid w:val="00701053"/>
    <w:rsid w:val="00701507"/>
    <w:rsid w:val="007016D1"/>
    <w:rsid w:val="00714021"/>
    <w:rsid w:val="00716A0F"/>
    <w:rsid w:val="00717D45"/>
    <w:rsid w:val="007208F7"/>
    <w:rsid w:val="007218AF"/>
    <w:rsid w:val="007365D1"/>
    <w:rsid w:val="00740E0E"/>
    <w:rsid w:val="00750212"/>
    <w:rsid w:val="007511E2"/>
    <w:rsid w:val="00754779"/>
    <w:rsid w:val="0075716D"/>
    <w:rsid w:val="00765F14"/>
    <w:rsid w:val="00770E31"/>
    <w:rsid w:val="007715D8"/>
    <w:rsid w:val="007770F1"/>
    <w:rsid w:val="00783FB1"/>
    <w:rsid w:val="00785CDD"/>
    <w:rsid w:val="00791847"/>
    <w:rsid w:val="007925F0"/>
    <w:rsid w:val="007939B3"/>
    <w:rsid w:val="0079509C"/>
    <w:rsid w:val="00796708"/>
    <w:rsid w:val="007B1B42"/>
    <w:rsid w:val="007C30EB"/>
    <w:rsid w:val="007E063C"/>
    <w:rsid w:val="007E2A4B"/>
    <w:rsid w:val="007E307D"/>
    <w:rsid w:val="007E4962"/>
    <w:rsid w:val="007E6A4E"/>
    <w:rsid w:val="007E6C94"/>
    <w:rsid w:val="007F05E7"/>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2FA5"/>
    <w:rsid w:val="00883C29"/>
    <w:rsid w:val="00885F99"/>
    <w:rsid w:val="0088798F"/>
    <w:rsid w:val="00887E4B"/>
    <w:rsid w:val="008915C8"/>
    <w:rsid w:val="0089500F"/>
    <w:rsid w:val="008A36CF"/>
    <w:rsid w:val="008A3BC4"/>
    <w:rsid w:val="008A5CE9"/>
    <w:rsid w:val="008B403C"/>
    <w:rsid w:val="008B7983"/>
    <w:rsid w:val="008B7A70"/>
    <w:rsid w:val="008C2511"/>
    <w:rsid w:val="008D026D"/>
    <w:rsid w:val="008D23AB"/>
    <w:rsid w:val="008D4B8B"/>
    <w:rsid w:val="008D5A78"/>
    <w:rsid w:val="008E7B64"/>
    <w:rsid w:val="008F5DCD"/>
    <w:rsid w:val="008F7464"/>
    <w:rsid w:val="00900951"/>
    <w:rsid w:val="00905E51"/>
    <w:rsid w:val="009118A6"/>
    <w:rsid w:val="00916909"/>
    <w:rsid w:val="00916EC0"/>
    <w:rsid w:val="00920467"/>
    <w:rsid w:val="00921DE7"/>
    <w:rsid w:val="0093041A"/>
    <w:rsid w:val="00930714"/>
    <w:rsid w:val="00930ECF"/>
    <w:rsid w:val="00931B03"/>
    <w:rsid w:val="009323B9"/>
    <w:rsid w:val="00932DCE"/>
    <w:rsid w:val="0093327E"/>
    <w:rsid w:val="00934028"/>
    <w:rsid w:val="0093760E"/>
    <w:rsid w:val="00944D9D"/>
    <w:rsid w:val="00946044"/>
    <w:rsid w:val="0094660B"/>
    <w:rsid w:val="00946A33"/>
    <w:rsid w:val="0095186D"/>
    <w:rsid w:val="0095260E"/>
    <w:rsid w:val="009578DD"/>
    <w:rsid w:val="00961124"/>
    <w:rsid w:val="009621B6"/>
    <w:rsid w:val="00974F2D"/>
    <w:rsid w:val="00977524"/>
    <w:rsid w:val="00977E88"/>
    <w:rsid w:val="00984920"/>
    <w:rsid w:val="0099303A"/>
    <w:rsid w:val="0099382B"/>
    <w:rsid w:val="009971C2"/>
    <w:rsid w:val="009A1254"/>
    <w:rsid w:val="009A4D4C"/>
    <w:rsid w:val="009B0B3B"/>
    <w:rsid w:val="009B2FF2"/>
    <w:rsid w:val="009B380C"/>
    <w:rsid w:val="009B4843"/>
    <w:rsid w:val="009B6543"/>
    <w:rsid w:val="009C199D"/>
    <w:rsid w:val="009C278F"/>
    <w:rsid w:val="009C2B94"/>
    <w:rsid w:val="009C5874"/>
    <w:rsid w:val="009D3B5A"/>
    <w:rsid w:val="009E0C05"/>
    <w:rsid w:val="009E0D1C"/>
    <w:rsid w:val="009E2214"/>
    <w:rsid w:val="009E355A"/>
    <w:rsid w:val="009E4265"/>
    <w:rsid w:val="009E63E2"/>
    <w:rsid w:val="009F04D2"/>
    <w:rsid w:val="009F05CF"/>
    <w:rsid w:val="009F0F3A"/>
    <w:rsid w:val="009F27F6"/>
    <w:rsid w:val="00A01D0C"/>
    <w:rsid w:val="00A0643F"/>
    <w:rsid w:val="00A067EE"/>
    <w:rsid w:val="00A10FCE"/>
    <w:rsid w:val="00A16D91"/>
    <w:rsid w:val="00A174CC"/>
    <w:rsid w:val="00A2073D"/>
    <w:rsid w:val="00A20751"/>
    <w:rsid w:val="00A27E2D"/>
    <w:rsid w:val="00A3015B"/>
    <w:rsid w:val="00A31D99"/>
    <w:rsid w:val="00A32004"/>
    <w:rsid w:val="00A357BA"/>
    <w:rsid w:val="00A35ADC"/>
    <w:rsid w:val="00A402A3"/>
    <w:rsid w:val="00A50717"/>
    <w:rsid w:val="00A53681"/>
    <w:rsid w:val="00A633D4"/>
    <w:rsid w:val="00A6461A"/>
    <w:rsid w:val="00A8307F"/>
    <w:rsid w:val="00A84504"/>
    <w:rsid w:val="00A8672F"/>
    <w:rsid w:val="00A93057"/>
    <w:rsid w:val="00A966C8"/>
    <w:rsid w:val="00A968B0"/>
    <w:rsid w:val="00AB2672"/>
    <w:rsid w:val="00AB2817"/>
    <w:rsid w:val="00AB43C4"/>
    <w:rsid w:val="00AC32E7"/>
    <w:rsid w:val="00AC3A9F"/>
    <w:rsid w:val="00AC6D2F"/>
    <w:rsid w:val="00AE1A59"/>
    <w:rsid w:val="00AE2745"/>
    <w:rsid w:val="00AE2F64"/>
    <w:rsid w:val="00AF03C2"/>
    <w:rsid w:val="00AF42CB"/>
    <w:rsid w:val="00AF483F"/>
    <w:rsid w:val="00AF5E07"/>
    <w:rsid w:val="00AF5F06"/>
    <w:rsid w:val="00B00A25"/>
    <w:rsid w:val="00B1422A"/>
    <w:rsid w:val="00B1765C"/>
    <w:rsid w:val="00B213C4"/>
    <w:rsid w:val="00B40C60"/>
    <w:rsid w:val="00B479A9"/>
    <w:rsid w:val="00B52EDF"/>
    <w:rsid w:val="00B71188"/>
    <w:rsid w:val="00B71BA1"/>
    <w:rsid w:val="00B735EA"/>
    <w:rsid w:val="00B76A41"/>
    <w:rsid w:val="00B82D7A"/>
    <w:rsid w:val="00B86D73"/>
    <w:rsid w:val="00B87D4C"/>
    <w:rsid w:val="00B90865"/>
    <w:rsid w:val="00B9117D"/>
    <w:rsid w:val="00B93646"/>
    <w:rsid w:val="00BA0B38"/>
    <w:rsid w:val="00BA1DBB"/>
    <w:rsid w:val="00BA4510"/>
    <w:rsid w:val="00BA529A"/>
    <w:rsid w:val="00BB2F8F"/>
    <w:rsid w:val="00BB612A"/>
    <w:rsid w:val="00BD499F"/>
    <w:rsid w:val="00BD56DE"/>
    <w:rsid w:val="00BF2406"/>
    <w:rsid w:val="00C06E43"/>
    <w:rsid w:val="00C16315"/>
    <w:rsid w:val="00C3054B"/>
    <w:rsid w:val="00C3091E"/>
    <w:rsid w:val="00C32159"/>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B731C"/>
    <w:rsid w:val="00CC1A68"/>
    <w:rsid w:val="00CC2123"/>
    <w:rsid w:val="00CD2BFD"/>
    <w:rsid w:val="00CE5AD6"/>
    <w:rsid w:val="00CE617F"/>
    <w:rsid w:val="00CE78EF"/>
    <w:rsid w:val="00D048F7"/>
    <w:rsid w:val="00D0517E"/>
    <w:rsid w:val="00D140FC"/>
    <w:rsid w:val="00D17ECE"/>
    <w:rsid w:val="00D21D8C"/>
    <w:rsid w:val="00D31357"/>
    <w:rsid w:val="00D33220"/>
    <w:rsid w:val="00D334D1"/>
    <w:rsid w:val="00D44C89"/>
    <w:rsid w:val="00D46765"/>
    <w:rsid w:val="00D516CD"/>
    <w:rsid w:val="00D612D8"/>
    <w:rsid w:val="00D668E6"/>
    <w:rsid w:val="00D70670"/>
    <w:rsid w:val="00D74D80"/>
    <w:rsid w:val="00D76624"/>
    <w:rsid w:val="00D802E5"/>
    <w:rsid w:val="00D87570"/>
    <w:rsid w:val="00D91CB9"/>
    <w:rsid w:val="00D94FB1"/>
    <w:rsid w:val="00D97989"/>
    <w:rsid w:val="00D97D8D"/>
    <w:rsid w:val="00DA352E"/>
    <w:rsid w:val="00DB5371"/>
    <w:rsid w:val="00DC7694"/>
    <w:rsid w:val="00DD1BF6"/>
    <w:rsid w:val="00DD2F9B"/>
    <w:rsid w:val="00DE2513"/>
    <w:rsid w:val="00DE26E8"/>
    <w:rsid w:val="00DF4DC3"/>
    <w:rsid w:val="00DF6F36"/>
    <w:rsid w:val="00E0084C"/>
    <w:rsid w:val="00E025AB"/>
    <w:rsid w:val="00E02B23"/>
    <w:rsid w:val="00E06F40"/>
    <w:rsid w:val="00E07CE8"/>
    <w:rsid w:val="00E2256A"/>
    <w:rsid w:val="00E250FE"/>
    <w:rsid w:val="00E26A07"/>
    <w:rsid w:val="00E32595"/>
    <w:rsid w:val="00E37CFD"/>
    <w:rsid w:val="00E41A26"/>
    <w:rsid w:val="00E46BCB"/>
    <w:rsid w:val="00E51CAF"/>
    <w:rsid w:val="00E60F04"/>
    <w:rsid w:val="00E62AAC"/>
    <w:rsid w:val="00E66F4A"/>
    <w:rsid w:val="00E67C2F"/>
    <w:rsid w:val="00E67EF5"/>
    <w:rsid w:val="00E804EA"/>
    <w:rsid w:val="00E80A71"/>
    <w:rsid w:val="00E82337"/>
    <w:rsid w:val="00E92499"/>
    <w:rsid w:val="00E949AF"/>
    <w:rsid w:val="00E96077"/>
    <w:rsid w:val="00EA0A06"/>
    <w:rsid w:val="00EA3665"/>
    <w:rsid w:val="00EA6243"/>
    <w:rsid w:val="00EA74AB"/>
    <w:rsid w:val="00EB3D1B"/>
    <w:rsid w:val="00EB552C"/>
    <w:rsid w:val="00EB62C7"/>
    <w:rsid w:val="00ED1D89"/>
    <w:rsid w:val="00ED66BC"/>
    <w:rsid w:val="00EF233A"/>
    <w:rsid w:val="00EF303E"/>
    <w:rsid w:val="00EF3065"/>
    <w:rsid w:val="00EF3A40"/>
    <w:rsid w:val="00EF7F78"/>
    <w:rsid w:val="00F01B08"/>
    <w:rsid w:val="00F01C4D"/>
    <w:rsid w:val="00F02EB1"/>
    <w:rsid w:val="00F03B46"/>
    <w:rsid w:val="00F053FA"/>
    <w:rsid w:val="00F10C97"/>
    <w:rsid w:val="00F11C71"/>
    <w:rsid w:val="00F16019"/>
    <w:rsid w:val="00F20E68"/>
    <w:rsid w:val="00F22093"/>
    <w:rsid w:val="00F236DF"/>
    <w:rsid w:val="00F2506A"/>
    <w:rsid w:val="00F301AA"/>
    <w:rsid w:val="00F36862"/>
    <w:rsid w:val="00F43AD5"/>
    <w:rsid w:val="00F4402E"/>
    <w:rsid w:val="00F50502"/>
    <w:rsid w:val="00F51773"/>
    <w:rsid w:val="00F56DD0"/>
    <w:rsid w:val="00F6491C"/>
    <w:rsid w:val="00F66E97"/>
    <w:rsid w:val="00F67BBB"/>
    <w:rsid w:val="00F73038"/>
    <w:rsid w:val="00F87D92"/>
    <w:rsid w:val="00F90AA7"/>
    <w:rsid w:val="00F91A98"/>
    <w:rsid w:val="00F92498"/>
    <w:rsid w:val="00F9496B"/>
    <w:rsid w:val="00F970C9"/>
    <w:rsid w:val="00FA06A8"/>
    <w:rsid w:val="00FA3DF5"/>
    <w:rsid w:val="00FA4D8F"/>
    <w:rsid w:val="00FA741F"/>
    <w:rsid w:val="00FB4E07"/>
    <w:rsid w:val="00FB755A"/>
    <w:rsid w:val="00FC5F5D"/>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E1961"/>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944D9D"/>
    <w:pPr>
      <w:contextualSpacing/>
    </w:pPr>
  </w:style>
  <w:style w:type="character" w:styleId="CommentReference">
    <w:name w:val="annotation reference"/>
    <w:basedOn w:val="DefaultParagraphFont"/>
    <w:uiPriority w:val="99"/>
    <w:semiHidden/>
    <w:unhideWhenUsed/>
    <w:rsid w:val="00411B20"/>
    <w:rPr>
      <w:sz w:val="16"/>
      <w:szCs w:val="16"/>
    </w:rPr>
  </w:style>
  <w:style w:type="paragraph" w:styleId="CommentText">
    <w:name w:val="annotation text"/>
    <w:basedOn w:val="Normal"/>
    <w:link w:val="CommentTextChar"/>
    <w:uiPriority w:val="99"/>
    <w:semiHidden/>
    <w:unhideWhenUsed/>
    <w:rsid w:val="00411B20"/>
    <w:pPr>
      <w:spacing w:line="240" w:lineRule="auto"/>
    </w:pPr>
    <w:rPr>
      <w:szCs w:val="20"/>
    </w:rPr>
  </w:style>
  <w:style w:type="character" w:customStyle="1" w:styleId="CommentTextChar">
    <w:name w:val="Comment Text Char"/>
    <w:basedOn w:val="DefaultParagraphFont"/>
    <w:link w:val="CommentText"/>
    <w:uiPriority w:val="99"/>
    <w:semiHidden/>
    <w:rsid w:val="00411B20"/>
    <w:rPr>
      <w:szCs w:val="20"/>
    </w:rPr>
  </w:style>
  <w:style w:type="paragraph" w:styleId="CommentSubject">
    <w:name w:val="annotation subject"/>
    <w:basedOn w:val="CommentText"/>
    <w:next w:val="CommentText"/>
    <w:link w:val="CommentSubjectChar"/>
    <w:uiPriority w:val="99"/>
    <w:semiHidden/>
    <w:unhideWhenUsed/>
    <w:rsid w:val="00411B20"/>
    <w:rPr>
      <w:b/>
      <w:bCs/>
    </w:rPr>
  </w:style>
  <w:style w:type="character" w:customStyle="1" w:styleId="CommentSubjectChar">
    <w:name w:val="Comment Subject Char"/>
    <w:basedOn w:val="CommentTextChar"/>
    <w:link w:val="CommentSubject"/>
    <w:uiPriority w:val="99"/>
    <w:semiHidden/>
    <w:rsid w:val="00411B2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033908">
      <w:bodyDiv w:val="1"/>
      <w:marLeft w:val="0"/>
      <w:marRight w:val="0"/>
      <w:marTop w:val="0"/>
      <w:marBottom w:val="0"/>
      <w:divBdr>
        <w:top w:val="none" w:sz="0" w:space="0" w:color="auto"/>
        <w:left w:val="none" w:sz="0" w:space="0" w:color="auto"/>
        <w:bottom w:val="none" w:sz="0" w:space="0" w:color="auto"/>
        <w:right w:val="none" w:sz="0" w:space="0" w:color="auto"/>
      </w:divBdr>
    </w:div>
    <w:div w:id="185750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D812BDB2E83457898D0B261690240BD"/>
        <w:category>
          <w:name w:val="General"/>
          <w:gallery w:val="placeholder"/>
        </w:category>
        <w:types>
          <w:type w:val="bbPlcHdr"/>
        </w:types>
        <w:behaviors>
          <w:behavior w:val="content"/>
        </w:behaviors>
        <w:guid w:val="{87A3CBCB-3E85-407A-87B0-28695194E26D}"/>
      </w:docPartPr>
      <w:docPartBody>
        <w:p w:rsidR="004D5551" w:rsidRDefault="00FA6992" w:rsidP="00FA6992">
          <w:pPr>
            <w:pStyle w:val="DD812BDB2E83457898D0B261690240BD"/>
          </w:pPr>
          <w:r w:rsidRPr="00724F1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772E2"/>
    <w:rsid w:val="001E198B"/>
    <w:rsid w:val="00433455"/>
    <w:rsid w:val="004D5551"/>
    <w:rsid w:val="006221ED"/>
    <w:rsid w:val="00C95121"/>
    <w:rsid w:val="00D21A9F"/>
    <w:rsid w:val="00D94FB1"/>
    <w:rsid w:val="00FA6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6992"/>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D812BDB2E83457898D0B261690240BD">
    <w:name w:val="DD812BDB2E83457898D0B261690240BD"/>
    <w:rsid w:val="00FA69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6392D-6495-4775-83B8-1CDC8B7C9CFF}"/>
</file>

<file path=customXml/itemProps2.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7278FAF9-9D1B-4BF3-9D98-89AA322F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5</Pages>
  <Words>1091</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81</cp:revision>
  <cp:lastPrinted>2018-10-22T22:41:00Z</cp:lastPrinted>
  <dcterms:created xsi:type="dcterms:W3CDTF">2019-08-09T00:04:00Z</dcterms:created>
  <dcterms:modified xsi:type="dcterms:W3CDTF">2025-12-19T00:41:00Z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2025-12-19T00:41:36Z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b2cf8cd0-ee21-493b-97e6-243acec1d1e1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