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655DA88E" w14:textId="7E2B6F95" w:rsidR="00BD499F" w:rsidRPr="004C23F4" w:rsidRDefault="008B4EA9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COBAlt (METAL and inorganic) (as co) 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4"/>
        <w:gridCol w:w="5032"/>
      </w:tblGrid>
      <w:tr w:rsidR="00F43AD5" w:rsidRPr="004C23F4" w14:paraId="014C32CC" w14:textId="77777777" w:rsidTr="00C458FD">
        <w:trPr>
          <w:cantSplit/>
          <w:tblHeader/>
        </w:trPr>
        <w:tc>
          <w:tcPr>
            <w:tcW w:w="3994" w:type="dxa"/>
          </w:tcPr>
          <w:p w14:paraId="55183C61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2" w:type="dxa"/>
          </w:tcPr>
          <w:p w14:paraId="1DD14B8D" w14:textId="4716D163" w:rsidR="00740652" w:rsidRPr="00740652" w:rsidRDefault="00740652" w:rsidP="00B76A41">
            <w:pPr>
              <w:pStyle w:val="Tablefont"/>
              <w:rPr>
                <w:rFonts w:cs="Arial"/>
                <w:szCs w:val="24"/>
                <w:lang w:val="en-US"/>
              </w:rPr>
            </w:pPr>
            <w:r w:rsidRPr="00BA1438">
              <w:rPr>
                <w:rFonts w:cs="Arial"/>
                <w:szCs w:val="24"/>
                <w:lang w:val="en-US"/>
              </w:rPr>
              <w:t>7440-48-4</w:t>
            </w:r>
          </w:p>
        </w:tc>
      </w:tr>
      <w:tr w:rsidR="00F43AD5" w:rsidRPr="004C23F4" w14:paraId="454C85B5" w14:textId="77777777" w:rsidTr="00C458FD">
        <w:trPr>
          <w:cantSplit/>
        </w:trPr>
        <w:tc>
          <w:tcPr>
            <w:tcW w:w="3994" w:type="dxa"/>
          </w:tcPr>
          <w:p w14:paraId="63457607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2" w:type="dxa"/>
          </w:tcPr>
          <w:p w14:paraId="7ACDD40A" w14:textId="15BBD330" w:rsidR="00740652" w:rsidRPr="008B2474" w:rsidRDefault="00740652" w:rsidP="00B76A41">
            <w:pPr>
              <w:pStyle w:val="Tablefont"/>
              <w:rPr>
                <w:rFonts w:cs="Arial"/>
                <w:szCs w:val="24"/>
                <w:lang w:val="en-US"/>
              </w:rPr>
            </w:pPr>
          </w:p>
        </w:tc>
      </w:tr>
      <w:tr w:rsidR="00F43AD5" w:rsidRPr="004C23F4" w14:paraId="7B80D3D8" w14:textId="77777777" w:rsidTr="00C458FD">
        <w:trPr>
          <w:cantSplit/>
        </w:trPr>
        <w:tc>
          <w:tcPr>
            <w:tcW w:w="3994" w:type="dxa"/>
          </w:tcPr>
          <w:p w14:paraId="23B2572F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2" w:type="dxa"/>
          </w:tcPr>
          <w:p w14:paraId="0BC7652B" w14:textId="4C92FFC7" w:rsidR="00740652" w:rsidRPr="00740652" w:rsidRDefault="007267E5" w:rsidP="00B76A41">
            <w:pPr>
              <w:pStyle w:val="Tablefont"/>
              <w:rPr>
                <w:rFonts w:cs="Arial"/>
                <w:szCs w:val="24"/>
                <w:lang w:val="en-US"/>
              </w:rPr>
            </w:pPr>
            <w:r>
              <w:t>Co</w:t>
            </w:r>
          </w:p>
        </w:tc>
      </w:tr>
    </w:tbl>
    <w:p w14:paraId="2B6DEB0A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F83818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373"/>
        <w:gridCol w:w="4653"/>
      </w:tblGrid>
      <w:tr w:rsidR="002C7AFE" w:rsidRPr="004C23F4" w14:paraId="7F3D30C3" w14:textId="77777777" w:rsidTr="002A3A65">
        <w:trPr>
          <w:cantSplit/>
          <w:tblHeader/>
        </w:trPr>
        <w:tc>
          <w:tcPr>
            <w:tcW w:w="4010" w:type="dxa"/>
            <w:vAlign w:val="center"/>
          </w:tcPr>
          <w:p w14:paraId="32DEAEF5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23EABC0E" w14:textId="77777777" w:rsidR="002C7AFE" w:rsidRPr="00F83818" w:rsidRDefault="00F83818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0.02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2A3A65" w:rsidRPr="004C23F4" w14:paraId="358B47C7" w14:textId="77777777" w:rsidTr="002A3A65">
        <w:trPr>
          <w:cantSplit/>
        </w:trPr>
        <w:tc>
          <w:tcPr>
            <w:tcW w:w="4010" w:type="dxa"/>
            <w:vAlign w:val="center"/>
          </w:tcPr>
          <w:p w14:paraId="69849436" w14:textId="77777777" w:rsidR="002A3A65" w:rsidRPr="002C58FF" w:rsidRDefault="002A3A65" w:rsidP="002A3A65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1E36C0B3" w14:textId="77777777" w:rsidR="002A3A65" w:rsidRPr="00E07F1C" w:rsidRDefault="002A3A65" w:rsidP="006C5630">
            <w:pPr>
              <w:pStyle w:val="Tablerowheading"/>
            </w:pPr>
            <w:r w:rsidRPr="006C5630">
              <w:rPr>
                <w:b w:val="0"/>
              </w:rPr>
              <w:t>—</w:t>
            </w:r>
          </w:p>
        </w:tc>
      </w:tr>
      <w:tr w:rsidR="002A3A65" w:rsidRPr="004C23F4" w14:paraId="115EB792" w14:textId="77777777" w:rsidTr="002A3A65">
        <w:trPr>
          <w:cantSplit/>
        </w:trPr>
        <w:tc>
          <w:tcPr>
            <w:tcW w:w="4010" w:type="dxa"/>
            <w:vAlign w:val="center"/>
          </w:tcPr>
          <w:p w14:paraId="3B4D7256" w14:textId="77777777" w:rsidR="002A3A65" w:rsidRPr="002C58FF" w:rsidRDefault="002A3A65" w:rsidP="002A3A65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25282D4D" w14:textId="77777777" w:rsidR="002A3A65" w:rsidRPr="00E07F1C" w:rsidRDefault="002A3A65" w:rsidP="006C5630">
            <w:pPr>
              <w:pStyle w:val="Tablerowheading"/>
            </w:pPr>
            <w:r w:rsidRPr="006C5630">
              <w:rPr>
                <w:b w:val="0"/>
              </w:rPr>
              <w:t>—</w:t>
            </w:r>
          </w:p>
        </w:tc>
      </w:tr>
      <w:tr w:rsidR="002A3A65" w:rsidRPr="004C23F4" w14:paraId="291B7D8C" w14:textId="77777777" w:rsidTr="002A3A65">
        <w:trPr>
          <w:cantSplit/>
        </w:trPr>
        <w:tc>
          <w:tcPr>
            <w:tcW w:w="4010" w:type="dxa"/>
          </w:tcPr>
          <w:p w14:paraId="79B51249" w14:textId="77777777" w:rsidR="002A3A65" w:rsidRPr="002C58FF" w:rsidRDefault="002A3A65" w:rsidP="002A3A65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328B67D7" w14:textId="0FAA622F" w:rsidR="002A3A65" w:rsidRPr="00E07F1C" w:rsidRDefault="00B36952" w:rsidP="007E191F">
            <w:pPr>
              <w:pStyle w:val="Tablerowheading"/>
            </w:pPr>
            <w:r w:rsidRPr="00E07F1C">
              <w:t>Carc. 1B, DSEN, RSEN</w:t>
            </w:r>
          </w:p>
        </w:tc>
      </w:tr>
      <w:tr w:rsidR="007D1D1E" w:rsidRPr="004C23F4" w14:paraId="0B2C3DF4" w14:textId="77777777" w:rsidTr="008B4EA9">
        <w:trPr>
          <w:cantSplit/>
        </w:trPr>
        <w:tc>
          <w:tcPr>
            <w:tcW w:w="4010" w:type="dxa"/>
          </w:tcPr>
          <w:p w14:paraId="1EAC208E" w14:textId="77777777" w:rsidR="007D1D1E" w:rsidRPr="002C58FF" w:rsidRDefault="007D1D1E" w:rsidP="008B4EA9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4C69A002" w14:textId="28B1F4E4" w:rsidR="007D1D1E" w:rsidRPr="00E07F1C" w:rsidRDefault="00FD29F8" w:rsidP="006C5630">
            <w:pPr>
              <w:pStyle w:val="Tablerowheading"/>
            </w:pPr>
            <w:r w:rsidRPr="00E07F1C">
              <w:t>20 mg/m</w:t>
            </w:r>
            <w:r w:rsidRPr="000C27CA">
              <w:rPr>
                <w:vertAlign w:val="superscript"/>
              </w:rPr>
              <w:t>3</w:t>
            </w:r>
            <w:r w:rsidR="00AE5FD7" w:rsidRPr="00E07F1C">
              <w:t xml:space="preserve"> (</w:t>
            </w:r>
            <w:r w:rsidR="00B50069">
              <w:t>e</w:t>
            </w:r>
            <w:r w:rsidR="00AE5FD7" w:rsidRPr="006C5630">
              <w:t>lemental-</w:t>
            </w:r>
            <w:r w:rsidR="006C5630">
              <w:t>c</w:t>
            </w:r>
            <w:r w:rsidR="00AE5FD7" w:rsidRPr="006C5630">
              <w:t>o</w:t>
            </w:r>
            <w:r w:rsidR="00AE5FD7" w:rsidRPr="007E191F">
              <w:t>balt and inorganic compound)</w:t>
            </w:r>
          </w:p>
        </w:tc>
      </w:tr>
      <w:tr w:rsidR="00A70BC5" w:rsidRPr="004C23F4" w14:paraId="1F66DD1E" w14:textId="77777777" w:rsidTr="006A79CF">
        <w:trPr>
          <w:cantSplit/>
        </w:trPr>
        <w:tc>
          <w:tcPr>
            <w:tcW w:w="9026" w:type="dxa"/>
            <w:gridSpan w:val="2"/>
            <w:vAlign w:val="center"/>
          </w:tcPr>
          <w:tbl>
            <w:tblPr>
              <w:tblStyle w:val="TableGrid"/>
              <w:tblW w:w="902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  <w:tblCaption w:val="Sampling and analysis information"/>
              <w:tblDescription w:val="The recommended value is quantifiable through avaialble sampling and analysis techniques."/>
            </w:tblPr>
            <w:tblGrid>
              <w:gridCol w:w="9026"/>
            </w:tblGrid>
            <w:tr w:rsidR="00A70BC5" w14:paraId="6AC9F004" w14:textId="77777777" w:rsidTr="00DB647F">
              <w:trPr>
                <w:cantSplit/>
                <w:tblHeader/>
              </w:trPr>
              <w:tc>
                <w:tcPr>
                  <w:tcW w:w="9026" w:type="dxa"/>
                  <w:vAlign w:val="center"/>
                </w:tcPr>
                <w:p w14:paraId="1641864D" w14:textId="297BEEC3" w:rsidR="00A70BC5" w:rsidRDefault="00A70BC5" w:rsidP="009C55CE">
                  <w:pPr>
                    <w:pStyle w:val="Tablefont"/>
                  </w:pPr>
                  <w:r w:rsidRPr="008B4EA9">
                    <w:rPr>
                      <w:b/>
                    </w:rPr>
                    <w:t>Sampling and analysis:</w:t>
                  </w:r>
                  <w:r w:rsidRPr="00EC521E">
                    <w:rPr>
                      <w:rStyle w:val="WESstatus"/>
                      <w:color w:val="auto"/>
                    </w:rPr>
                    <w:t xml:space="preserve"> </w:t>
                  </w:r>
                  <w:sdt>
                    <w:sdtPr>
                      <w:rPr>
                        <w:rStyle w:val="WESstatus"/>
                        <w:color w:val="auto"/>
                      </w:rPr>
                      <w:id w:val="-2105258949"/>
                      <w:placeholder>
                        <w:docPart w:val="FB7730003B734700AB44C50CD9BD91C7"/>
                      </w:placeholder>
                      <w:comboBox>
                        <w:listItem w:displayText="(Click here to enter)" w:value="(Click here to enter)"/>
      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      <w:listItem w:displayText="The recommended value is quantifiable through available sampling and analysis techniques. " w:value="The recommended value is quantifiable through available sampling and analysis techniques. "/>
      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      </w:comboBox>
                    </w:sdtPr>
                    <w:sdtEndPr>
                      <w:rPr>
                        <w:rStyle w:val="WESstatus"/>
                      </w:rPr>
                    </w:sdtEndPr>
                    <w:sdtContent>
                      <w:r w:rsidRPr="008B4EA9">
                        <w:rPr>
                          <w:rStyle w:val="WESstatus"/>
                          <w:color w:val="auto"/>
                        </w:rPr>
                        <w:t xml:space="preserve">The recommended value is quantifiable through available sampling and analysis techniques. </w:t>
                      </w:r>
                    </w:sdtContent>
                  </w:sdt>
                </w:p>
              </w:tc>
            </w:tr>
          </w:tbl>
          <w:p w14:paraId="3D3E704C" w14:textId="454014BF" w:rsidR="00A70BC5" w:rsidRPr="00EB3D1B" w:rsidRDefault="00A70BC5" w:rsidP="00017C82">
            <w:pPr>
              <w:pStyle w:val="Tablefont"/>
              <w:rPr>
                <w:b/>
              </w:rPr>
            </w:pPr>
          </w:p>
        </w:tc>
      </w:tr>
    </w:tbl>
    <w:p w14:paraId="483D82A4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7AC9B700" w14:textId="08963EC9" w:rsidR="006639B4" w:rsidRPr="00767D96" w:rsidRDefault="00767D96" w:rsidP="000C139A">
      <w:pPr>
        <w:rPr>
          <w:rFonts w:cs="Arial"/>
        </w:rPr>
      </w:pPr>
      <w:r>
        <w:rPr>
          <w:rFonts w:cs="Arial"/>
        </w:rPr>
        <w:t>A TWA of 0.02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is recommended to protect for the development of asthma and adverse pulmonary and myocardial effects</w:t>
      </w:r>
      <w:r w:rsidR="0038271E">
        <w:rPr>
          <w:rFonts w:cs="Arial"/>
        </w:rPr>
        <w:t xml:space="preserve"> in exposed workers</w:t>
      </w:r>
      <w:r w:rsidR="00E07F1C">
        <w:rPr>
          <w:rFonts w:cs="Arial"/>
        </w:rPr>
        <w:t>.</w:t>
      </w:r>
    </w:p>
    <w:p w14:paraId="277E6AA5" w14:textId="77777777" w:rsidR="00C7155E" w:rsidRPr="004C23F4" w:rsidRDefault="00F10C97" w:rsidP="003365A5">
      <w:pPr>
        <w:pStyle w:val="Heading2"/>
      </w:pPr>
      <w:r>
        <w:t>Discussion and conclusions</w:t>
      </w:r>
    </w:p>
    <w:p w14:paraId="0BBED919" w14:textId="77777777" w:rsidR="00B50069" w:rsidRDefault="00F97183" w:rsidP="003F3099">
      <w:r>
        <w:t xml:space="preserve">Cobalt metals and metal powders are used in various applications such as permanent magnets, heat-resistant alloys, high-strength alloys, and tool and die metals. </w:t>
      </w:r>
    </w:p>
    <w:p w14:paraId="6B336C9A" w14:textId="3925C3E5" w:rsidR="003F3099" w:rsidRDefault="00F97183" w:rsidP="003F3099">
      <w:r w:rsidRPr="004F6BE1">
        <w:t xml:space="preserve">Cobalt </w:t>
      </w:r>
      <w:r>
        <w:t>is</w:t>
      </w:r>
      <w:r w:rsidRPr="004F6BE1">
        <w:t xml:space="preserve"> an essential element for humans</w:t>
      </w:r>
      <w:r>
        <w:t>, the absence of which results in anaemia.</w:t>
      </w:r>
      <w:r w:rsidR="003F3099">
        <w:t xml:space="preserve"> </w:t>
      </w:r>
      <w:r>
        <w:t>Numerous studies have linked pulmonary effects, asthma and myocardial effects with exposure to cobalt and its compounds at 0.06</w:t>
      </w:r>
      <w:r w:rsidR="0038271E">
        <w:t> </w:t>
      </w:r>
      <w:r>
        <w:t>mg/m</w:t>
      </w:r>
      <w:r>
        <w:rPr>
          <w:vertAlign w:val="superscript"/>
        </w:rPr>
        <w:t>3</w:t>
      </w:r>
      <w:r w:rsidR="003F3099">
        <w:t xml:space="preserve">. </w:t>
      </w:r>
      <w:r>
        <w:t>Reversible acute effects in humans</w:t>
      </w:r>
      <w:r w:rsidR="00B50069">
        <w:t>,</w:t>
      </w:r>
      <w:r>
        <w:t xml:space="preserve"> </w:t>
      </w:r>
      <w:r w:rsidR="00C458FD">
        <w:t>including</w:t>
      </w:r>
      <w:r>
        <w:t xml:space="preserve"> </w:t>
      </w:r>
      <w:r w:rsidRPr="008C0718">
        <w:t>respiratory tract irritation</w:t>
      </w:r>
      <w:r w:rsidR="00924DBD">
        <w:t xml:space="preserve"> and</w:t>
      </w:r>
      <w:r>
        <w:t xml:space="preserve"> reduced forced vital capacity</w:t>
      </w:r>
      <w:r w:rsidR="00B50069">
        <w:t>,</w:t>
      </w:r>
      <w:r w:rsidRPr="008C0718">
        <w:t xml:space="preserve"> </w:t>
      </w:r>
      <w:r w:rsidR="00B50069">
        <w:t>are</w:t>
      </w:r>
      <w:r w:rsidRPr="008C0718">
        <w:t xml:space="preserve"> </w:t>
      </w:r>
      <w:r>
        <w:t>reported</w:t>
      </w:r>
      <w:r w:rsidRPr="008C0718">
        <w:t xml:space="preserve"> after short</w:t>
      </w:r>
      <w:r w:rsidRPr="008C0718">
        <w:rPr>
          <w:rFonts w:ascii="Cambria Math" w:hAnsi="Cambria Math" w:cs="Cambria Math"/>
        </w:rPr>
        <w:t>‐</w:t>
      </w:r>
      <w:r w:rsidRPr="008C0718">
        <w:t>term exposure to coba</w:t>
      </w:r>
      <w:r>
        <w:t xml:space="preserve">lt </w:t>
      </w:r>
      <w:r w:rsidR="00B50069">
        <w:t>at</w:t>
      </w:r>
      <w:r>
        <w:t xml:space="preserve"> 0.038 mg/m</w:t>
      </w:r>
      <w:r>
        <w:rPr>
          <w:vertAlign w:val="superscript"/>
        </w:rPr>
        <w:t>3</w:t>
      </w:r>
      <w:r w:rsidR="003F3099">
        <w:t xml:space="preserve"> (ACGIH, 2018).</w:t>
      </w:r>
      <w:r w:rsidR="00E07F1C">
        <w:t xml:space="preserve"> </w:t>
      </w:r>
      <w:r w:rsidR="003F3099">
        <w:t>A sub-chronic study in miniature swine identified pulmonary effects occurring at exposures of 0.1 mg/m</w:t>
      </w:r>
      <w:r w:rsidR="003F3099">
        <w:rPr>
          <w:vertAlign w:val="superscript"/>
        </w:rPr>
        <w:t>3</w:t>
      </w:r>
      <w:r w:rsidR="003F3099">
        <w:t xml:space="preserve"> cobalt metal (DFG, 2007). A 14</w:t>
      </w:r>
      <w:r w:rsidR="00B50069">
        <w:t xml:space="preserve"> </w:t>
      </w:r>
      <w:r w:rsidR="003F3099">
        <w:t xml:space="preserve">week repeat dose study in rats and mice </w:t>
      </w:r>
      <w:r w:rsidR="00B50069">
        <w:t xml:space="preserve">reported </w:t>
      </w:r>
      <w:r w:rsidR="003F3099">
        <w:t xml:space="preserve">a </w:t>
      </w:r>
      <w:r w:rsidR="003F3099" w:rsidRPr="003F3099">
        <w:t>LOAEC</w:t>
      </w:r>
      <w:r w:rsidR="003F3099">
        <w:t xml:space="preserve"> for lung weight changes</w:t>
      </w:r>
      <w:r w:rsidR="003F3099" w:rsidRPr="003F3099">
        <w:t xml:space="preserve"> </w:t>
      </w:r>
      <w:r w:rsidR="00B50069">
        <w:t>at</w:t>
      </w:r>
      <w:r w:rsidR="003F3099">
        <w:t xml:space="preserve"> 0.61 mg/m</w:t>
      </w:r>
      <w:r w:rsidR="00924DBD">
        <w:rPr>
          <w:vertAlign w:val="superscript"/>
        </w:rPr>
        <w:t>3</w:t>
      </w:r>
      <w:r w:rsidR="003F3099">
        <w:t xml:space="preserve"> (NICNAS, 2014).</w:t>
      </w:r>
      <w:r w:rsidR="00E07F1C">
        <w:t xml:space="preserve"> </w:t>
      </w:r>
    </w:p>
    <w:p w14:paraId="0E0491AE" w14:textId="3B470E3C" w:rsidR="005822F9" w:rsidRPr="004C23F4" w:rsidRDefault="008B1408" w:rsidP="006639B4">
      <w:pPr>
        <w:rPr>
          <w:rFonts w:cs="Arial"/>
        </w:rPr>
      </w:pPr>
      <w:r>
        <w:t xml:space="preserve">Based on short-term acute effects in humans and the LOAEC in rats, a </w:t>
      </w:r>
      <w:r w:rsidR="00D050D5">
        <w:t>TWA of 0.02 mg/m</w:t>
      </w:r>
      <w:r w:rsidR="00D050D5">
        <w:rPr>
          <w:vertAlign w:val="superscript"/>
        </w:rPr>
        <w:t>3</w:t>
      </w:r>
      <w:r w:rsidR="006C5630">
        <w:t xml:space="preserve"> </w:t>
      </w:r>
      <w:r w:rsidR="00D050D5">
        <w:t xml:space="preserve">is </w:t>
      </w:r>
      <w:r w:rsidR="00924DBD">
        <w:t>recommended</w:t>
      </w:r>
      <w:r w:rsidR="00D050D5">
        <w:t xml:space="preserve"> to protect for </w:t>
      </w:r>
      <w:r w:rsidR="00B50069">
        <w:t xml:space="preserve">the </w:t>
      </w:r>
      <w:r w:rsidR="00D050D5">
        <w:t>develop</w:t>
      </w:r>
      <w:r w:rsidR="00B50069">
        <w:t>ment of</w:t>
      </w:r>
      <w:r w:rsidR="00D050D5">
        <w:t xml:space="preserve"> asthma, </w:t>
      </w:r>
      <w:r w:rsidR="00B50069">
        <w:t xml:space="preserve">changes in </w:t>
      </w:r>
      <w:r w:rsidR="00D050D5">
        <w:t>pulmonary function</w:t>
      </w:r>
      <w:r w:rsidR="00924DBD">
        <w:t xml:space="preserve"> and myocardial effects in exposed workers</w:t>
      </w:r>
      <w:r w:rsidR="00E20DB8">
        <w:t>.</w:t>
      </w:r>
    </w:p>
    <w:p w14:paraId="7621029B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0A1BEB31" w14:textId="296083BD" w:rsidR="00404810" w:rsidRPr="00404810" w:rsidRDefault="007267E5" w:rsidP="004A7CC2">
      <w:pPr>
        <w:rPr>
          <w:rFonts w:cs="Arial"/>
        </w:rPr>
      </w:pPr>
      <w:r>
        <w:rPr>
          <w:rFonts w:cs="Arial"/>
        </w:rPr>
        <w:t>C</w:t>
      </w:r>
      <w:r w:rsidR="004A7CC2" w:rsidRPr="00B36952">
        <w:rPr>
          <w:rFonts w:cs="Arial"/>
        </w:rPr>
        <w:t xml:space="preserve">lassified as a </w:t>
      </w:r>
      <w:r w:rsidR="00074DE0">
        <w:rPr>
          <w:rFonts w:cs="Arial"/>
        </w:rPr>
        <w:t xml:space="preserve">category 1B </w:t>
      </w:r>
      <w:r w:rsidR="004A7CC2" w:rsidRPr="00B36952">
        <w:rPr>
          <w:rFonts w:cs="Arial"/>
        </w:rPr>
        <w:t xml:space="preserve">carcinogen </w:t>
      </w:r>
      <w:r w:rsidR="004A7CC2" w:rsidRPr="00404810">
        <w:rPr>
          <w:rFonts w:cs="Arial"/>
        </w:rPr>
        <w:t>according to the Globally Harmonized System of</w:t>
      </w:r>
      <w:r w:rsidR="00A70BC5">
        <w:rPr>
          <w:rFonts w:cs="Arial"/>
        </w:rPr>
        <w:t xml:space="preserve"> Classification and Labelling of</w:t>
      </w:r>
      <w:r w:rsidR="004A7CC2" w:rsidRPr="00404810">
        <w:rPr>
          <w:rFonts w:cs="Arial"/>
        </w:rPr>
        <w:t xml:space="preserve"> Chemicals (GHS).</w:t>
      </w:r>
    </w:p>
    <w:p w14:paraId="70678415" w14:textId="6F6BB409" w:rsidR="004A7CC2" w:rsidRPr="00404810" w:rsidRDefault="007267E5" w:rsidP="004A7CC2">
      <w:pPr>
        <w:rPr>
          <w:rFonts w:cs="Arial"/>
        </w:rPr>
      </w:pPr>
      <w:r>
        <w:rPr>
          <w:rFonts w:cs="Arial"/>
        </w:rPr>
        <w:t>C</w:t>
      </w:r>
      <w:r w:rsidR="004A7CC2" w:rsidRPr="00404810">
        <w:rPr>
          <w:rFonts w:cs="Arial"/>
        </w:rPr>
        <w:t xml:space="preserve">lassified as </w:t>
      </w:r>
      <w:r>
        <w:rPr>
          <w:rFonts w:cs="Arial"/>
        </w:rPr>
        <w:t xml:space="preserve">a </w:t>
      </w:r>
      <w:r w:rsidR="004A7CC2" w:rsidRPr="00404810">
        <w:rPr>
          <w:rFonts w:cs="Arial"/>
        </w:rPr>
        <w:t xml:space="preserve">skin </w:t>
      </w:r>
      <w:r w:rsidR="00A70BC5" w:rsidRPr="00404810">
        <w:rPr>
          <w:rFonts w:cs="Arial"/>
        </w:rPr>
        <w:t xml:space="preserve">sensitiser </w:t>
      </w:r>
      <w:r w:rsidR="00404810">
        <w:rPr>
          <w:rFonts w:cs="Arial"/>
        </w:rPr>
        <w:t>and</w:t>
      </w:r>
      <w:r w:rsidR="004A7CC2" w:rsidRPr="00404810">
        <w:rPr>
          <w:rFonts w:cs="Arial"/>
        </w:rPr>
        <w:t xml:space="preserve"> </w:t>
      </w:r>
      <w:r>
        <w:rPr>
          <w:rFonts w:cs="Arial"/>
        </w:rPr>
        <w:t xml:space="preserve">a </w:t>
      </w:r>
      <w:r w:rsidR="004A7CC2" w:rsidRPr="00404810">
        <w:rPr>
          <w:rFonts w:cs="Arial"/>
        </w:rPr>
        <w:t>respiratory sensitiser according to the GHS.</w:t>
      </w:r>
      <w:r w:rsidR="00404810" w:rsidRPr="00404810">
        <w:rPr>
          <w:rFonts w:cs="Arial"/>
        </w:rPr>
        <w:t xml:space="preserve"> </w:t>
      </w:r>
    </w:p>
    <w:p w14:paraId="7B773DD6" w14:textId="10D0EC14" w:rsidR="0025734A" w:rsidRPr="004C23F4" w:rsidRDefault="00A70BC5">
      <w:pPr>
        <w:rPr>
          <w:rFonts w:cs="Arial"/>
        </w:rPr>
      </w:pPr>
      <w:r>
        <w:rPr>
          <w:rFonts w:cs="Arial"/>
        </w:rPr>
        <w:t>There are insufficient data to recommend a skin notation.</w:t>
      </w:r>
    </w:p>
    <w:p w14:paraId="288C26F1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23BEAA1E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64910E13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44072CBF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BD5CC31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2A7F00A4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624C7706" w14:textId="3CF7B165" w:rsidR="00DE26E8" w:rsidRPr="003365A5" w:rsidRDefault="00DE26E8" w:rsidP="00B50069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ind w:left="2947" w:hanging="2947"/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CB09CB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513CCF">
                  <w:rPr>
                    <w:rFonts w:cs="Arial"/>
                    <w:szCs w:val="24"/>
                    <w:lang w:val="en-US"/>
                  </w:rPr>
                  <w:t>TWA: 0.05 mg/m</w:t>
                </w:r>
                <w:r w:rsidR="00513CCF" w:rsidRPr="00043648">
                  <w:rPr>
                    <w:rFonts w:cs="Arial"/>
                    <w:szCs w:val="24"/>
                    <w:vertAlign w:val="superscript"/>
                    <w:lang w:val="en-US"/>
                  </w:rPr>
                  <w:t>3</w:t>
                </w:r>
                <w:r w:rsidR="00513CCF">
                  <w:rPr>
                    <w:rFonts w:cs="Arial"/>
                    <w:szCs w:val="24"/>
                    <w:lang w:val="en-US"/>
                  </w:rPr>
                  <w:t xml:space="preserve"> (</w:t>
                </w:r>
                <w:r w:rsidR="00B50069">
                  <w:rPr>
                    <w:rFonts w:cs="Arial"/>
                    <w:szCs w:val="24"/>
                    <w:lang w:val="en-US"/>
                  </w:rPr>
                  <w:t>e</w:t>
                </w:r>
                <w:r w:rsidR="00513CCF" w:rsidRPr="00BA1438">
                  <w:rPr>
                    <w:rFonts w:cs="Arial"/>
                    <w:szCs w:val="24"/>
                    <w:lang w:val="en-US"/>
                  </w:rPr>
                  <w:t>lemental</w:t>
                </w:r>
                <w:r w:rsidR="00513CCF">
                  <w:rPr>
                    <w:rFonts w:cs="Arial"/>
                    <w:szCs w:val="24"/>
                    <w:lang w:val="en-US"/>
                  </w:rPr>
                  <w:t>-Co and inorganic</w:t>
                </w:r>
                <w:r w:rsidR="00E07F1C">
                  <w:rPr>
                    <w:rFonts w:cs="Arial"/>
                    <w:szCs w:val="24"/>
                    <w:lang w:val="en-US"/>
                  </w:rPr>
                  <w:t xml:space="preserve"> </w:t>
                </w:r>
                <w:r w:rsidR="00513CCF">
                  <w:rPr>
                    <w:rFonts w:cs="Arial"/>
                    <w:szCs w:val="24"/>
                    <w:lang w:val="en-US"/>
                  </w:rPr>
                  <w:t>compound)</w:t>
                </w:r>
                <w:r w:rsidR="00E07F1C">
                  <w:rPr>
                    <w:rFonts w:cs="Arial"/>
                    <w:szCs w:val="24"/>
                    <w:lang w:val="en-US"/>
                  </w:rPr>
                  <w:t xml:space="preserve"> </w:t>
                </w:r>
              </w:sdtContent>
            </w:sdt>
          </w:p>
        </w:tc>
      </w:tr>
      <w:tr w:rsidR="00C978F0" w:rsidRPr="00DA352E" w14:paraId="23365A9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54856C9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353D597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73E89E7" w14:textId="63BECC0A" w:rsidR="00C978F0" w:rsidRPr="00DA352E" w:rsidRDefault="00DA352E" w:rsidP="00B50069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ind w:left="2947" w:hanging="2947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167525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8164D5">
                  <w:rPr>
                    <w:rFonts w:cs="Arial"/>
                    <w:szCs w:val="24"/>
                    <w:lang w:val="en-US"/>
                  </w:rPr>
                  <w:t>TLV-</w:t>
                </w:r>
                <w:r w:rsidR="00F41185">
                  <w:rPr>
                    <w:rFonts w:cs="Arial"/>
                    <w:szCs w:val="24"/>
                    <w:lang w:val="en-US"/>
                  </w:rPr>
                  <w:t>TWA: 0.02 mg/m</w:t>
                </w:r>
                <w:r w:rsidR="00F41185" w:rsidRPr="00043648">
                  <w:rPr>
                    <w:rFonts w:cs="Arial"/>
                    <w:szCs w:val="24"/>
                    <w:vertAlign w:val="superscript"/>
                    <w:lang w:val="en-US"/>
                  </w:rPr>
                  <w:t>3</w:t>
                </w:r>
                <w:r w:rsidR="00F41185">
                  <w:rPr>
                    <w:rFonts w:cs="Arial"/>
                    <w:szCs w:val="24"/>
                    <w:lang w:val="en-US"/>
                  </w:rPr>
                  <w:t>, as Co (</w:t>
                </w:r>
                <w:r w:rsidR="00B50069">
                  <w:rPr>
                    <w:rFonts w:cs="Arial"/>
                    <w:szCs w:val="24"/>
                    <w:lang w:val="en-US"/>
                  </w:rPr>
                  <w:t>e</w:t>
                </w:r>
                <w:r w:rsidR="00F41185" w:rsidRPr="00BA1438">
                  <w:rPr>
                    <w:rFonts w:cs="Arial"/>
                    <w:szCs w:val="24"/>
                    <w:lang w:val="en-US"/>
                  </w:rPr>
                  <w:t>lemental</w:t>
                </w:r>
                <w:r w:rsidR="00F41185">
                  <w:rPr>
                    <w:rFonts w:cs="Arial"/>
                    <w:szCs w:val="24"/>
                    <w:lang w:val="en-US"/>
                  </w:rPr>
                  <w:t>-</w:t>
                </w:r>
                <w:r w:rsidR="00AC0F1C">
                  <w:rPr>
                    <w:rFonts w:cs="Arial"/>
                    <w:szCs w:val="24"/>
                    <w:lang w:val="en-US"/>
                  </w:rPr>
                  <w:t xml:space="preserve">Co and inorganic </w:t>
                </w:r>
                <w:r w:rsidR="00F41185">
                  <w:rPr>
                    <w:rFonts w:cs="Arial"/>
                    <w:szCs w:val="24"/>
                    <w:lang w:val="en-US"/>
                  </w:rPr>
                  <w:t>compound)</w:t>
                </w:r>
                <w:r w:rsidR="00E07F1C">
                  <w:rPr>
                    <w:rFonts w:cs="Arial"/>
                    <w:szCs w:val="24"/>
                    <w:lang w:val="en-US"/>
                  </w:rPr>
                  <w:t xml:space="preserve"> </w:t>
                </w:r>
              </w:sdtContent>
            </w:sdt>
          </w:p>
        </w:tc>
      </w:tr>
      <w:tr w:rsidR="00C978F0" w:rsidRPr="00DA352E" w14:paraId="53EF8B02" w14:textId="77777777" w:rsidTr="007E191F">
        <w:trPr>
          <w:gridAfter w:val="1"/>
          <w:wAfter w:w="8" w:type="pct"/>
        </w:trPr>
        <w:tc>
          <w:tcPr>
            <w:tcW w:w="0" w:type="pct"/>
          </w:tcPr>
          <w:p w14:paraId="7B390ACD" w14:textId="03BD66D5" w:rsidR="003A723A" w:rsidRDefault="003A723A" w:rsidP="003A723A">
            <w:pPr>
              <w:pStyle w:val="Tabletextprimarysource"/>
            </w:pPr>
            <w:r>
              <w:t>TWA-TLA recommended to minimise developing asthma, pulmonary function alterations and myocardial effects.</w:t>
            </w:r>
          </w:p>
          <w:p w14:paraId="56604FCF" w14:textId="77777777" w:rsidR="003A723A" w:rsidRDefault="004F6BE1" w:rsidP="003A723A">
            <w:pPr>
              <w:pStyle w:val="Tabletextprimarysource"/>
            </w:pPr>
            <w:r>
              <w:t>Summary of data:</w:t>
            </w:r>
          </w:p>
          <w:p w14:paraId="47E2A36C" w14:textId="77777777" w:rsidR="004F6BE1" w:rsidRDefault="004F6BE1" w:rsidP="003A723A">
            <w:pPr>
              <w:pStyle w:val="Tabletextprimarysource"/>
            </w:pPr>
            <w:r>
              <w:t>Human data:</w:t>
            </w:r>
          </w:p>
          <w:p w14:paraId="5CA43D4D" w14:textId="141EADC2" w:rsidR="003A723A" w:rsidRDefault="004F6BE1" w:rsidP="007267E5">
            <w:pPr>
              <w:pStyle w:val="ListBullet"/>
              <w:ind w:left="720"/>
            </w:pPr>
            <w:r w:rsidRPr="004F6BE1">
              <w:t xml:space="preserve">Co </w:t>
            </w:r>
            <w:r>
              <w:t>in vitamin B</w:t>
            </w:r>
            <w:r>
              <w:rPr>
                <w:vertAlign w:val="subscript"/>
              </w:rPr>
              <w:t>12</w:t>
            </w:r>
            <w:r>
              <w:t xml:space="preserve"> is</w:t>
            </w:r>
            <w:r w:rsidRPr="004F6BE1">
              <w:t xml:space="preserve"> an essential element for humans</w:t>
            </w:r>
            <w:r>
              <w:t>, the absence of which results in anaemia</w:t>
            </w:r>
          </w:p>
          <w:p w14:paraId="437D79CE" w14:textId="41017916" w:rsidR="00D55941" w:rsidRDefault="00D55941" w:rsidP="007267E5">
            <w:pPr>
              <w:pStyle w:val="ListBullet"/>
              <w:ind w:left="720"/>
            </w:pPr>
            <w:r>
              <w:t xml:space="preserve">A case control study involving 21 </w:t>
            </w:r>
            <w:r w:rsidR="00444916">
              <w:t>co</w:t>
            </w:r>
            <w:r>
              <w:t xml:space="preserve">-exposed workers with asthma and 55 randomly selected workers without asthma; </w:t>
            </w:r>
            <w:r w:rsidR="002634D1">
              <w:t xml:space="preserve">co-exposure to </w:t>
            </w:r>
            <w:r w:rsidR="00B50069">
              <w:t>SO</w:t>
            </w:r>
            <w:r w:rsidR="00B50069" w:rsidRPr="00B50069">
              <w:rPr>
                <w:vertAlign w:val="subscript"/>
              </w:rPr>
              <w:t>2</w:t>
            </w:r>
            <w:r>
              <w:t xml:space="preserve"> noted; asthma relative risk of 4.1 for exposed compared to controls; estimated 5-fold increase in risk of devel</w:t>
            </w:r>
            <w:r w:rsidR="00C458FD">
              <w:t>oping asthma in those exposed at</w:t>
            </w:r>
            <w:r>
              <w:t xml:space="preserve"> &lt;0.1 mg/m</w:t>
            </w:r>
            <w:r>
              <w:rPr>
                <w:vertAlign w:val="superscript"/>
              </w:rPr>
              <w:t>3</w:t>
            </w:r>
            <w:r w:rsidR="00D0053E">
              <w:t xml:space="preserve"> </w:t>
            </w:r>
            <w:r w:rsidR="00B50069">
              <w:t>CoSO</w:t>
            </w:r>
            <w:r w:rsidR="00B50069" w:rsidRPr="00B50069">
              <w:rPr>
                <w:vertAlign w:val="subscript"/>
              </w:rPr>
              <w:t>4</w:t>
            </w:r>
            <w:r w:rsidR="00D0053E">
              <w:t xml:space="preserve"> </w:t>
            </w:r>
            <w:r w:rsidR="00B50069">
              <w:t>(</w:t>
            </w:r>
            <w:r w:rsidR="00D0053E">
              <w:t>as Co</w:t>
            </w:r>
            <w:r w:rsidR="00B50069">
              <w:t>)</w:t>
            </w:r>
          </w:p>
          <w:p w14:paraId="6C717534" w14:textId="77777777" w:rsidR="00D55941" w:rsidRDefault="00D55941" w:rsidP="007267E5">
            <w:pPr>
              <w:pStyle w:val="ListBullet"/>
              <w:ind w:left="720"/>
            </w:pPr>
            <w:r>
              <w:t xml:space="preserve">Studies on </w:t>
            </w:r>
            <w:r w:rsidR="001B6733">
              <w:t>workers</w:t>
            </w:r>
            <w:r>
              <w:t xml:space="preserve"> in the cemented carbide industry</w:t>
            </w:r>
            <w:r w:rsidR="001B6733">
              <w:t xml:space="preserve"> </w:t>
            </w:r>
            <w:r>
              <w:t>reported:</w:t>
            </w:r>
            <w:r w:rsidR="001B6733">
              <w:t xml:space="preserve"> </w:t>
            </w:r>
          </w:p>
          <w:p w14:paraId="0E9A73DC" w14:textId="03A8E2F9" w:rsidR="00D0053E" w:rsidRDefault="00D55941" w:rsidP="007267E5">
            <w:pPr>
              <w:pStyle w:val="ListBullet"/>
              <w:numPr>
                <w:ilvl w:val="0"/>
                <w:numId w:val="2"/>
              </w:numPr>
              <w:ind w:left="1080"/>
            </w:pPr>
            <w:r>
              <w:t>o</w:t>
            </w:r>
            <w:r w:rsidR="001B6733">
              <w:t>bstructive pulmonary changes</w:t>
            </w:r>
            <w:r w:rsidR="00D0053E">
              <w:t xml:space="preserve"> in workers exposed </w:t>
            </w:r>
            <w:r w:rsidR="00B50069">
              <w:t>at an average of</w:t>
            </w:r>
            <w:r w:rsidR="00D0053E">
              <w:t xml:space="preserve"> 0.06 mg/m</w:t>
            </w:r>
            <w:r w:rsidR="00D0053E">
              <w:rPr>
                <w:vertAlign w:val="superscript"/>
              </w:rPr>
              <w:t>3</w:t>
            </w:r>
            <w:r w:rsidR="00D0053E">
              <w:t xml:space="preserve"> (no duration provided)</w:t>
            </w:r>
          </w:p>
          <w:p w14:paraId="567A46C4" w14:textId="1252ED41" w:rsidR="00D0053E" w:rsidRDefault="001B6733" w:rsidP="007267E5">
            <w:pPr>
              <w:pStyle w:val="ListBullet"/>
              <w:numPr>
                <w:ilvl w:val="0"/>
                <w:numId w:val="2"/>
              </w:numPr>
              <w:ind w:left="1080"/>
            </w:pPr>
            <w:r>
              <w:t>complaints of respiratory irr</w:t>
            </w:r>
            <w:r w:rsidR="00D0053E">
              <w:t xml:space="preserve">itation from workers exposed </w:t>
            </w:r>
            <w:r w:rsidR="00B50069">
              <w:t>at an</w:t>
            </w:r>
            <w:r w:rsidR="00D0053E">
              <w:t xml:space="preserve"> average of 0.06 mg/m</w:t>
            </w:r>
            <w:r w:rsidR="00D0053E">
              <w:rPr>
                <w:vertAlign w:val="superscript"/>
              </w:rPr>
              <w:t>3</w:t>
            </w:r>
            <w:r w:rsidR="00D0053E">
              <w:t xml:space="preserve"> (no duration provided); positive correlation between concentration in urine and blood and the average exposure to </w:t>
            </w:r>
            <w:r w:rsidR="00B50069">
              <w:t>Co</w:t>
            </w:r>
          </w:p>
          <w:p w14:paraId="131894D7" w14:textId="12648B11" w:rsidR="001B6733" w:rsidRDefault="001B6733" w:rsidP="007267E5">
            <w:pPr>
              <w:pStyle w:val="ListBullet"/>
              <w:numPr>
                <w:ilvl w:val="0"/>
                <w:numId w:val="2"/>
              </w:numPr>
              <w:ind w:left="1080"/>
            </w:pPr>
            <w:r>
              <w:t xml:space="preserve">impaired pulmonary function </w:t>
            </w:r>
            <w:r w:rsidR="00D0053E">
              <w:t xml:space="preserve">persisting up to 4 wk </w:t>
            </w:r>
            <w:r>
              <w:t xml:space="preserve">following exposure </w:t>
            </w:r>
            <w:r w:rsidR="00B50069">
              <w:t>at</w:t>
            </w:r>
            <w:r>
              <w:t xml:space="preserve"> an average concentration of 0.06 mg/m</w:t>
            </w:r>
            <w:r>
              <w:rPr>
                <w:vertAlign w:val="superscript"/>
              </w:rPr>
              <w:t>3</w:t>
            </w:r>
            <w:r w:rsidR="00767D96">
              <w:t xml:space="preserve"> (no duration provided)</w:t>
            </w:r>
          </w:p>
          <w:p w14:paraId="030CA662" w14:textId="162D90AA" w:rsidR="00D0053E" w:rsidRDefault="00D0053E" w:rsidP="007267E5">
            <w:pPr>
              <w:pStyle w:val="ListBullet"/>
              <w:numPr>
                <w:ilvl w:val="0"/>
                <w:numId w:val="2"/>
              </w:numPr>
              <w:ind w:left="1080"/>
            </w:pPr>
            <w:r>
              <w:t xml:space="preserve">development of </w:t>
            </w:r>
            <w:r w:rsidR="00B50069">
              <w:t xml:space="preserve">ECG </w:t>
            </w:r>
            <w:r>
              <w:t xml:space="preserve">changes that reversed after 4 wk absence from work following exposure </w:t>
            </w:r>
            <w:r w:rsidR="00B50069">
              <w:t>at</w:t>
            </w:r>
            <w:r>
              <w:t xml:space="preserve"> an average concentration of 0.01 mg/m</w:t>
            </w:r>
            <w:r>
              <w:rPr>
                <w:vertAlign w:val="superscript"/>
              </w:rPr>
              <w:t>3</w:t>
            </w:r>
            <w:r>
              <w:t xml:space="preserve"> (no duration provided); authors did not considered changes as work-related</w:t>
            </w:r>
          </w:p>
          <w:p w14:paraId="299B8F0F" w14:textId="110307DB" w:rsidR="008F7C83" w:rsidRPr="008F7C83" w:rsidRDefault="008F7C83" w:rsidP="007267E5">
            <w:pPr>
              <w:pStyle w:val="ListBullet"/>
              <w:ind w:left="720"/>
            </w:pPr>
            <w:r>
              <w:t xml:space="preserve">Mild fibrotic changes were observed in workers exposed to </w:t>
            </w:r>
            <w:r w:rsidR="00B50069">
              <w:t xml:space="preserve">Co </w:t>
            </w:r>
            <w:r>
              <w:t>at 0.1</w:t>
            </w:r>
            <w:r w:rsidR="009C55CE">
              <w:t>–</w:t>
            </w:r>
            <w:r>
              <w:t>0.2 mg/m</w:t>
            </w:r>
            <w:r w:rsidRPr="008F7C83">
              <w:rPr>
                <w:vertAlign w:val="superscript"/>
              </w:rPr>
              <w:t>3</w:t>
            </w:r>
            <w:r>
              <w:t>; airway obstruction observed at 0.06 mg/m</w:t>
            </w:r>
            <w:r w:rsidRPr="008F7C83">
              <w:rPr>
                <w:vertAlign w:val="superscript"/>
              </w:rPr>
              <w:t>3</w:t>
            </w:r>
            <w:r w:rsidR="00767D96">
              <w:rPr>
                <w:vertAlign w:val="superscript"/>
              </w:rPr>
              <w:t xml:space="preserve"> </w:t>
            </w:r>
            <w:r w:rsidR="00767D96">
              <w:t>(no duration provided)</w:t>
            </w:r>
          </w:p>
          <w:p w14:paraId="4FCBF463" w14:textId="1EC3E377" w:rsidR="005973F4" w:rsidRDefault="00404810" w:rsidP="007267E5">
            <w:pPr>
              <w:pStyle w:val="ListBullet"/>
              <w:ind w:left="720"/>
            </w:pPr>
            <w:r>
              <w:t>A</w:t>
            </w:r>
            <w:r w:rsidR="005973F4">
              <w:t>vailable evidence suggest</w:t>
            </w:r>
            <w:r>
              <w:t>s</w:t>
            </w:r>
            <w:r w:rsidR="005973F4">
              <w:t xml:space="preserve"> </w:t>
            </w:r>
            <w:r w:rsidR="00B50069">
              <w:t xml:space="preserve">Co </w:t>
            </w:r>
            <w:r w:rsidR="005973F4">
              <w:t>not likely to cause cancer in humans except under uncommon or unlikely routes or levels of exposure</w:t>
            </w:r>
            <w:r w:rsidR="007267E5">
              <w:t>.</w:t>
            </w:r>
          </w:p>
          <w:p w14:paraId="5E6B4DCF" w14:textId="77777777" w:rsidR="005973F4" w:rsidRDefault="005973F4" w:rsidP="005973F4">
            <w:pPr>
              <w:pStyle w:val="Tabletextprimarysource"/>
            </w:pPr>
            <w:r>
              <w:t>Animal data:</w:t>
            </w:r>
          </w:p>
          <w:p w14:paraId="5594E1DA" w14:textId="09A00C7A" w:rsidR="005973F4" w:rsidRDefault="005973F4" w:rsidP="007267E5">
            <w:pPr>
              <w:pStyle w:val="ListBullet"/>
              <w:ind w:left="720"/>
            </w:pPr>
            <w:r>
              <w:t xml:space="preserve">Gross lung oedema and haemorrhage in animals </w:t>
            </w:r>
            <w:r w:rsidR="009C55CE">
              <w:t>following acute exposure</w:t>
            </w:r>
            <w:r>
              <w:t xml:space="preserve"> to </w:t>
            </w:r>
            <w:r w:rsidR="00B50069">
              <w:t xml:space="preserve">Co </w:t>
            </w:r>
            <w:r>
              <w:t>metal dust, no concentrations presented</w:t>
            </w:r>
          </w:p>
          <w:p w14:paraId="4BA9585D" w14:textId="24FF9836" w:rsidR="005973F4" w:rsidRDefault="00507564" w:rsidP="007267E5">
            <w:pPr>
              <w:pStyle w:val="ListBullet"/>
              <w:ind w:left="720"/>
            </w:pPr>
            <w:r>
              <w:t>A sub-chronic study in miniature swine identified thickening of the pulmonary septa caused by masses of collagen, elastic tissue and fibroblasts occurring at exposures of 0.1 mg/m</w:t>
            </w:r>
            <w:r>
              <w:rPr>
                <w:vertAlign w:val="superscript"/>
              </w:rPr>
              <w:t>3</w:t>
            </w:r>
            <w:r>
              <w:t xml:space="preserve"> </w:t>
            </w:r>
            <w:r w:rsidR="00B50069">
              <w:t xml:space="preserve">Co </w:t>
            </w:r>
            <w:r>
              <w:t>metal</w:t>
            </w:r>
          </w:p>
          <w:p w14:paraId="3AAFBE67" w14:textId="7C7F0EB4" w:rsidR="00507564" w:rsidRDefault="00D0678A" w:rsidP="007267E5">
            <w:pPr>
              <w:pStyle w:val="ListBullet"/>
              <w:ind w:left="720"/>
            </w:pPr>
            <w:r>
              <w:t xml:space="preserve">Chronic studies in guinea pigs with intratracheal administration of </w:t>
            </w:r>
            <w:r w:rsidR="00B50069">
              <w:t xml:space="preserve">Co </w:t>
            </w:r>
            <w:r>
              <w:t xml:space="preserve">reported inflammatory and irritation effects </w:t>
            </w:r>
          </w:p>
          <w:p w14:paraId="03284E5D" w14:textId="2B127A5F" w:rsidR="00D0678A" w:rsidRDefault="00D0678A" w:rsidP="007267E5">
            <w:pPr>
              <w:pStyle w:val="ListBullet"/>
              <w:ind w:left="720"/>
            </w:pPr>
            <w:r>
              <w:t xml:space="preserve">Intratracheal instillation studies reported 4 lung cancers found in a group of 20 rats administered 20 mg/kg </w:t>
            </w:r>
            <w:r w:rsidR="00D55941">
              <w:t>Co</w:t>
            </w:r>
            <w:r w:rsidR="008F7C83">
              <w:t xml:space="preserve"> weekly </w:t>
            </w:r>
            <w:r>
              <w:t>for 20 w</w:t>
            </w:r>
            <w:r w:rsidR="007E191F">
              <w:t>k</w:t>
            </w:r>
            <w:r>
              <w:t xml:space="preserve">; 1 squamous cell carcinoma in 20 rats administered </w:t>
            </w:r>
            <w:r w:rsidR="00B50069">
              <w:t>Co</w:t>
            </w:r>
            <w:r w:rsidR="008F7C83">
              <w:t>–</w:t>
            </w:r>
            <w:r w:rsidR="00B50069">
              <w:t>Al</w:t>
            </w:r>
            <w:r w:rsidR="008F7C83">
              <w:t>–</w:t>
            </w:r>
            <w:r w:rsidR="00B50069">
              <w:t>Cr</w:t>
            </w:r>
            <w:r w:rsidR="008F7C83">
              <w:t xml:space="preserve"> spinel</w:t>
            </w:r>
          </w:p>
          <w:p w14:paraId="38A035F9" w14:textId="01C30D07" w:rsidR="008F7C83" w:rsidRDefault="008F7C83" w:rsidP="007267E5">
            <w:pPr>
              <w:pStyle w:val="ListBullet"/>
              <w:ind w:left="720"/>
            </w:pPr>
            <w:r>
              <w:t>Confirmed animal carcinogen</w:t>
            </w:r>
            <w:r w:rsidR="007267E5">
              <w:t>.</w:t>
            </w:r>
          </w:p>
          <w:p w14:paraId="7BAA99A8" w14:textId="574A338B" w:rsidR="0038271E" w:rsidRDefault="00D0053E" w:rsidP="00D0053E">
            <w:pPr>
              <w:pStyle w:val="Tabletextprimarysource"/>
            </w:pPr>
            <w:r>
              <w:t xml:space="preserve">Insufficient evidence to </w:t>
            </w:r>
            <w:r w:rsidR="00444916">
              <w:t>recommend</w:t>
            </w:r>
            <w:r>
              <w:t xml:space="preserve"> a skin or sensitiser notati</w:t>
            </w:r>
            <w:r w:rsidR="002634D1">
              <w:t>on or a TLV-STEL</w:t>
            </w:r>
            <w:r w:rsidR="007267E5">
              <w:t>.</w:t>
            </w:r>
          </w:p>
          <w:p w14:paraId="3C52EA33" w14:textId="02AE817F" w:rsidR="0038271E" w:rsidRPr="003A723A" w:rsidRDefault="0038271E" w:rsidP="00D0053E">
            <w:pPr>
              <w:pStyle w:val="Tabletextprimarysource"/>
            </w:pPr>
          </w:p>
        </w:tc>
      </w:tr>
      <w:tr w:rsidR="00C978F0" w:rsidRPr="00DA352E" w14:paraId="5948F17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7B4AC76" w14:textId="349BE4ED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r w:rsidR="00525334">
              <w:t>2007</w:t>
            </w:r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684A77">
                  <w:t>NA</w:t>
                </w:r>
                <w:r w:rsidR="00065AAA">
                  <w:t xml:space="preserve"> (</w:t>
                </w:r>
                <w:r w:rsidR="00065AAA" w:rsidRPr="003A723A">
                  <w:t>Elemental cobal</w:t>
                </w:r>
                <w:r w:rsidR="00065AAA">
                  <w:t>t and inorganic cobalt compounds)</w:t>
                </w:r>
              </w:sdtContent>
            </w:sdt>
          </w:p>
        </w:tc>
      </w:tr>
      <w:tr w:rsidR="00C978F0" w:rsidRPr="00DA352E" w14:paraId="2A6FD2E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E63A6A9" w14:textId="3F486FDD" w:rsidR="008871FE" w:rsidRDefault="008871FE" w:rsidP="003365A5">
            <w:pPr>
              <w:pStyle w:val="Tabletextprimarysource"/>
            </w:pPr>
            <w:r>
              <w:t>No MAK recommended due to carcinogenic potential</w:t>
            </w:r>
            <w:r w:rsidR="00E07F1C">
              <w:t>.</w:t>
            </w:r>
            <w:r w:rsidR="00C458FD">
              <w:t xml:space="preserve"> </w:t>
            </w:r>
          </w:p>
          <w:p w14:paraId="58F83F5C" w14:textId="1DCA0B02" w:rsidR="00C458FD" w:rsidRPr="008871FE" w:rsidRDefault="00C458FD" w:rsidP="003365A5">
            <w:pPr>
              <w:pStyle w:val="Tabletextprimarysource"/>
            </w:pPr>
            <w:r>
              <w:t>Assigned notations for skin and respiratory sensitisation.</w:t>
            </w:r>
          </w:p>
          <w:p w14:paraId="2DDA3707" w14:textId="77777777" w:rsidR="008C0718" w:rsidRDefault="008C0718" w:rsidP="003365A5">
            <w:pPr>
              <w:pStyle w:val="Tabletextprimarysource"/>
            </w:pPr>
            <w:r w:rsidRPr="008C0718">
              <w:t>Summary of additional data:</w:t>
            </w:r>
          </w:p>
          <w:p w14:paraId="277DC3A3" w14:textId="1FC9A248" w:rsidR="008C0718" w:rsidRDefault="008C0718" w:rsidP="00C458FD">
            <w:pPr>
              <w:pStyle w:val="ListBullet"/>
              <w:ind w:left="720"/>
            </w:pPr>
            <w:r>
              <w:t xml:space="preserve">Acute effects </w:t>
            </w:r>
            <w:r w:rsidR="00173362">
              <w:t xml:space="preserve">in humans </w:t>
            </w:r>
            <w:r>
              <w:t xml:space="preserve">such as </w:t>
            </w:r>
            <w:r w:rsidRPr="008C0718">
              <w:t>respiratory tract irritation</w:t>
            </w:r>
            <w:r>
              <w:t>, reduced forced vital capacity</w:t>
            </w:r>
            <w:r w:rsidR="00C458FD">
              <w:t xml:space="preserve"> </w:t>
            </w:r>
            <w:r>
              <w:t>reported</w:t>
            </w:r>
            <w:r w:rsidRPr="008C0718">
              <w:t xml:space="preserve"> after short</w:t>
            </w:r>
            <w:r w:rsidRPr="00C458FD">
              <w:rPr>
                <w:rFonts w:ascii="Cambria Math" w:hAnsi="Cambria Math" w:cs="Cambria Math"/>
              </w:rPr>
              <w:t>‐</w:t>
            </w:r>
            <w:r w:rsidRPr="008C0718">
              <w:t xml:space="preserve">term exposure </w:t>
            </w:r>
            <w:r w:rsidR="00B50069">
              <w:t>at</w:t>
            </w:r>
            <w:r>
              <w:t xml:space="preserve"> 0.038 mg/m</w:t>
            </w:r>
            <w:r w:rsidRPr="00C458FD">
              <w:rPr>
                <w:vertAlign w:val="superscript"/>
              </w:rPr>
              <w:t>3</w:t>
            </w:r>
            <w:r w:rsidR="00173362">
              <w:t>; effects were reversible</w:t>
            </w:r>
          </w:p>
          <w:p w14:paraId="01B081AE" w14:textId="1D0E2111" w:rsidR="000C27CA" w:rsidRDefault="000C27CA" w:rsidP="00C458FD">
            <w:pPr>
              <w:pStyle w:val="ListBullet"/>
              <w:ind w:left="720"/>
            </w:pPr>
            <w:r>
              <w:t>Clear signs of increases in the incidence of asthmatic diseases in exposed persons</w:t>
            </w:r>
          </w:p>
          <w:p w14:paraId="22019E55" w14:textId="28E25AEA" w:rsidR="002634D1" w:rsidRDefault="002634D1" w:rsidP="00C458FD">
            <w:pPr>
              <w:pStyle w:val="ListBullet"/>
              <w:ind w:left="720"/>
            </w:pPr>
            <w:r w:rsidRPr="00A169E4">
              <w:t>Co dust inhibited DNA repair in lymphocytes of exposed workers</w:t>
            </w:r>
          </w:p>
          <w:p w14:paraId="55FBA63A" w14:textId="59E135D9" w:rsidR="00173362" w:rsidRPr="00A169E4" w:rsidRDefault="00B50069" w:rsidP="00C458FD">
            <w:pPr>
              <w:pStyle w:val="ListBullet"/>
              <w:ind w:left="720"/>
            </w:pPr>
            <w:r>
              <w:t>CoSO</w:t>
            </w:r>
            <w:r w:rsidRPr="00C458FD">
              <w:t>4</w:t>
            </w:r>
            <w:r w:rsidR="00173362" w:rsidRPr="00173362">
              <w:t xml:space="preserve"> proved to be carcinogenic in an inhalation study in rats and </w:t>
            </w:r>
            <w:r w:rsidR="00A169E4" w:rsidRPr="00173362">
              <w:t>mice</w:t>
            </w:r>
            <w:r w:rsidR="00E07F1C">
              <w:t xml:space="preserve">; </w:t>
            </w:r>
            <w:r w:rsidR="00A169E4">
              <w:t>indication</w:t>
            </w:r>
            <w:r w:rsidR="00A169E4" w:rsidRPr="00C458FD">
              <w:t xml:space="preserve"> that soluble </w:t>
            </w:r>
            <w:r w:rsidRPr="00C458FD">
              <w:t>Co</w:t>
            </w:r>
            <w:r w:rsidR="00A169E4" w:rsidRPr="00C458FD">
              <w:t xml:space="preserve"> can induce systemic tumours</w:t>
            </w:r>
          </w:p>
          <w:p w14:paraId="3224D204" w14:textId="2FDB9E66" w:rsidR="00A169E4" w:rsidRPr="00A169E4" w:rsidRDefault="00A169E4" w:rsidP="00C458FD">
            <w:pPr>
              <w:pStyle w:val="ListBullet"/>
              <w:ind w:left="720"/>
            </w:pPr>
            <w:r>
              <w:t>M</w:t>
            </w:r>
            <w:r w:rsidRPr="00A169E4">
              <w:t xml:space="preserve">utagenicity tests with soluble </w:t>
            </w:r>
            <w:r w:rsidR="00B50069">
              <w:t>Co</w:t>
            </w:r>
            <w:r w:rsidR="00B50069" w:rsidRPr="00A169E4">
              <w:t xml:space="preserve"> </w:t>
            </w:r>
            <w:r w:rsidRPr="00A169E4">
              <w:t xml:space="preserve">salts in </w:t>
            </w:r>
            <w:r w:rsidRPr="00C458FD">
              <w:t>S. typhimurium</w:t>
            </w:r>
            <w:r w:rsidRPr="00A169E4">
              <w:t xml:space="preserve"> were mainly negative</w:t>
            </w:r>
          </w:p>
          <w:p w14:paraId="696B168F" w14:textId="374D6D73" w:rsidR="002634D1" w:rsidRPr="00173362" w:rsidRDefault="002634D1" w:rsidP="00C458FD">
            <w:pPr>
              <w:pStyle w:val="ListBullet"/>
              <w:ind w:left="720"/>
            </w:pPr>
            <w:r w:rsidRPr="00C458FD">
              <w:t>Based on available epidemiological and genotoxicity studies a threshold level cannot be derived to protect against carcinogenic effects</w:t>
            </w:r>
          </w:p>
          <w:p w14:paraId="5CB4DF96" w14:textId="77777777" w:rsidR="00A169E4" w:rsidRDefault="002634D1" w:rsidP="00C458FD">
            <w:pPr>
              <w:pStyle w:val="ListBullet"/>
              <w:ind w:left="720"/>
            </w:pPr>
            <w:r>
              <w:t>Contact sensitising effect demonstrated in several clinical studies and animal experiments both with and without adjuvant</w:t>
            </w:r>
            <w:r w:rsidR="007267E5">
              <w:t>.</w:t>
            </w:r>
          </w:p>
          <w:p w14:paraId="4999C037" w14:textId="1D157EF9" w:rsidR="0038271E" w:rsidRPr="008C0718" w:rsidRDefault="0038271E" w:rsidP="00B50069">
            <w:pPr>
              <w:pStyle w:val="ListBullet"/>
              <w:numPr>
                <w:ilvl w:val="0"/>
                <w:numId w:val="0"/>
              </w:numPr>
              <w:ind w:left="360"/>
            </w:pPr>
          </w:p>
        </w:tc>
      </w:tr>
      <w:tr w:rsidR="00C978F0" w:rsidRPr="00DA352E" w14:paraId="6B81BDF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EF9AD80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206EA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206EAB">
                  <w:t>NA</w:t>
                </w:r>
              </w:sdtContent>
            </w:sdt>
          </w:p>
        </w:tc>
      </w:tr>
      <w:tr w:rsidR="00C978F0" w:rsidRPr="00DA352E" w14:paraId="234178F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B61D551" w14:textId="3C1A70F8" w:rsidR="00C978F0" w:rsidRPr="00DA352E" w:rsidRDefault="00206EAB" w:rsidP="003365A5">
            <w:pPr>
              <w:pStyle w:val="Tabletextprimarysource"/>
            </w:pPr>
            <w:r>
              <w:t>No report</w:t>
            </w:r>
            <w:r w:rsidR="007267E5">
              <w:t>.</w:t>
            </w:r>
          </w:p>
        </w:tc>
      </w:tr>
      <w:tr w:rsidR="00DA352E" w:rsidRPr="00DA352E" w14:paraId="4969E53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1C97A69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CA5EC2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CA5EC2">
                  <w:t>NA</w:t>
                </w:r>
              </w:sdtContent>
            </w:sdt>
          </w:p>
        </w:tc>
      </w:tr>
      <w:tr w:rsidR="00DA352E" w:rsidRPr="00DA352E" w14:paraId="3B176FC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E8B2500" w14:textId="5ED86F23" w:rsidR="00DA352E" w:rsidRPr="00DA352E" w:rsidRDefault="00CA5EC2" w:rsidP="003365A5">
            <w:pPr>
              <w:pStyle w:val="Tabletextprimarysource"/>
            </w:pPr>
            <w:r>
              <w:t>No report</w:t>
            </w:r>
            <w:r w:rsidR="007267E5">
              <w:t>.</w:t>
            </w:r>
          </w:p>
        </w:tc>
      </w:tr>
      <w:tr w:rsidR="00DA352E" w:rsidRPr="00DA352E" w14:paraId="5461F6C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D280C06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6C7F7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6C7F73">
                  <w:t>NA</w:t>
                </w:r>
              </w:sdtContent>
            </w:sdt>
          </w:p>
        </w:tc>
      </w:tr>
      <w:tr w:rsidR="00DA352E" w:rsidRPr="00DA352E" w14:paraId="6F93AA2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D451DC3" w14:textId="0DAB5BB2" w:rsidR="00DA352E" w:rsidRPr="00DA352E" w:rsidRDefault="006C7F73" w:rsidP="003365A5">
            <w:pPr>
              <w:pStyle w:val="Tabletextprimarysource"/>
            </w:pPr>
            <w:r>
              <w:t>No report</w:t>
            </w:r>
            <w:r w:rsidR="007267E5">
              <w:t>.</w:t>
            </w:r>
          </w:p>
        </w:tc>
      </w:tr>
    </w:tbl>
    <w:p w14:paraId="0EF2FAED" w14:textId="77777777" w:rsidR="00A20751" w:rsidRPr="004C23F4" w:rsidRDefault="00A20751" w:rsidP="00B50069">
      <w:pPr>
        <w:pStyle w:val="Heading3"/>
        <w:keepNext w:val="0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5"/>
        <w:gridCol w:w="423"/>
        <w:gridCol w:w="661"/>
        <w:gridCol w:w="6447"/>
      </w:tblGrid>
      <w:tr w:rsidR="004966BF" w:rsidRPr="00263255" w14:paraId="5A66516A" w14:textId="77777777" w:rsidTr="00F83818">
        <w:trPr>
          <w:cantSplit/>
          <w:trHeight w:val="393"/>
          <w:tblHeader/>
        </w:trPr>
        <w:tc>
          <w:tcPr>
            <w:tcW w:w="1495" w:type="dxa"/>
            <w:shd w:val="clear" w:color="auto" w:fill="BFBFBF" w:themeFill="background1" w:themeFillShade="BF"/>
            <w:vAlign w:val="center"/>
          </w:tcPr>
          <w:p w14:paraId="1A911377" w14:textId="77777777" w:rsidR="004966BF" w:rsidRPr="00263255" w:rsidRDefault="004966BF" w:rsidP="00B50069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4AA48D01" w14:textId="77777777" w:rsidR="004966BF" w:rsidRPr="00263255" w:rsidRDefault="004966BF" w:rsidP="00B50069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25C231DC" w14:textId="77777777" w:rsidR="004966BF" w:rsidRPr="00263255" w:rsidRDefault="004966BF" w:rsidP="00B50069">
            <w:pPr>
              <w:pStyle w:val="Tableheader"/>
            </w:pPr>
            <w:r>
              <w:t>Year</w:t>
            </w:r>
          </w:p>
        </w:tc>
        <w:tc>
          <w:tcPr>
            <w:tcW w:w="6447" w:type="dxa"/>
            <w:shd w:val="clear" w:color="auto" w:fill="BFBFBF" w:themeFill="background1" w:themeFillShade="BF"/>
            <w:vAlign w:val="center"/>
          </w:tcPr>
          <w:p w14:paraId="25FF9E3D" w14:textId="77777777" w:rsidR="004966BF" w:rsidRPr="00263255" w:rsidRDefault="004966BF" w:rsidP="00B50069">
            <w:pPr>
              <w:pStyle w:val="Tableheader"/>
            </w:pPr>
            <w:r>
              <w:t>Additional information</w:t>
            </w:r>
          </w:p>
        </w:tc>
      </w:tr>
      <w:tr w:rsidR="00F83818" w:rsidRPr="004C23F4" w14:paraId="38FDA174" w14:textId="77777777" w:rsidTr="00B50069">
        <w:tc>
          <w:tcPr>
            <w:tcW w:w="1495" w:type="dxa"/>
          </w:tcPr>
          <w:p w14:paraId="68F8A5F0" w14:textId="77777777" w:rsidR="00F83818" w:rsidRPr="004C23F4" w:rsidRDefault="00F83818" w:rsidP="00B50069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2602DC7A" w14:textId="77777777" w:rsidR="00F83818" w:rsidRPr="00CE617F" w:rsidRDefault="00C6442C" w:rsidP="00B50069">
            <w:pPr>
              <w:spacing w:before="40"/>
              <w:jc w:val="center"/>
              <w:rPr>
                <w:rStyle w:val="checkbox"/>
                <w:lang w:eastAsia="en-AU"/>
              </w:rPr>
            </w:pPr>
            <w:sdt>
              <w:sdtPr>
                <w:rPr>
                  <w:rStyle w:val="checkbox"/>
                </w:rPr>
                <w:id w:val="161282419"/>
                <w:placeholder>
                  <w:docPart w:val="0C13FCEB87D843A4B3F80955802F8671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F83818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6D10A90" w14:textId="77777777" w:rsidR="00F83818" w:rsidRPr="004C23F4" w:rsidRDefault="00F83818" w:rsidP="00B50069">
            <w:pPr>
              <w:pStyle w:val="Tablefont"/>
              <w:rPr>
                <w:rStyle w:val="checkbox"/>
                <w:rFonts w:ascii="Arial" w:hAnsi="Arial" w:cs="Arial"/>
                <w:lang w:eastAsia="en-US"/>
              </w:rPr>
            </w:pPr>
            <w:r>
              <w:rPr>
                <w:rStyle w:val="checkbox"/>
                <w:rFonts w:ascii="Arial" w:hAnsi="Arial" w:cs="Arial"/>
              </w:rPr>
              <w:t>2014</w:t>
            </w:r>
          </w:p>
        </w:tc>
        <w:tc>
          <w:tcPr>
            <w:tcW w:w="6447" w:type="dxa"/>
          </w:tcPr>
          <w:p w14:paraId="07D01551" w14:textId="77777777" w:rsidR="00F83818" w:rsidRPr="007267E5" w:rsidRDefault="00F83818" w:rsidP="00B50069">
            <w:pPr>
              <w:pStyle w:val="ListBullet"/>
              <w:tabs>
                <w:tab w:val="clear" w:pos="360"/>
              </w:tabs>
              <w:ind w:left="717"/>
              <w:rPr>
                <w:rFonts w:cs="Arial"/>
              </w:rPr>
            </w:pPr>
            <w:r w:rsidRPr="007267E5">
              <w:rPr>
                <w:rFonts w:cs="Arial"/>
              </w:rPr>
              <w:t xml:space="preserve">Toxicokinetics data shows low dermal absorption repeated dose toxicity </w:t>
            </w:r>
            <w:r w:rsidRPr="00B50069">
              <w:rPr>
                <w:rFonts w:cs="Arial"/>
                <w:i/>
              </w:rPr>
              <w:t>via</w:t>
            </w:r>
            <w:r w:rsidRPr="007267E5">
              <w:rPr>
                <w:rFonts w:cs="Arial"/>
              </w:rPr>
              <w:t xml:space="preserve"> the dermal route is not expected</w:t>
            </w:r>
          </w:p>
          <w:p w14:paraId="54CE80AB" w14:textId="2A91EBC5" w:rsidR="00F83818" w:rsidRPr="007267E5" w:rsidRDefault="00F83818" w:rsidP="00B50069">
            <w:pPr>
              <w:pStyle w:val="ListBullet"/>
              <w:tabs>
                <w:tab w:val="clear" w:pos="360"/>
              </w:tabs>
              <w:ind w:left="717"/>
              <w:rPr>
                <w:rFonts w:cs="Arial"/>
              </w:rPr>
            </w:pPr>
            <w:r w:rsidRPr="007267E5">
              <w:rPr>
                <w:rStyle w:val="checkbox"/>
                <w:rFonts w:ascii="Arial" w:hAnsi="Arial" w:cs="Arial"/>
              </w:rPr>
              <w:t xml:space="preserve">LOAEC in rats and mice of 0.61 mg/m³; </w:t>
            </w:r>
            <w:r w:rsidRPr="007267E5">
              <w:rPr>
                <w:rFonts w:cs="Arial"/>
              </w:rPr>
              <w:t>14 wk repeat dose inhalation toxicity study</w:t>
            </w:r>
            <w:r w:rsidR="003F3099" w:rsidRPr="007267E5">
              <w:rPr>
                <w:rFonts w:cs="Arial"/>
              </w:rPr>
              <w:t xml:space="preserve">; </w:t>
            </w:r>
            <w:r w:rsidR="003F3099" w:rsidRPr="007267E5">
              <w:t>for lung weight changes</w:t>
            </w:r>
          </w:p>
          <w:p w14:paraId="0F4D8AE9" w14:textId="477A636E" w:rsidR="00F83818" w:rsidRPr="007267E5" w:rsidRDefault="00F83818" w:rsidP="00B50069">
            <w:pPr>
              <w:pStyle w:val="ListBullet"/>
              <w:tabs>
                <w:tab w:val="clear" w:pos="360"/>
              </w:tabs>
              <w:ind w:left="717"/>
              <w:rPr>
                <w:rFonts w:cs="Arial"/>
              </w:rPr>
            </w:pPr>
            <w:r w:rsidRPr="007267E5">
              <w:rPr>
                <w:rFonts w:cs="Arial"/>
              </w:rPr>
              <w:t xml:space="preserve">Genotoxicity data can be read-across from soluble </w:t>
            </w:r>
            <w:r w:rsidR="00B50069">
              <w:rPr>
                <w:rFonts w:cs="Arial"/>
              </w:rPr>
              <w:t>Co</w:t>
            </w:r>
            <w:r w:rsidRPr="007267E5">
              <w:rPr>
                <w:rFonts w:cs="Arial"/>
              </w:rPr>
              <w:t xml:space="preserve"> compounds; concluded that effective protective processes exist</w:t>
            </w:r>
            <w:r w:rsidRPr="007267E5">
              <w:rPr>
                <w:rFonts w:cs="Arial"/>
                <w:i/>
              </w:rPr>
              <w:t xml:space="preserve"> in vivo</w:t>
            </w:r>
            <w:r w:rsidRPr="007267E5">
              <w:rPr>
                <w:rFonts w:cs="Arial"/>
              </w:rPr>
              <w:t xml:space="preserve"> to prevent genotoxicity in humans</w:t>
            </w:r>
          </w:p>
          <w:p w14:paraId="0EEDA706" w14:textId="27419EDE" w:rsidR="000C27CA" w:rsidRPr="007267E5" w:rsidRDefault="000C27CA" w:rsidP="00B50069">
            <w:pPr>
              <w:pStyle w:val="ListBullet"/>
              <w:tabs>
                <w:tab w:val="clear" w:pos="360"/>
              </w:tabs>
              <w:ind w:left="717"/>
              <w:rPr>
                <w:rFonts w:cs="Arial"/>
              </w:rPr>
            </w:pPr>
            <w:r w:rsidRPr="007267E5">
              <w:t>Carcinogenic potential is also likely to be contributed to by the indirect genotoxic mechanisms; inhibition of DNA repair and generation of ROS causing cellular oxidative stress</w:t>
            </w:r>
          </w:p>
          <w:p w14:paraId="112AFB76" w14:textId="55DB9A71" w:rsidR="000C27CA" w:rsidRPr="007267E5" w:rsidRDefault="009C55CE" w:rsidP="009C55CE">
            <w:pPr>
              <w:pStyle w:val="ListBullet"/>
              <w:tabs>
                <w:tab w:val="clear" w:pos="360"/>
              </w:tabs>
              <w:ind w:left="717"/>
              <w:rPr>
                <w:rStyle w:val="checkbox"/>
                <w:rFonts w:ascii="Arial" w:hAnsi="Arial" w:cs="Arial"/>
              </w:rPr>
            </w:pPr>
            <w:r>
              <w:rPr>
                <w:rFonts w:cs="Arial"/>
              </w:rPr>
              <w:t>No</w:t>
            </w:r>
            <w:r w:rsidRPr="007267E5">
              <w:t xml:space="preserve"> significant effects</w:t>
            </w:r>
            <w:r>
              <w:t xml:space="preserve"> reported in</w:t>
            </w:r>
            <w:r w:rsidRPr="007267E5">
              <w:t xml:space="preserve"> </w:t>
            </w:r>
            <w:r w:rsidR="00B50069">
              <w:rPr>
                <w:rFonts w:cs="Arial"/>
              </w:rPr>
              <w:t xml:space="preserve">35 workers </w:t>
            </w:r>
            <w:r>
              <w:rPr>
                <w:rFonts w:cs="Arial"/>
              </w:rPr>
              <w:t xml:space="preserve">exposed </w:t>
            </w:r>
            <w:r w:rsidR="00B50069">
              <w:rPr>
                <w:rFonts w:cs="Arial"/>
              </w:rPr>
              <w:t>at</w:t>
            </w:r>
            <w:r w:rsidR="000C27CA" w:rsidRPr="007267E5">
              <w:rPr>
                <w:rFonts w:cs="Arial"/>
              </w:rPr>
              <w:t xml:space="preserve"> an average of 20 mg/m</w:t>
            </w:r>
            <w:r w:rsidR="000C27CA" w:rsidRPr="007267E5">
              <w:rPr>
                <w:rFonts w:cs="Arial"/>
                <w:vertAlign w:val="superscript"/>
              </w:rPr>
              <w:t>3</w:t>
            </w:r>
            <w:r w:rsidR="000C27CA" w:rsidRPr="007267E5">
              <w:rPr>
                <w:rFonts w:cs="Arial"/>
              </w:rPr>
              <w:t xml:space="preserve"> </w:t>
            </w:r>
            <w:r w:rsidR="00272FF9">
              <w:rPr>
                <w:rFonts w:cs="Arial"/>
              </w:rPr>
              <w:t xml:space="preserve">when </w:t>
            </w:r>
            <w:r w:rsidR="000C27CA" w:rsidRPr="007267E5">
              <w:t>compared to matched controls for lymphocyte DNA damage using the comet assay or lymphocyte micronucleus frequencies.</w:t>
            </w:r>
          </w:p>
        </w:tc>
      </w:tr>
      <w:tr w:rsidR="004966BF" w:rsidRPr="004C23F4" w14:paraId="165E38B0" w14:textId="77777777" w:rsidTr="00B50069">
        <w:tc>
          <w:tcPr>
            <w:tcW w:w="1495" w:type="dxa"/>
          </w:tcPr>
          <w:p w14:paraId="069B46DD" w14:textId="37C116BB" w:rsidR="004966BF" w:rsidRPr="004C23F4" w:rsidRDefault="004966BF" w:rsidP="00B50069">
            <w:pPr>
              <w:pStyle w:val="Tablefont"/>
            </w:pPr>
            <w:r>
              <w:t>IARC</w:t>
            </w:r>
          </w:p>
        </w:tc>
        <w:tc>
          <w:tcPr>
            <w:tcW w:w="423" w:type="dxa"/>
          </w:tcPr>
          <w:p w14:paraId="0DFA3041" w14:textId="77777777" w:rsidR="004966BF" w:rsidRPr="00CE617F" w:rsidRDefault="00C6442C" w:rsidP="00B50069">
            <w:pPr>
              <w:spacing w:before="40"/>
              <w:jc w:val="center"/>
              <w:rPr>
                <w:rStyle w:val="checkbox"/>
                <w:lang w:eastAsia="en-AU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20BC8D26515A4C11AC6304FB75A7CBA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8871FE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4E4F870" w14:textId="477ED5B0" w:rsidR="004966BF" w:rsidRPr="005C5AE2" w:rsidRDefault="008871FE" w:rsidP="00B50069">
            <w:pPr>
              <w:rPr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2006</w:t>
            </w:r>
          </w:p>
        </w:tc>
        <w:tc>
          <w:tcPr>
            <w:tcW w:w="6447" w:type="dxa"/>
          </w:tcPr>
          <w:p w14:paraId="7F1BAC83" w14:textId="50D9CBBF" w:rsidR="005C5AE2" w:rsidRPr="007267E5" w:rsidRDefault="005C5AE2" w:rsidP="00B50069">
            <w:pPr>
              <w:pStyle w:val="ListBullet"/>
              <w:tabs>
                <w:tab w:val="clear" w:pos="360"/>
              </w:tabs>
              <w:ind w:left="717"/>
              <w:rPr>
                <w:rStyle w:val="checkbox"/>
                <w:rFonts w:ascii="Arial" w:hAnsi="Arial" w:cs="Arial"/>
              </w:rPr>
            </w:pPr>
            <w:r w:rsidRPr="007267E5">
              <w:rPr>
                <w:rStyle w:val="checkbox"/>
                <w:rFonts w:ascii="Arial" w:hAnsi="Arial" w:cs="Arial"/>
              </w:rPr>
              <w:t xml:space="preserve">Most materials evaluated </w:t>
            </w:r>
            <w:r w:rsidR="00272FF9">
              <w:rPr>
                <w:rStyle w:val="checkbox"/>
                <w:rFonts w:ascii="Arial" w:hAnsi="Arial" w:cs="Arial"/>
              </w:rPr>
              <w:t xml:space="preserve">were </w:t>
            </w:r>
            <w:r w:rsidRPr="007267E5">
              <w:rPr>
                <w:rStyle w:val="checkbox"/>
                <w:rFonts w:ascii="Arial" w:hAnsi="Arial" w:cs="Arial"/>
              </w:rPr>
              <w:t xml:space="preserve">poorly soluble solid materials that deposited </w:t>
            </w:r>
            <w:r w:rsidR="00272FF9">
              <w:rPr>
                <w:rStyle w:val="checkbox"/>
                <w:rFonts w:ascii="Arial" w:hAnsi="Arial" w:cs="Arial"/>
              </w:rPr>
              <w:t>in particulate form in the lung</w:t>
            </w:r>
            <w:r w:rsidRPr="007267E5">
              <w:rPr>
                <w:rStyle w:val="checkbox"/>
                <w:rFonts w:ascii="Arial" w:hAnsi="Arial" w:cs="Arial"/>
              </w:rPr>
              <w:t xml:space="preserve"> where they may be retained for long periods</w:t>
            </w:r>
          </w:p>
          <w:p w14:paraId="63B616E6" w14:textId="77777777" w:rsidR="005C5AE2" w:rsidRPr="007267E5" w:rsidRDefault="005C5AE2" w:rsidP="00B50069">
            <w:pPr>
              <w:pStyle w:val="ListBullet"/>
              <w:tabs>
                <w:tab w:val="clear" w:pos="360"/>
              </w:tabs>
              <w:ind w:left="717"/>
              <w:rPr>
                <w:rStyle w:val="checkbox"/>
                <w:rFonts w:ascii="Arial" w:hAnsi="Arial" w:cs="Arial"/>
              </w:rPr>
            </w:pPr>
            <w:r w:rsidRPr="007267E5">
              <w:rPr>
                <w:rStyle w:val="checkbox"/>
                <w:rFonts w:ascii="Arial" w:hAnsi="Arial" w:cs="Arial"/>
              </w:rPr>
              <w:t>Evidence in workers for an increasing lung cancer risk with increasing duration of exposure in analyses which considered potential confounding by smoking and other occupational carcinogens</w:t>
            </w:r>
          </w:p>
          <w:p w14:paraId="5B995264" w14:textId="41AE578F" w:rsidR="004966BF" w:rsidRPr="007267E5" w:rsidRDefault="00E2522E" w:rsidP="00B50069">
            <w:pPr>
              <w:pStyle w:val="ListBullet"/>
              <w:tabs>
                <w:tab w:val="clear" w:pos="360"/>
              </w:tabs>
              <w:ind w:left="71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Co</w:t>
            </w:r>
            <w:r w:rsidR="008871FE" w:rsidRPr="007267E5">
              <w:rPr>
                <w:rStyle w:val="checkbox"/>
                <w:rFonts w:ascii="Arial" w:hAnsi="Arial" w:cs="Arial"/>
              </w:rPr>
              <w:t xml:space="preserve"> and compounds that release </w:t>
            </w:r>
            <w:r>
              <w:rPr>
                <w:rStyle w:val="checkbox"/>
                <w:rFonts w:ascii="Arial" w:hAnsi="Arial" w:cs="Arial"/>
              </w:rPr>
              <w:t>Co</w:t>
            </w:r>
            <w:r w:rsidR="008871FE" w:rsidRPr="007267E5">
              <w:rPr>
                <w:rStyle w:val="checkbox"/>
                <w:rFonts w:ascii="Arial" w:hAnsi="Arial" w:cs="Arial"/>
              </w:rPr>
              <w:t xml:space="preserve"> ions </w:t>
            </w:r>
            <w:r w:rsidR="008871FE" w:rsidRPr="007267E5">
              <w:rPr>
                <w:rStyle w:val="checkbox"/>
                <w:rFonts w:ascii="Arial" w:hAnsi="Arial" w:cs="Arial"/>
                <w:i/>
              </w:rPr>
              <w:t>in vivo</w:t>
            </w:r>
            <w:r w:rsidR="008871FE" w:rsidRPr="007267E5">
              <w:rPr>
                <w:rStyle w:val="checkbox"/>
                <w:rFonts w:ascii="Arial" w:hAnsi="Arial" w:cs="Arial"/>
              </w:rPr>
              <w:t xml:space="preserve"> anticipated to be human carcinogens</w:t>
            </w:r>
          </w:p>
          <w:p w14:paraId="23FAA231" w14:textId="1731C10D" w:rsidR="008871FE" w:rsidRPr="007267E5" w:rsidRDefault="007267E5" w:rsidP="00B50069">
            <w:pPr>
              <w:pStyle w:val="ListBullet"/>
              <w:tabs>
                <w:tab w:val="clear" w:pos="360"/>
              </w:tabs>
              <w:ind w:left="71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lastRenderedPageBreak/>
              <w:t>H</w:t>
            </w:r>
            <w:r w:rsidRPr="007267E5">
              <w:rPr>
                <w:rStyle w:val="checkbox"/>
                <w:rFonts w:ascii="Arial" w:hAnsi="Arial" w:cs="Arial"/>
              </w:rPr>
              <w:t xml:space="preserve">umans </w:t>
            </w:r>
            <w:r>
              <w:rPr>
                <w:rStyle w:val="checkbox"/>
                <w:rFonts w:ascii="Arial" w:hAnsi="Arial" w:cs="Arial"/>
              </w:rPr>
              <w:t>d</w:t>
            </w:r>
            <w:r w:rsidR="008871FE" w:rsidRPr="007267E5">
              <w:rPr>
                <w:rStyle w:val="checkbox"/>
                <w:rFonts w:ascii="Arial" w:hAnsi="Arial" w:cs="Arial"/>
              </w:rPr>
              <w:t xml:space="preserve">ata </w:t>
            </w:r>
            <w:r>
              <w:rPr>
                <w:rStyle w:val="checkbox"/>
                <w:rFonts w:ascii="Arial" w:hAnsi="Arial" w:cs="Arial"/>
              </w:rPr>
              <w:t xml:space="preserve">studies </w:t>
            </w:r>
            <w:r w:rsidR="008871FE" w:rsidRPr="007267E5">
              <w:rPr>
                <w:rStyle w:val="checkbox"/>
                <w:rFonts w:ascii="Arial" w:hAnsi="Arial" w:cs="Arial"/>
              </w:rPr>
              <w:t xml:space="preserve">inadequate to evaluate the relationship between </w:t>
            </w:r>
            <w:r w:rsidR="008871FE" w:rsidRPr="00272FF9">
              <w:t>human</w:t>
            </w:r>
            <w:r w:rsidR="008871FE" w:rsidRPr="007267E5">
              <w:rPr>
                <w:rStyle w:val="checkbox"/>
                <w:rFonts w:ascii="Arial" w:hAnsi="Arial" w:cs="Arial"/>
              </w:rPr>
              <w:t xml:space="preserve"> cancer and exposure</w:t>
            </w:r>
          </w:p>
          <w:p w14:paraId="612CFFCD" w14:textId="1641A653" w:rsidR="008871FE" w:rsidRPr="007267E5" w:rsidRDefault="008871FE" w:rsidP="00B50069">
            <w:pPr>
              <w:pStyle w:val="ListBullet"/>
              <w:tabs>
                <w:tab w:val="clear" w:pos="360"/>
              </w:tabs>
              <w:ind w:left="717"/>
              <w:rPr>
                <w:rStyle w:val="checkbox"/>
                <w:rFonts w:ascii="Arial" w:hAnsi="Arial" w:cs="Arial"/>
              </w:rPr>
            </w:pPr>
            <w:r w:rsidRPr="007267E5">
              <w:rPr>
                <w:rStyle w:val="checkbox"/>
                <w:rFonts w:ascii="Arial" w:hAnsi="Arial" w:cs="Arial"/>
              </w:rPr>
              <w:t>M</w:t>
            </w:r>
            <w:r w:rsidR="00E2522E">
              <w:rPr>
                <w:rStyle w:val="checkbox"/>
                <w:rFonts w:ascii="Arial" w:hAnsi="Arial" w:cs="Arial"/>
              </w:rPr>
              <w:t>echanism(s) of action for Co</w:t>
            </w:r>
            <w:r w:rsidRPr="007267E5">
              <w:rPr>
                <w:rStyle w:val="checkbox"/>
                <w:rFonts w:ascii="Arial" w:hAnsi="Arial" w:cs="Arial"/>
              </w:rPr>
              <w:t>-induced carcinogenic effects are not completely understood</w:t>
            </w:r>
            <w:r w:rsidR="00E07F1C" w:rsidRPr="007267E5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6BDFA281" w14:textId="77777777" w:rsidR="007E2A4B" w:rsidRDefault="007E2A4B" w:rsidP="007E191F">
      <w:pPr>
        <w:pStyle w:val="Heading3"/>
        <w:keepNext w:val="0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1FB207C4" w14:textId="77777777" w:rsidTr="003078BD">
        <w:trPr>
          <w:trHeight w:val="454"/>
          <w:tblHeader/>
        </w:trPr>
        <w:tc>
          <w:tcPr>
            <w:tcW w:w="6597" w:type="dxa"/>
            <w:vAlign w:val="center"/>
          </w:tcPr>
          <w:p w14:paraId="7D6A30B6" w14:textId="77777777" w:rsidR="002E0D61" w:rsidRDefault="00B1422A" w:rsidP="007E191F">
            <w:pPr>
              <w:pStyle w:val="Tablefont"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6DDBAE13" w14:textId="66B929C2" w:rsidR="002E0D61" w:rsidRDefault="00B36952" w:rsidP="007E191F">
                <w:pPr>
                  <w:pStyle w:val="Tablefont"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77FDE564" w14:textId="77777777" w:rsidTr="003078BD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597" w:type="dxa"/>
                <w:vAlign w:val="center"/>
              </w:tcPr>
              <w:p w14:paraId="17605EC9" w14:textId="5952F7DE" w:rsidR="008A36CF" w:rsidRPr="006901A2" w:rsidRDefault="00B36952" w:rsidP="007E191F">
                <w:pPr>
                  <w:pStyle w:val="Tablefont"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6720FFB0" w14:textId="77777777" w:rsidR="008A36CF" w:rsidRDefault="008A36CF" w:rsidP="007E191F">
            <w:pPr>
              <w:pStyle w:val="Tablefont"/>
              <w:keepLines/>
              <w:spacing w:before="40" w:after="40"/>
            </w:pPr>
          </w:p>
        </w:tc>
      </w:tr>
    </w:tbl>
    <w:bookmarkEnd w:id="1"/>
    <w:p w14:paraId="62562117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4750C77D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1D4061A0" w14:textId="77777777" w:rsidR="00687890" w:rsidRPr="004C23F4" w:rsidRDefault="00687890" w:rsidP="00074DE0">
            <w:pPr>
              <w:pStyle w:val="Tableheader"/>
              <w:keepNext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49EDEAAD" w14:textId="77777777" w:rsidR="00687890" w:rsidRPr="004C23F4" w:rsidRDefault="00687890" w:rsidP="00074DE0">
            <w:pPr>
              <w:pStyle w:val="Tableheader"/>
              <w:keepNext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4BD5A3CB" w14:textId="77777777" w:rsidTr="00812887">
        <w:trPr>
          <w:cantSplit/>
        </w:trPr>
        <w:tc>
          <w:tcPr>
            <w:tcW w:w="3227" w:type="dxa"/>
          </w:tcPr>
          <w:p w14:paraId="0101DBAF" w14:textId="77777777" w:rsidR="004079B4" w:rsidRPr="004C23F4" w:rsidRDefault="00084513" w:rsidP="00074DE0">
            <w:pPr>
              <w:pStyle w:val="Tablefont"/>
              <w:keepNext/>
            </w:pPr>
            <w:r w:rsidRPr="004C23F4">
              <w:t>SWA</w:t>
            </w:r>
          </w:p>
        </w:tc>
        <w:tc>
          <w:tcPr>
            <w:tcW w:w="6015" w:type="dxa"/>
          </w:tcPr>
          <w:p w14:paraId="3F5570D0" w14:textId="6A7567CE" w:rsidR="00F73ABE" w:rsidRPr="00DD2F9B" w:rsidRDefault="00820678" w:rsidP="00074DE0">
            <w:pPr>
              <w:pStyle w:val="Tablefont"/>
              <w:keepNext/>
            </w:pPr>
            <w:r>
              <w:t>NA</w:t>
            </w:r>
          </w:p>
        </w:tc>
      </w:tr>
      <w:tr w:rsidR="007925F0" w:rsidRPr="004C23F4" w14:paraId="7FFEE83B" w14:textId="77777777" w:rsidTr="00812887">
        <w:trPr>
          <w:cantSplit/>
        </w:trPr>
        <w:tc>
          <w:tcPr>
            <w:tcW w:w="3227" w:type="dxa"/>
          </w:tcPr>
          <w:p w14:paraId="5DF98BF2" w14:textId="77777777" w:rsidR="004079B4" w:rsidRPr="004C23F4" w:rsidRDefault="007925F0" w:rsidP="00074DE0">
            <w:pPr>
              <w:pStyle w:val="Tablefont"/>
              <w:keepNext/>
            </w:pPr>
            <w:r>
              <w:t>HCIS</w:t>
            </w:r>
          </w:p>
        </w:tc>
        <w:tc>
          <w:tcPr>
            <w:tcW w:w="6015" w:type="dxa"/>
          </w:tcPr>
          <w:p w14:paraId="497A9DA7" w14:textId="68A98BF8" w:rsidR="007925F0" w:rsidRPr="00DD2F9B" w:rsidRDefault="00C41CA7" w:rsidP="00074DE0">
            <w:pPr>
              <w:keepNext/>
            </w:pPr>
            <w:r>
              <w:t>Carcinogenicity – category 1B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, </w:t>
            </w:r>
            <w:r>
              <w:t xml:space="preserve">Skin sensitisation – category 1, Respiratory sensitisation – category 1 </w:t>
            </w:r>
          </w:p>
        </w:tc>
      </w:tr>
      <w:tr w:rsidR="00AF483F" w:rsidRPr="004C23F4" w14:paraId="52ACE7A3" w14:textId="77777777" w:rsidTr="00812887">
        <w:trPr>
          <w:cantSplit/>
        </w:trPr>
        <w:tc>
          <w:tcPr>
            <w:tcW w:w="3227" w:type="dxa"/>
          </w:tcPr>
          <w:p w14:paraId="71201418" w14:textId="77777777" w:rsidR="00AF483F" w:rsidRPr="004C23F4" w:rsidRDefault="00AF483F" w:rsidP="00074DE0">
            <w:pPr>
              <w:pStyle w:val="Tablefont"/>
              <w:keepNext/>
            </w:pPr>
            <w:r>
              <w:t>NICNAS</w:t>
            </w:r>
          </w:p>
        </w:tc>
        <w:tc>
          <w:tcPr>
            <w:tcW w:w="6015" w:type="dxa"/>
          </w:tcPr>
          <w:p w14:paraId="76AFD5E0" w14:textId="33AE0874" w:rsidR="008A2937" w:rsidRPr="00DD2F9B" w:rsidRDefault="008A2937" w:rsidP="00074DE0">
            <w:pPr>
              <w:pStyle w:val="Tablefont"/>
              <w:keepNext/>
            </w:pPr>
            <w:r w:rsidRPr="008A2937">
              <w:t>Carc. Cat</w:t>
            </w:r>
            <w:r w:rsidR="00E62BCE">
              <w:t>.</w:t>
            </w:r>
            <w:r w:rsidRPr="008A2937">
              <w:t xml:space="preserve"> 2</w:t>
            </w:r>
            <w:r w:rsidR="009C681D">
              <w:t>.</w:t>
            </w:r>
            <w:r>
              <w:t xml:space="preserve"> </w:t>
            </w:r>
          </w:p>
        </w:tc>
      </w:tr>
      <w:tr w:rsidR="00687890" w:rsidRPr="004C23F4" w14:paraId="7DCE44C6" w14:textId="77777777" w:rsidTr="00812887">
        <w:trPr>
          <w:cantSplit/>
        </w:trPr>
        <w:tc>
          <w:tcPr>
            <w:tcW w:w="3227" w:type="dxa"/>
          </w:tcPr>
          <w:p w14:paraId="4E3F3C65" w14:textId="77777777" w:rsidR="004079B4" w:rsidRPr="004C23F4" w:rsidRDefault="00687890" w:rsidP="00074DE0">
            <w:pPr>
              <w:pStyle w:val="Tablefont"/>
              <w:keepNext/>
            </w:pPr>
            <w:r w:rsidRPr="004C23F4">
              <w:t>EU Annex</w:t>
            </w:r>
          </w:p>
        </w:tc>
        <w:tc>
          <w:tcPr>
            <w:tcW w:w="6015" w:type="dxa"/>
          </w:tcPr>
          <w:p w14:paraId="6AFCC2E9" w14:textId="59B75BD8" w:rsidR="009E537D" w:rsidRPr="00DD2F9B" w:rsidRDefault="00FC1259" w:rsidP="00074DE0">
            <w:pPr>
              <w:keepNext/>
            </w:pPr>
            <w:r>
              <w:t xml:space="preserve">Skin sensitisation – category 1, </w:t>
            </w:r>
            <w:r w:rsidRPr="00FC1259">
              <w:t>Respiratory sensitisation – category 1</w:t>
            </w:r>
            <w:r>
              <w:t xml:space="preserve"> </w:t>
            </w:r>
          </w:p>
        </w:tc>
      </w:tr>
      <w:tr w:rsidR="00E41A26" w:rsidRPr="004C23F4" w14:paraId="3F8CEEE4" w14:textId="77777777" w:rsidTr="00812887">
        <w:trPr>
          <w:cantSplit/>
        </w:trPr>
        <w:tc>
          <w:tcPr>
            <w:tcW w:w="3227" w:type="dxa"/>
          </w:tcPr>
          <w:p w14:paraId="6D3161EE" w14:textId="77777777" w:rsidR="00E41A26" w:rsidRDefault="00E41A26" w:rsidP="00074DE0">
            <w:pPr>
              <w:pStyle w:val="Tablefont"/>
              <w:keepNext/>
            </w:pPr>
            <w:r>
              <w:t>ECHA</w:t>
            </w:r>
          </w:p>
        </w:tc>
        <w:tc>
          <w:tcPr>
            <w:tcW w:w="6015" w:type="dxa"/>
          </w:tcPr>
          <w:p w14:paraId="1A86C6FF" w14:textId="77777777" w:rsidR="00E41A26" w:rsidRPr="00DD2F9B" w:rsidRDefault="00CC61D4" w:rsidP="00074DE0">
            <w:pPr>
              <w:pStyle w:val="Tablefont"/>
              <w:keepNext/>
            </w:pPr>
            <w:r>
              <w:t>NA</w:t>
            </w:r>
          </w:p>
        </w:tc>
      </w:tr>
      <w:tr w:rsidR="002E0D61" w:rsidRPr="004C23F4" w14:paraId="034A59D0" w14:textId="77777777" w:rsidTr="00812887">
        <w:trPr>
          <w:cantSplit/>
        </w:trPr>
        <w:tc>
          <w:tcPr>
            <w:tcW w:w="3227" w:type="dxa"/>
          </w:tcPr>
          <w:p w14:paraId="1CB57AE5" w14:textId="77777777" w:rsidR="004079B4" w:rsidRPr="004C23F4" w:rsidRDefault="002E0D61" w:rsidP="00074DE0">
            <w:pPr>
              <w:pStyle w:val="Tablefont"/>
              <w:keepNext/>
            </w:pPr>
            <w:r>
              <w:t>ACGIH</w:t>
            </w:r>
          </w:p>
        </w:tc>
        <w:tc>
          <w:tcPr>
            <w:tcW w:w="6015" w:type="dxa"/>
          </w:tcPr>
          <w:p w14:paraId="79386367" w14:textId="37EF8B83" w:rsidR="00DF14A6" w:rsidRPr="00DD2F9B" w:rsidRDefault="00DF14A6" w:rsidP="00074DE0">
            <w:pPr>
              <w:keepNext/>
            </w:pPr>
            <w:r>
              <w:t xml:space="preserve">Carcinogenicity – A3 </w:t>
            </w:r>
          </w:p>
        </w:tc>
      </w:tr>
      <w:tr w:rsidR="002E0D61" w:rsidRPr="004C23F4" w14:paraId="5BE0F909" w14:textId="77777777" w:rsidTr="00812887">
        <w:trPr>
          <w:cantSplit/>
        </w:trPr>
        <w:tc>
          <w:tcPr>
            <w:tcW w:w="3227" w:type="dxa"/>
          </w:tcPr>
          <w:p w14:paraId="5664298C" w14:textId="77777777" w:rsidR="004079B4" w:rsidRPr="004C23F4" w:rsidRDefault="002E0D61" w:rsidP="00074DE0">
            <w:pPr>
              <w:pStyle w:val="Tablefont"/>
              <w:keepNext/>
            </w:pPr>
            <w:r>
              <w:t>DFG</w:t>
            </w:r>
          </w:p>
        </w:tc>
        <w:tc>
          <w:tcPr>
            <w:tcW w:w="6015" w:type="dxa"/>
          </w:tcPr>
          <w:p w14:paraId="13AA5FAF" w14:textId="33B09F07" w:rsidR="00D04A13" w:rsidRDefault="002C0576" w:rsidP="00D04A13">
            <w:r w:rsidRPr="002C0576">
              <w:t>Carcinogenicity – 2</w:t>
            </w:r>
            <w:r>
              <w:t xml:space="preserve">, </w:t>
            </w:r>
            <w:r w:rsidR="00D04A13" w:rsidRPr="00C458FD">
              <w:t>Sh (dermal sensitiser),</w:t>
            </w:r>
            <w:r w:rsidR="00D04A13">
              <w:t xml:space="preserve"> </w:t>
            </w:r>
          </w:p>
          <w:p w14:paraId="5B9AC769" w14:textId="7EB1F776" w:rsidR="002E0D61" w:rsidRPr="00DD2F9B" w:rsidRDefault="00D04A13" w:rsidP="00D04A13">
            <w:r>
              <w:t>Sa (respiratory sensitiser)</w:t>
            </w:r>
          </w:p>
        </w:tc>
      </w:tr>
      <w:tr w:rsidR="002E0D61" w:rsidRPr="004C23F4" w14:paraId="33BB119C" w14:textId="77777777" w:rsidTr="00812887">
        <w:trPr>
          <w:cantSplit/>
        </w:trPr>
        <w:tc>
          <w:tcPr>
            <w:tcW w:w="3227" w:type="dxa"/>
          </w:tcPr>
          <w:p w14:paraId="60BEABB4" w14:textId="77777777" w:rsidR="004079B4" w:rsidRPr="004C23F4" w:rsidRDefault="002E0D61" w:rsidP="00074DE0">
            <w:pPr>
              <w:pStyle w:val="Tablefont"/>
              <w:keepNext/>
            </w:pPr>
            <w:r>
              <w:t>SCOEL</w:t>
            </w:r>
          </w:p>
        </w:tc>
        <w:tc>
          <w:tcPr>
            <w:tcW w:w="6015" w:type="dxa"/>
          </w:tcPr>
          <w:p w14:paraId="0DCE05A4" w14:textId="77777777" w:rsidR="002E0D61" w:rsidRPr="00DD2F9B" w:rsidRDefault="0047262F" w:rsidP="00074DE0">
            <w:pPr>
              <w:pStyle w:val="Tablefont"/>
              <w:keepNext/>
            </w:pPr>
            <w:r>
              <w:t>NA</w:t>
            </w:r>
          </w:p>
        </w:tc>
      </w:tr>
      <w:tr w:rsidR="002E0D61" w:rsidRPr="004C23F4" w14:paraId="6386B26F" w14:textId="77777777" w:rsidTr="00812887">
        <w:trPr>
          <w:cantSplit/>
        </w:trPr>
        <w:tc>
          <w:tcPr>
            <w:tcW w:w="3227" w:type="dxa"/>
          </w:tcPr>
          <w:p w14:paraId="2A9F6DE2" w14:textId="77777777" w:rsidR="004079B4" w:rsidRDefault="002E0D61" w:rsidP="00074DE0">
            <w:pPr>
              <w:pStyle w:val="Tablefont"/>
              <w:keepNext/>
            </w:pPr>
            <w:r>
              <w:t>HCOTN</w:t>
            </w:r>
          </w:p>
        </w:tc>
        <w:tc>
          <w:tcPr>
            <w:tcW w:w="6015" w:type="dxa"/>
          </w:tcPr>
          <w:p w14:paraId="41473345" w14:textId="77777777" w:rsidR="002E0D61" w:rsidRPr="00DD2F9B" w:rsidRDefault="00C05641" w:rsidP="00074DE0">
            <w:pPr>
              <w:pStyle w:val="Tablefont"/>
              <w:keepNext/>
            </w:pPr>
            <w:r>
              <w:t>NA</w:t>
            </w:r>
          </w:p>
        </w:tc>
      </w:tr>
      <w:tr w:rsidR="00386093" w:rsidRPr="004C23F4" w14:paraId="0AF13455" w14:textId="77777777" w:rsidTr="00812887">
        <w:trPr>
          <w:cantSplit/>
        </w:trPr>
        <w:tc>
          <w:tcPr>
            <w:tcW w:w="3227" w:type="dxa"/>
          </w:tcPr>
          <w:p w14:paraId="41783A65" w14:textId="77777777" w:rsidR="004079B4" w:rsidRDefault="00386093" w:rsidP="00074DE0">
            <w:pPr>
              <w:pStyle w:val="Tablefont"/>
              <w:keepNext/>
            </w:pPr>
            <w:r>
              <w:t>IARC</w:t>
            </w:r>
          </w:p>
        </w:tc>
        <w:tc>
          <w:tcPr>
            <w:tcW w:w="6015" w:type="dxa"/>
          </w:tcPr>
          <w:p w14:paraId="3C650803" w14:textId="5331DC43" w:rsidR="00386093" w:rsidRPr="00DD2F9B" w:rsidRDefault="00E360B7" w:rsidP="00074DE0">
            <w:pPr>
              <w:keepNext/>
            </w:pPr>
            <w:r>
              <w:t xml:space="preserve">Carcinogenicity – Group 2B </w:t>
            </w:r>
          </w:p>
        </w:tc>
      </w:tr>
      <w:tr w:rsidR="00386093" w:rsidRPr="004C23F4" w14:paraId="2C04B2A1" w14:textId="77777777" w:rsidTr="00812887">
        <w:trPr>
          <w:cantSplit/>
        </w:trPr>
        <w:tc>
          <w:tcPr>
            <w:tcW w:w="3227" w:type="dxa"/>
          </w:tcPr>
          <w:p w14:paraId="6271612A" w14:textId="77777777" w:rsidR="004079B4" w:rsidRDefault="00386093" w:rsidP="00E07F1C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32A9829E" w14:textId="77777777" w:rsidR="00386093" w:rsidRPr="00DD2F9B" w:rsidRDefault="00E24DA6" w:rsidP="00E07F1C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4B458C0D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461AA617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6B918F8B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0762924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152E1929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4A3CAFB9" w14:textId="17432727" w:rsidR="00932DCE" w:rsidRPr="00467EB5" w:rsidRDefault="00E07F1C" w:rsidP="00467EB5">
            <w:r w:rsidRPr="00E07F1C">
              <w:t>Insufficient data to assign a skin notation</w:t>
            </w:r>
            <w:r w:rsidR="00E2522E">
              <w:t>.</w:t>
            </w:r>
          </w:p>
        </w:tc>
      </w:tr>
    </w:tbl>
    <w:bookmarkEnd w:id="3"/>
    <w:p w14:paraId="24880247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6FBF7F06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0CC231B" w14:textId="77777777" w:rsidR="00EB3D1B" w:rsidRPr="00467EB5" w:rsidRDefault="00EB3D1B" w:rsidP="005C5AE2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026B76F6" w14:textId="0EB38B7F" w:rsidR="00EB3D1B" w:rsidRDefault="00794568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20790A36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1"/>
        <w:gridCol w:w="5035"/>
      </w:tblGrid>
      <w:tr w:rsidR="001B79E5" w:rsidRPr="004C23F4" w14:paraId="2CA3D31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E897BED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5B6429C8" w14:textId="7CF698CE" w:rsidR="001B79E5" w:rsidRDefault="00853638" w:rsidP="007267E5">
                <w:pPr>
                  <w:pStyle w:val="Tablefont"/>
                </w:pPr>
                <w:r>
                  <w:rPr>
                    <w:rFonts w:cs="Arial"/>
                    <w:szCs w:val="24"/>
                    <w:lang w:val="en-US"/>
                  </w:rPr>
                  <w:t xml:space="preserve">58.93 </w:t>
                </w:r>
                <w:r w:rsidR="007E191F">
                  <w:rPr>
                    <w:rFonts w:cs="Arial"/>
                    <w:szCs w:val="24"/>
                    <w:lang w:val="en-US"/>
                  </w:rPr>
                  <w:t xml:space="preserve">  </w:t>
                </w:r>
                <w:r>
                  <w:rPr>
                    <w:rFonts w:cs="Arial"/>
                    <w:szCs w:val="24"/>
                    <w:lang w:val="en-US"/>
                  </w:rPr>
                  <w:t>(E</w:t>
                </w:r>
                <w:r w:rsidRPr="00BA1438">
                  <w:rPr>
                    <w:rFonts w:cs="Arial"/>
                    <w:szCs w:val="24"/>
                    <w:lang w:val="en-US"/>
                  </w:rPr>
                  <w:t>lemental</w:t>
                </w:r>
                <w:r w:rsidR="00074DE0">
                  <w:rPr>
                    <w:rFonts w:cs="Arial"/>
                    <w:szCs w:val="24"/>
                    <w:lang w:val="en-US"/>
                  </w:rPr>
                  <w:t>)</w:t>
                </w:r>
              </w:p>
            </w:tc>
          </w:sdtContent>
        </w:sdt>
      </w:tr>
      <w:tr w:rsidR="00A31D99" w:rsidRPr="004C23F4" w14:paraId="0C1B53B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3E52538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28D19A5B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03B65C7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F66CE2D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6004725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1F3AE87" w14:textId="77777777" w:rsidTr="00EA6243">
        <w:trPr>
          <w:cantSplit/>
        </w:trPr>
        <w:tc>
          <w:tcPr>
            <w:tcW w:w="4077" w:type="dxa"/>
            <w:vAlign w:val="center"/>
          </w:tcPr>
          <w:p w14:paraId="0606FF9B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58888C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77F1D0D" w14:textId="77777777" w:rsidTr="00EA6243">
        <w:trPr>
          <w:cantSplit/>
        </w:trPr>
        <w:tc>
          <w:tcPr>
            <w:tcW w:w="4077" w:type="dxa"/>
            <w:vAlign w:val="center"/>
          </w:tcPr>
          <w:p w14:paraId="2C7B5D64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3BA91FC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46095CBB" w14:textId="77777777" w:rsidTr="00EA6243">
        <w:trPr>
          <w:cantSplit/>
        </w:trPr>
        <w:tc>
          <w:tcPr>
            <w:tcW w:w="4077" w:type="dxa"/>
            <w:vAlign w:val="center"/>
          </w:tcPr>
          <w:p w14:paraId="628A77E1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7525CBD3" w14:textId="1BE4C43C" w:rsidR="00E06F40" w:rsidRPr="00A006A0" w:rsidRDefault="00C6442C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074DE0"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074DE0"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70374E2B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60362CB2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14BEB877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73B775FC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10ED60C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195D9517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362D4077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31364268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99E6488" w14:textId="702D6240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181F19DA" w14:textId="691DFF5E" w:rsidR="00CB2C11" w:rsidRDefault="00CB2C11" w:rsidP="00CB2C11">
      <w:r w:rsidRPr="002022B6">
        <w:t>Deutsche Forschungsgemeinschaft (DFG)</w:t>
      </w:r>
      <w:r>
        <w:t xml:space="preserve"> (2007) </w:t>
      </w:r>
      <w:r w:rsidR="007267E5">
        <w:t xml:space="preserve">Cobalt </w:t>
      </w:r>
      <w:r w:rsidRPr="00CB2C11">
        <w:t>and its compounds (</w:t>
      </w:r>
      <w:r w:rsidR="00986E55" w:rsidRPr="00986E55">
        <w:t>as inhalable dusts or aerosols</w:t>
      </w:r>
      <w:r w:rsidRPr="00CB2C11">
        <w:t>)</w:t>
      </w:r>
      <w:r>
        <w:t xml:space="preserve"> – MAK value documentation.</w:t>
      </w:r>
    </w:p>
    <w:p w14:paraId="13FE84EE" w14:textId="77777777" w:rsidR="00071010" w:rsidRDefault="00071010" w:rsidP="00071010">
      <w:r w:rsidRPr="00AB521D"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479B2156" w14:textId="059A5AE9" w:rsidR="00341D6B" w:rsidRDefault="00341D6B" w:rsidP="00341D6B">
      <w:r w:rsidRPr="002022B6">
        <w:t>International Agency for Research on Cancer</w:t>
      </w:r>
      <w:r>
        <w:t xml:space="preserve"> (IARC) (</w:t>
      </w:r>
      <w:r w:rsidR="00071010">
        <w:t>2006</w:t>
      </w:r>
      <w:r>
        <w:t xml:space="preserve">) Volume </w:t>
      </w:r>
      <w:r w:rsidR="00C14B03">
        <w:t>86</w:t>
      </w:r>
      <w:r w:rsidR="00F24029">
        <w:t xml:space="preserve">, </w:t>
      </w:r>
      <w:r w:rsidR="00C14B03" w:rsidRPr="00C14B03">
        <w:t>Cobalt in Hard Metals and Cobalt Sulfate, Gallium Arsenide, Indium Phosphide and Vanadium Pentoxide</w:t>
      </w:r>
      <w:r>
        <w:t>. IARC Monographs on the evaluation of the carcinogenic risk to humans.</w:t>
      </w:r>
    </w:p>
    <w:p w14:paraId="228DD567" w14:textId="0A3CDD81" w:rsidR="00737DE4" w:rsidRDefault="00737DE4" w:rsidP="00CB2C11">
      <w:r w:rsidRPr="002022B6">
        <w:t>National Industrial Chemicals Notification and Assessment Scheme (NICNAS)</w:t>
      </w:r>
      <w:r>
        <w:t xml:space="preserve"> (2014) Cobalt</w:t>
      </w:r>
      <w:r w:rsidRPr="0071660C">
        <w:t xml:space="preserve">: Human </w:t>
      </w:r>
      <w:r w:rsidRPr="00074DE0">
        <w:t xml:space="preserve">health </w:t>
      </w:r>
      <w:sdt>
        <w:sdtPr>
          <w:id w:val="-1295753243"/>
          <w:placeholder>
            <w:docPart w:val="D59AEF9736E0458FAF4D64811C11C5A5"/>
          </w:placeholder>
          <w:temporary/>
          <w:showingPlcHdr/>
        </w:sdtPr>
        <w:sdtEndPr/>
        <w:sdtContent>
          <w:r w:rsidRPr="007E191F">
            <w:t>tier II</w:t>
          </w:r>
        </w:sdtContent>
      </w:sdt>
      <w:r w:rsidRPr="00074DE0">
        <w:t xml:space="preserve"> assessment </w:t>
      </w:r>
      <w:r>
        <w:t>– IMAP report.</w:t>
      </w:r>
    </w:p>
    <w:p w14:paraId="55B043F2" w14:textId="3327B88E" w:rsidR="00CB2C11" w:rsidRPr="00351FE0" w:rsidRDefault="00341D6B" w:rsidP="00CB2C11">
      <w:r w:rsidRPr="00D86E03">
        <w:t>US National Institute for Occupational Safety and Health (NIOSH</w:t>
      </w:r>
      <w:r w:rsidRPr="00074DE0">
        <w:t>) (</w:t>
      </w:r>
      <w:sdt>
        <w:sdtPr>
          <w:id w:val="-1194999823"/>
          <w:placeholder>
            <w:docPart w:val="4749257F6E5F40439DF5D89ACFA8A893"/>
          </w:placeholder>
          <w:temporary/>
          <w:showingPlcHdr/>
        </w:sdtPr>
        <w:sdtEndPr/>
        <w:sdtContent>
          <w:r w:rsidRPr="007E191F">
            <w:t>1994</w:t>
          </w:r>
        </w:sdtContent>
      </w:sdt>
      <w:r w:rsidRPr="00074DE0">
        <w:t xml:space="preserve">) Immediately </w:t>
      </w:r>
      <w:r>
        <w:t>dangerous to life or health concentrations – Cobalt metal dust and fume (as Co).</w:t>
      </w:r>
    </w:p>
    <w:sectPr w:rsidR="00CB2C11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824CB9" w14:textId="77777777" w:rsidR="00FF1D96" w:rsidRDefault="00FF1D96" w:rsidP="00F43AD5">
      <w:pPr>
        <w:spacing w:after="0" w:line="240" w:lineRule="auto"/>
      </w:pPr>
      <w:r>
        <w:separator/>
      </w:r>
    </w:p>
  </w:endnote>
  <w:endnote w:type="continuationSeparator" w:id="0">
    <w:p w14:paraId="4552F033" w14:textId="77777777" w:rsidR="00FF1D96" w:rsidRDefault="00FF1D96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E98D7" w14:textId="77777777" w:rsidR="00953088" w:rsidRDefault="0095308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1AF42784" w14:textId="5B408F7F" w:rsidR="008A36CF" w:rsidRDefault="00C313DD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 xml:space="preserve">Cobalt </w:t>
        </w:r>
        <w:r w:rsidR="007267E5">
          <w:rPr>
            <w:b/>
            <w:sz w:val="18"/>
            <w:szCs w:val="18"/>
          </w:rPr>
          <w:t>(</w:t>
        </w:r>
        <w:r w:rsidR="002634D1">
          <w:rPr>
            <w:b/>
            <w:sz w:val="18"/>
            <w:szCs w:val="18"/>
          </w:rPr>
          <w:t xml:space="preserve">metal </w:t>
        </w:r>
        <w:r w:rsidR="007267E5">
          <w:rPr>
            <w:b/>
            <w:sz w:val="18"/>
            <w:szCs w:val="18"/>
          </w:rPr>
          <w:t>&amp; inorganic)</w:t>
        </w:r>
        <w:r w:rsidR="00C0398A">
          <w:rPr>
            <w:b/>
            <w:sz w:val="18"/>
            <w:szCs w:val="18"/>
          </w:rPr>
          <w:t xml:space="preserve"> (as Co)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7440-48-4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239CAED3" w14:textId="452689D0" w:rsidR="008A36CF" w:rsidRPr="00F43AD5" w:rsidRDefault="002634D1" w:rsidP="002634D1">
        <w:pPr>
          <w:pStyle w:val="Footer"/>
          <w:tabs>
            <w:tab w:val="left" w:pos="3004"/>
          </w:tabs>
          <w:rPr>
            <w:sz w:val="18"/>
            <w:szCs w:val="18"/>
          </w:rPr>
        </w:pPr>
        <w:r>
          <w:rPr>
            <w:sz w:val="18"/>
            <w:szCs w:val="18"/>
          </w:rPr>
          <w:tab/>
        </w:r>
        <w:r>
          <w:rPr>
            <w:sz w:val="18"/>
            <w:szCs w:val="18"/>
          </w:rPr>
          <w:tab/>
        </w:r>
        <w:r>
          <w:rPr>
            <w:sz w:val="18"/>
            <w:szCs w:val="18"/>
          </w:rPr>
          <w:tab/>
        </w:r>
        <w:r w:rsidR="008A36CF" w:rsidRPr="00F43AD5">
          <w:rPr>
            <w:sz w:val="18"/>
            <w:szCs w:val="18"/>
          </w:rPr>
          <w:fldChar w:fldCharType="begin"/>
        </w:r>
        <w:r w:rsidR="008A36CF" w:rsidRPr="00F43AD5">
          <w:rPr>
            <w:sz w:val="18"/>
            <w:szCs w:val="18"/>
          </w:rPr>
          <w:instrText xml:space="preserve"> PAGE   \* MERGEFORMAT </w:instrText>
        </w:r>
        <w:r w:rsidR="008A36CF" w:rsidRPr="00F43AD5">
          <w:rPr>
            <w:sz w:val="18"/>
            <w:szCs w:val="18"/>
          </w:rPr>
          <w:fldChar w:fldCharType="separate"/>
        </w:r>
        <w:r w:rsidR="00953088">
          <w:rPr>
            <w:noProof/>
            <w:sz w:val="18"/>
            <w:szCs w:val="18"/>
          </w:rPr>
          <w:t>5</w:t>
        </w:r>
        <w:r w:rsidR="008A36CF"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37FA1" w14:textId="77777777" w:rsidR="00953088" w:rsidRDefault="009530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232845" w14:textId="77777777" w:rsidR="00FF1D96" w:rsidRDefault="00FF1D96" w:rsidP="00F43AD5">
      <w:pPr>
        <w:spacing w:after="0" w:line="240" w:lineRule="auto"/>
      </w:pPr>
      <w:r>
        <w:separator/>
      </w:r>
    </w:p>
  </w:footnote>
  <w:footnote w:type="continuationSeparator" w:id="0">
    <w:p w14:paraId="3F9433D9" w14:textId="77777777" w:rsidR="00FF1D96" w:rsidRDefault="00FF1D96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4782E" w14:textId="09BEB718" w:rsidR="00E13DF4" w:rsidRDefault="00E13D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E0E55C" w14:textId="7482BF79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91C165D" wp14:editId="6592BA6F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C0B4E" w14:textId="0474A3DB" w:rsidR="00E13DF4" w:rsidRDefault="00E13DF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BC8D3" w14:textId="178C4279" w:rsidR="00E13DF4" w:rsidRDefault="00E13DF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2C300" w14:textId="7ADECA8F" w:rsidR="008A36CF" w:rsidRDefault="008A36CF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6FC0C" w14:textId="56F88828" w:rsidR="00E13DF4" w:rsidRDefault="00E13D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0720A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7AA790F"/>
    <w:multiLevelType w:val="hybridMultilevel"/>
    <w:tmpl w:val="1B5260B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478567">
    <w:abstractNumId w:val="0"/>
  </w:num>
  <w:num w:numId="2" w16cid:durableId="16471976">
    <w:abstractNumId w:val="1"/>
  </w:num>
  <w:num w:numId="3" w16cid:durableId="2118863467">
    <w:abstractNumId w:val="0"/>
  </w:num>
  <w:num w:numId="4" w16cid:durableId="1343774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122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3EAB"/>
    <w:rsid w:val="00014C3F"/>
    <w:rsid w:val="00015657"/>
    <w:rsid w:val="00017C82"/>
    <w:rsid w:val="00020105"/>
    <w:rsid w:val="00032B88"/>
    <w:rsid w:val="00043648"/>
    <w:rsid w:val="00046DF5"/>
    <w:rsid w:val="00052060"/>
    <w:rsid w:val="0005574A"/>
    <w:rsid w:val="00055FE1"/>
    <w:rsid w:val="00056EC2"/>
    <w:rsid w:val="00060B48"/>
    <w:rsid w:val="00065AAA"/>
    <w:rsid w:val="00067F32"/>
    <w:rsid w:val="00071010"/>
    <w:rsid w:val="00071807"/>
    <w:rsid w:val="00073F6B"/>
    <w:rsid w:val="00074DE0"/>
    <w:rsid w:val="000803E1"/>
    <w:rsid w:val="00083968"/>
    <w:rsid w:val="00084513"/>
    <w:rsid w:val="00084859"/>
    <w:rsid w:val="00092D94"/>
    <w:rsid w:val="000A32E9"/>
    <w:rsid w:val="000B0868"/>
    <w:rsid w:val="000B3E12"/>
    <w:rsid w:val="000B3E78"/>
    <w:rsid w:val="000B4F0A"/>
    <w:rsid w:val="000B7B48"/>
    <w:rsid w:val="000C096D"/>
    <w:rsid w:val="000C139A"/>
    <w:rsid w:val="000C2053"/>
    <w:rsid w:val="000C248C"/>
    <w:rsid w:val="000C27CA"/>
    <w:rsid w:val="000D291C"/>
    <w:rsid w:val="000E5A54"/>
    <w:rsid w:val="000E63D3"/>
    <w:rsid w:val="000E67CF"/>
    <w:rsid w:val="0010461E"/>
    <w:rsid w:val="00106FAA"/>
    <w:rsid w:val="00113443"/>
    <w:rsid w:val="001265B9"/>
    <w:rsid w:val="001269A7"/>
    <w:rsid w:val="00131092"/>
    <w:rsid w:val="00132C0B"/>
    <w:rsid w:val="001406F8"/>
    <w:rsid w:val="00140E6A"/>
    <w:rsid w:val="001432A5"/>
    <w:rsid w:val="00146545"/>
    <w:rsid w:val="00146B75"/>
    <w:rsid w:val="0015266D"/>
    <w:rsid w:val="0015288A"/>
    <w:rsid w:val="00160F47"/>
    <w:rsid w:val="001669F2"/>
    <w:rsid w:val="00167525"/>
    <w:rsid w:val="00173362"/>
    <w:rsid w:val="00177CA1"/>
    <w:rsid w:val="00182735"/>
    <w:rsid w:val="00183823"/>
    <w:rsid w:val="00183942"/>
    <w:rsid w:val="0018455E"/>
    <w:rsid w:val="001A009E"/>
    <w:rsid w:val="001A1287"/>
    <w:rsid w:val="001A19CE"/>
    <w:rsid w:val="001A3859"/>
    <w:rsid w:val="001A3C9D"/>
    <w:rsid w:val="001A43F8"/>
    <w:rsid w:val="001B6733"/>
    <w:rsid w:val="001B79E5"/>
    <w:rsid w:val="001D4A23"/>
    <w:rsid w:val="001D56F0"/>
    <w:rsid w:val="001D5C6F"/>
    <w:rsid w:val="001D663B"/>
    <w:rsid w:val="001D6B62"/>
    <w:rsid w:val="001D7B41"/>
    <w:rsid w:val="001E0A2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06EAB"/>
    <w:rsid w:val="00213640"/>
    <w:rsid w:val="002170E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634D1"/>
    <w:rsid w:val="00272FF9"/>
    <w:rsid w:val="00276494"/>
    <w:rsid w:val="00277B0C"/>
    <w:rsid w:val="002A3A65"/>
    <w:rsid w:val="002B1A2C"/>
    <w:rsid w:val="002C00D5"/>
    <w:rsid w:val="002C0576"/>
    <w:rsid w:val="002C34F2"/>
    <w:rsid w:val="002C58FF"/>
    <w:rsid w:val="002C7AFE"/>
    <w:rsid w:val="002D05D2"/>
    <w:rsid w:val="002D253A"/>
    <w:rsid w:val="002E0D61"/>
    <w:rsid w:val="002E4C7B"/>
    <w:rsid w:val="002F5DDF"/>
    <w:rsid w:val="00304C14"/>
    <w:rsid w:val="0030740C"/>
    <w:rsid w:val="003078BD"/>
    <w:rsid w:val="00312278"/>
    <w:rsid w:val="00315833"/>
    <w:rsid w:val="00316BD5"/>
    <w:rsid w:val="003215EE"/>
    <w:rsid w:val="003224BF"/>
    <w:rsid w:val="003241A8"/>
    <w:rsid w:val="003253F0"/>
    <w:rsid w:val="003337DA"/>
    <w:rsid w:val="00334EFB"/>
    <w:rsid w:val="00335CDE"/>
    <w:rsid w:val="003365A5"/>
    <w:rsid w:val="00341D6B"/>
    <w:rsid w:val="00347192"/>
    <w:rsid w:val="0034744C"/>
    <w:rsid w:val="00351FE0"/>
    <w:rsid w:val="00352615"/>
    <w:rsid w:val="0035412B"/>
    <w:rsid w:val="0035496C"/>
    <w:rsid w:val="0035505C"/>
    <w:rsid w:val="003567A8"/>
    <w:rsid w:val="00362895"/>
    <w:rsid w:val="0037011C"/>
    <w:rsid w:val="00370DBF"/>
    <w:rsid w:val="0038271E"/>
    <w:rsid w:val="00386093"/>
    <w:rsid w:val="003904A4"/>
    <w:rsid w:val="00391841"/>
    <w:rsid w:val="00391B6D"/>
    <w:rsid w:val="00394922"/>
    <w:rsid w:val="00397610"/>
    <w:rsid w:val="003A0E32"/>
    <w:rsid w:val="003A2B94"/>
    <w:rsid w:val="003A723A"/>
    <w:rsid w:val="003B387D"/>
    <w:rsid w:val="003C0D58"/>
    <w:rsid w:val="003C1F67"/>
    <w:rsid w:val="003C536E"/>
    <w:rsid w:val="003D0EFE"/>
    <w:rsid w:val="003D4FA3"/>
    <w:rsid w:val="003E0807"/>
    <w:rsid w:val="003E51FB"/>
    <w:rsid w:val="003E6B39"/>
    <w:rsid w:val="003F07E1"/>
    <w:rsid w:val="003F3099"/>
    <w:rsid w:val="004030BC"/>
    <w:rsid w:val="00403F7D"/>
    <w:rsid w:val="00404810"/>
    <w:rsid w:val="00406785"/>
    <w:rsid w:val="004079B4"/>
    <w:rsid w:val="00417A56"/>
    <w:rsid w:val="00417FE3"/>
    <w:rsid w:val="00420957"/>
    <w:rsid w:val="00422A10"/>
    <w:rsid w:val="00430179"/>
    <w:rsid w:val="004414B5"/>
    <w:rsid w:val="00444482"/>
    <w:rsid w:val="00444916"/>
    <w:rsid w:val="00444B42"/>
    <w:rsid w:val="00445E44"/>
    <w:rsid w:val="004509E2"/>
    <w:rsid w:val="004515EE"/>
    <w:rsid w:val="004529F0"/>
    <w:rsid w:val="00460A03"/>
    <w:rsid w:val="00467EB5"/>
    <w:rsid w:val="0047262F"/>
    <w:rsid w:val="00472A11"/>
    <w:rsid w:val="00472AAD"/>
    <w:rsid w:val="00474E33"/>
    <w:rsid w:val="004766FA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A7CC2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4F6BE1"/>
    <w:rsid w:val="0050005E"/>
    <w:rsid w:val="00502B88"/>
    <w:rsid w:val="00507564"/>
    <w:rsid w:val="00513CCF"/>
    <w:rsid w:val="00513DBD"/>
    <w:rsid w:val="005142C4"/>
    <w:rsid w:val="0051509C"/>
    <w:rsid w:val="00525334"/>
    <w:rsid w:val="005272E2"/>
    <w:rsid w:val="0053108F"/>
    <w:rsid w:val="00532B56"/>
    <w:rsid w:val="00533295"/>
    <w:rsid w:val="00534B10"/>
    <w:rsid w:val="00537570"/>
    <w:rsid w:val="005446A2"/>
    <w:rsid w:val="00544D2F"/>
    <w:rsid w:val="00551BD8"/>
    <w:rsid w:val="005638CA"/>
    <w:rsid w:val="00581055"/>
    <w:rsid w:val="005822F9"/>
    <w:rsid w:val="00585115"/>
    <w:rsid w:val="00591E38"/>
    <w:rsid w:val="005973F4"/>
    <w:rsid w:val="005A19C5"/>
    <w:rsid w:val="005A3034"/>
    <w:rsid w:val="005A3C09"/>
    <w:rsid w:val="005A462D"/>
    <w:rsid w:val="005B253B"/>
    <w:rsid w:val="005B771D"/>
    <w:rsid w:val="005C3F80"/>
    <w:rsid w:val="005C5AE2"/>
    <w:rsid w:val="005C5D16"/>
    <w:rsid w:val="005D3193"/>
    <w:rsid w:val="005D4A6E"/>
    <w:rsid w:val="005E6979"/>
    <w:rsid w:val="005E75CB"/>
    <w:rsid w:val="005F3BC1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4A77"/>
    <w:rsid w:val="006867F3"/>
    <w:rsid w:val="00687890"/>
    <w:rsid w:val="006901A2"/>
    <w:rsid w:val="00690368"/>
    <w:rsid w:val="0069079C"/>
    <w:rsid w:val="00690B53"/>
    <w:rsid w:val="006927F6"/>
    <w:rsid w:val="00695B72"/>
    <w:rsid w:val="006B160A"/>
    <w:rsid w:val="006B4E6C"/>
    <w:rsid w:val="006B50B6"/>
    <w:rsid w:val="006C02E6"/>
    <w:rsid w:val="006C5630"/>
    <w:rsid w:val="006C7F73"/>
    <w:rsid w:val="006D79EA"/>
    <w:rsid w:val="006E5D05"/>
    <w:rsid w:val="00701053"/>
    <w:rsid w:val="00701507"/>
    <w:rsid w:val="00704B77"/>
    <w:rsid w:val="00714021"/>
    <w:rsid w:val="00716A0F"/>
    <w:rsid w:val="00717D45"/>
    <w:rsid w:val="007208F7"/>
    <w:rsid w:val="007218AF"/>
    <w:rsid w:val="007267E5"/>
    <w:rsid w:val="00736234"/>
    <w:rsid w:val="007365D1"/>
    <w:rsid w:val="00737DE4"/>
    <w:rsid w:val="00740652"/>
    <w:rsid w:val="00740E0E"/>
    <w:rsid w:val="00750212"/>
    <w:rsid w:val="00754779"/>
    <w:rsid w:val="0075716D"/>
    <w:rsid w:val="00765D91"/>
    <w:rsid w:val="00765F14"/>
    <w:rsid w:val="00767D96"/>
    <w:rsid w:val="00770E31"/>
    <w:rsid w:val="00771B8C"/>
    <w:rsid w:val="007770F1"/>
    <w:rsid w:val="00783FB1"/>
    <w:rsid w:val="00785CDD"/>
    <w:rsid w:val="00791847"/>
    <w:rsid w:val="007925F0"/>
    <w:rsid w:val="007939B3"/>
    <w:rsid w:val="00794568"/>
    <w:rsid w:val="0079509C"/>
    <w:rsid w:val="00796708"/>
    <w:rsid w:val="007A2B7B"/>
    <w:rsid w:val="007B1B42"/>
    <w:rsid w:val="007C30EB"/>
    <w:rsid w:val="007D1D1E"/>
    <w:rsid w:val="007E063C"/>
    <w:rsid w:val="007E191F"/>
    <w:rsid w:val="007E2A4B"/>
    <w:rsid w:val="007E307D"/>
    <w:rsid w:val="007E6A4E"/>
    <w:rsid w:val="007E6C94"/>
    <w:rsid w:val="007F1005"/>
    <w:rsid w:val="007F25E0"/>
    <w:rsid w:val="007F5328"/>
    <w:rsid w:val="00800B5C"/>
    <w:rsid w:val="00804F5A"/>
    <w:rsid w:val="00810C6D"/>
    <w:rsid w:val="00812887"/>
    <w:rsid w:val="008164D5"/>
    <w:rsid w:val="00820678"/>
    <w:rsid w:val="00824D84"/>
    <w:rsid w:val="00826F21"/>
    <w:rsid w:val="00827423"/>
    <w:rsid w:val="00834CC8"/>
    <w:rsid w:val="00835E00"/>
    <w:rsid w:val="00837113"/>
    <w:rsid w:val="008414E4"/>
    <w:rsid w:val="00843E21"/>
    <w:rsid w:val="0084508E"/>
    <w:rsid w:val="00847E1C"/>
    <w:rsid w:val="0085183F"/>
    <w:rsid w:val="00853638"/>
    <w:rsid w:val="00857A8A"/>
    <w:rsid w:val="008630EE"/>
    <w:rsid w:val="00864D13"/>
    <w:rsid w:val="00871CD5"/>
    <w:rsid w:val="008745A2"/>
    <w:rsid w:val="008768A8"/>
    <w:rsid w:val="008871FE"/>
    <w:rsid w:val="0088798F"/>
    <w:rsid w:val="00887E4B"/>
    <w:rsid w:val="008915C8"/>
    <w:rsid w:val="008A2937"/>
    <w:rsid w:val="008A36CF"/>
    <w:rsid w:val="008A3BC4"/>
    <w:rsid w:val="008B1408"/>
    <w:rsid w:val="008B2474"/>
    <w:rsid w:val="008B403C"/>
    <w:rsid w:val="008B4EA9"/>
    <w:rsid w:val="008B7983"/>
    <w:rsid w:val="008C0718"/>
    <w:rsid w:val="008C2511"/>
    <w:rsid w:val="008C4F25"/>
    <w:rsid w:val="008D026D"/>
    <w:rsid w:val="008D0FC5"/>
    <w:rsid w:val="008D23AB"/>
    <w:rsid w:val="008D4B8B"/>
    <w:rsid w:val="008D5A78"/>
    <w:rsid w:val="008E7B64"/>
    <w:rsid w:val="008F1435"/>
    <w:rsid w:val="008F2FA4"/>
    <w:rsid w:val="008F5DCD"/>
    <w:rsid w:val="008F7C83"/>
    <w:rsid w:val="00900951"/>
    <w:rsid w:val="009118A6"/>
    <w:rsid w:val="00916909"/>
    <w:rsid w:val="00916EC0"/>
    <w:rsid w:val="00920467"/>
    <w:rsid w:val="00921DE7"/>
    <w:rsid w:val="00922A09"/>
    <w:rsid w:val="00922A8D"/>
    <w:rsid w:val="00924DBD"/>
    <w:rsid w:val="0093041A"/>
    <w:rsid w:val="00930714"/>
    <w:rsid w:val="00931B03"/>
    <w:rsid w:val="009323B9"/>
    <w:rsid w:val="00932DCE"/>
    <w:rsid w:val="0093327E"/>
    <w:rsid w:val="00934028"/>
    <w:rsid w:val="0093760E"/>
    <w:rsid w:val="009419BC"/>
    <w:rsid w:val="00946044"/>
    <w:rsid w:val="0094660B"/>
    <w:rsid w:val="00946A33"/>
    <w:rsid w:val="0095260E"/>
    <w:rsid w:val="00953088"/>
    <w:rsid w:val="009578DD"/>
    <w:rsid w:val="00961124"/>
    <w:rsid w:val="009621B6"/>
    <w:rsid w:val="00966540"/>
    <w:rsid w:val="00974F2D"/>
    <w:rsid w:val="00977524"/>
    <w:rsid w:val="00977E88"/>
    <w:rsid w:val="00984920"/>
    <w:rsid w:val="00986E55"/>
    <w:rsid w:val="0099303A"/>
    <w:rsid w:val="009971C2"/>
    <w:rsid w:val="00997D2A"/>
    <w:rsid w:val="009A1254"/>
    <w:rsid w:val="009B2FF2"/>
    <w:rsid w:val="009B380C"/>
    <w:rsid w:val="009B4843"/>
    <w:rsid w:val="009B6543"/>
    <w:rsid w:val="009C199D"/>
    <w:rsid w:val="009C278F"/>
    <w:rsid w:val="009C2B94"/>
    <w:rsid w:val="009C55CE"/>
    <w:rsid w:val="009C5874"/>
    <w:rsid w:val="009C681D"/>
    <w:rsid w:val="009D3B5A"/>
    <w:rsid w:val="009E0C05"/>
    <w:rsid w:val="009E0D1C"/>
    <w:rsid w:val="009E2214"/>
    <w:rsid w:val="009E355A"/>
    <w:rsid w:val="009E537D"/>
    <w:rsid w:val="009E63E2"/>
    <w:rsid w:val="009F04D2"/>
    <w:rsid w:val="009F05CF"/>
    <w:rsid w:val="009F0F3A"/>
    <w:rsid w:val="00A01D0C"/>
    <w:rsid w:val="00A05CA1"/>
    <w:rsid w:val="00A0643F"/>
    <w:rsid w:val="00A067EE"/>
    <w:rsid w:val="00A10528"/>
    <w:rsid w:val="00A10FCE"/>
    <w:rsid w:val="00A169E4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46B8"/>
    <w:rsid w:val="00A52B10"/>
    <w:rsid w:val="00A53681"/>
    <w:rsid w:val="00A548ED"/>
    <w:rsid w:val="00A633D4"/>
    <w:rsid w:val="00A6461A"/>
    <w:rsid w:val="00A70BC5"/>
    <w:rsid w:val="00A84504"/>
    <w:rsid w:val="00A8672F"/>
    <w:rsid w:val="00A93057"/>
    <w:rsid w:val="00A968B0"/>
    <w:rsid w:val="00AB2672"/>
    <w:rsid w:val="00AB2817"/>
    <w:rsid w:val="00AB43C4"/>
    <w:rsid w:val="00AB521D"/>
    <w:rsid w:val="00AC0F1C"/>
    <w:rsid w:val="00AC32E7"/>
    <w:rsid w:val="00AC3383"/>
    <w:rsid w:val="00AC3A9F"/>
    <w:rsid w:val="00AC6D2F"/>
    <w:rsid w:val="00AE2745"/>
    <w:rsid w:val="00AE2F64"/>
    <w:rsid w:val="00AE5FD7"/>
    <w:rsid w:val="00AF2BBB"/>
    <w:rsid w:val="00AF42CB"/>
    <w:rsid w:val="00AF483F"/>
    <w:rsid w:val="00AF5E07"/>
    <w:rsid w:val="00AF5F06"/>
    <w:rsid w:val="00B00A25"/>
    <w:rsid w:val="00B1422A"/>
    <w:rsid w:val="00B1765C"/>
    <w:rsid w:val="00B20F38"/>
    <w:rsid w:val="00B213C4"/>
    <w:rsid w:val="00B36952"/>
    <w:rsid w:val="00B40C60"/>
    <w:rsid w:val="00B46200"/>
    <w:rsid w:val="00B472D4"/>
    <w:rsid w:val="00B479A9"/>
    <w:rsid w:val="00B50069"/>
    <w:rsid w:val="00B52EDF"/>
    <w:rsid w:val="00B700C2"/>
    <w:rsid w:val="00B71188"/>
    <w:rsid w:val="00B76A41"/>
    <w:rsid w:val="00B8141D"/>
    <w:rsid w:val="00B87D4C"/>
    <w:rsid w:val="00B93646"/>
    <w:rsid w:val="00BA0B38"/>
    <w:rsid w:val="00BA1438"/>
    <w:rsid w:val="00BA1DBB"/>
    <w:rsid w:val="00BA4510"/>
    <w:rsid w:val="00BA529A"/>
    <w:rsid w:val="00BB612A"/>
    <w:rsid w:val="00BD499F"/>
    <w:rsid w:val="00BD56DE"/>
    <w:rsid w:val="00BE4069"/>
    <w:rsid w:val="00BF2406"/>
    <w:rsid w:val="00C0398A"/>
    <w:rsid w:val="00C05641"/>
    <w:rsid w:val="00C0673E"/>
    <w:rsid w:val="00C06E43"/>
    <w:rsid w:val="00C14B03"/>
    <w:rsid w:val="00C16315"/>
    <w:rsid w:val="00C21824"/>
    <w:rsid w:val="00C23674"/>
    <w:rsid w:val="00C3091E"/>
    <w:rsid w:val="00C313DD"/>
    <w:rsid w:val="00C40FF1"/>
    <w:rsid w:val="00C419E2"/>
    <w:rsid w:val="00C41CA7"/>
    <w:rsid w:val="00C43A57"/>
    <w:rsid w:val="00C458FD"/>
    <w:rsid w:val="00C47EB4"/>
    <w:rsid w:val="00C501F4"/>
    <w:rsid w:val="00C5020E"/>
    <w:rsid w:val="00C50D63"/>
    <w:rsid w:val="00C52158"/>
    <w:rsid w:val="00C57452"/>
    <w:rsid w:val="00C61EDF"/>
    <w:rsid w:val="00C6239D"/>
    <w:rsid w:val="00C62848"/>
    <w:rsid w:val="00C6442C"/>
    <w:rsid w:val="00C6594B"/>
    <w:rsid w:val="00C67FFB"/>
    <w:rsid w:val="00C7155E"/>
    <w:rsid w:val="00C71D1E"/>
    <w:rsid w:val="00C71D7D"/>
    <w:rsid w:val="00C74833"/>
    <w:rsid w:val="00C850A0"/>
    <w:rsid w:val="00C8539B"/>
    <w:rsid w:val="00C85A86"/>
    <w:rsid w:val="00C978F0"/>
    <w:rsid w:val="00CA58FE"/>
    <w:rsid w:val="00CA5EC2"/>
    <w:rsid w:val="00CB09CB"/>
    <w:rsid w:val="00CB0F4C"/>
    <w:rsid w:val="00CB1CB1"/>
    <w:rsid w:val="00CB2C11"/>
    <w:rsid w:val="00CB6BC1"/>
    <w:rsid w:val="00CB6CB8"/>
    <w:rsid w:val="00CC1A68"/>
    <w:rsid w:val="00CC2123"/>
    <w:rsid w:val="00CC32EA"/>
    <w:rsid w:val="00CC61D4"/>
    <w:rsid w:val="00CC67C5"/>
    <w:rsid w:val="00CD2BFD"/>
    <w:rsid w:val="00CE5AD6"/>
    <w:rsid w:val="00CE617F"/>
    <w:rsid w:val="00CE78EF"/>
    <w:rsid w:val="00D0053E"/>
    <w:rsid w:val="00D048F7"/>
    <w:rsid w:val="00D04A13"/>
    <w:rsid w:val="00D050D5"/>
    <w:rsid w:val="00D0517E"/>
    <w:rsid w:val="00D0678A"/>
    <w:rsid w:val="00D06F33"/>
    <w:rsid w:val="00D140FC"/>
    <w:rsid w:val="00D21D8C"/>
    <w:rsid w:val="00D27747"/>
    <w:rsid w:val="00D302BC"/>
    <w:rsid w:val="00D31357"/>
    <w:rsid w:val="00D33220"/>
    <w:rsid w:val="00D3344B"/>
    <w:rsid w:val="00D334D1"/>
    <w:rsid w:val="00D33A49"/>
    <w:rsid w:val="00D36243"/>
    <w:rsid w:val="00D43067"/>
    <w:rsid w:val="00D4406A"/>
    <w:rsid w:val="00D44C89"/>
    <w:rsid w:val="00D516CD"/>
    <w:rsid w:val="00D55941"/>
    <w:rsid w:val="00D668E6"/>
    <w:rsid w:val="00D70670"/>
    <w:rsid w:val="00D74D80"/>
    <w:rsid w:val="00D75495"/>
    <w:rsid w:val="00D76624"/>
    <w:rsid w:val="00D83578"/>
    <w:rsid w:val="00D87570"/>
    <w:rsid w:val="00D91CB9"/>
    <w:rsid w:val="00D97989"/>
    <w:rsid w:val="00D97D8D"/>
    <w:rsid w:val="00DA352E"/>
    <w:rsid w:val="00DB647F"/>
    <w:rsid w:val="00DC0865"/>
    <w:rsid w:val="00DC7694"/>
    <w:rsid w:val="00DD1BF6"/>
    <w:rsid w:val="00DD2F9B"/>
    <w:rsid w:val="00DE2513"/>
    <w:rsid w:val="00DE26E8"/>
    <w:rsid w:val="00DE3DCB"/>
    <w:rsid w:val="00DF14A6"/>
    <w:rsid w:val="00DF262E"/>
    <w:rsid w:val="00DF6F36"/>
    <w:rsid w:val="00E0084C"/>
    <w:rsid w:val="00E025AB"/>
    <w:rsid w:val="00E02B23"/>
    <w:rsid w:val="00E06F40"/>
    <w:rsid w:val="00E07CE8"/>
    <w:rsid w:val="00E07F1C"/>
    <w:rsid w:val="00E13DF4"/>
    <w:rsid w:val="00E15548"/>
    <w:rsid w:val="00E20DB8"/>
    <w:rsid w:val="00E24DA6"/>
    <w:rsid w:val="00E2522E"/>
    <w:rsid w:val="00E26A07"/>
    <w:rsid w:val="00E32595"/>
    <w:rsid w:val="00E34DCC"/>
    <w:rsid w:val="00E360B7"/>
    <w:rsid w:val="00E3616E"/>
    <w:rsid w:val="00E37CFD"/>
    <w:rsid w:val="00E41A26"/>
    <w:rsid w:val="00E46BCB"/>
    <w:rsid w:val="00E51CAF"/>
    <w:rsid w:val="00E53094"/>
    <w:rsid w:val="00E60F04"/>
    <w:rsid w:val="00E62AAC"/>
    <w:rsid w:val="00E62BCE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B6115"/>
    <w:rsid w:val="00ED1D89"/>
    <w:rsid w:val="00ED66BC"/>
    <w:rsid w:val="00EF233A"/>
    <w:rsid w:val="00EF303E"/>
    <w:rsid w:val="00EF3A40"/>
    <w:rsid w:val="00EF7E26"/>
    <w:rsid w:val="00EF7F78"/>
    <w:rsid w:val="00F01B08"/>
    <w:rsid w:val="00F01C4D"/>
    <w:rsid w:val="00F053FA"/>
    <w:rsid w:val="00F10C97"/>
    <w:rsid w:val="00F11C71"/>
    <w:rsid w:val="00F13CE6"/>
    <w:rsid w:val="00F1462C"/>
    <w:rsid w:val="00F16019"/>
    <w:rsid w:val="00F20E68"/>
    <w:rsid w:val="00F22093"/>
    <w:rsid w:val="00F236DF"/>
    <w:rsid w:val="00F24029"/>
    <w:rsid w:val="00F41185"/>
    <w:rsid w:val="00F41FFC"/>
    <w:rsid w:val="00F43AD5"/>
    <w:rsid w:val="00F4402E"/>
    <w:rsid w:val="00F5407D"/>
    <w:rsid w:val="00F56DD0"/>
    <w:rsid w:val="00F60682"/>
    <w:rsid w:val="00F6491C"/>
    <w:rsid w:val="00F67BBB"/>
    <w:rsid w:val="00F73ABE"/>
    <w:rsid w:val="00F83818"/>
    <w:rsid w:val="00F87D92"/>
    <w:rsid w:val="00F90AA7"/>
    <w:rsid w:val="00F92498"/>
    <w:rsid w:val="00F9496B"/>
    <w:rsid w:val="00F970C9"/>
    <w:rsid w:val="00F97183"/>
    <w:rsid w:val="00FA06A8"/>
    <w:rsid w:val="00FA3DF5"/>
    <w:rsid w:val="00FA66F0"/>
    <w:rsid w:val="00FA741F"/>
    <w:rsid w:val="00FB4E07"/>
    <w:rsid w:val="00FB755A"/>
    <w:rsid w:val="00FC06DC"/>
    <w:rsid w:val="00FC1259"/>
    <w:rsid w:val="00FC60A2"/>
    <w:rsid w:val="00FC630A"/>
    <w:rsid w:val="00FD1871"/>
    <w:rsid w:val="00FD29F8"/>
    <w:rsid w:val="00FD3110"/>
    <w:rsid w:val="00FD5B6E"/>
    <w:rsid w:val="00FF1D96"/>
    <w:rsid w:val="00FF26E8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5"/>
    <o:shapelayout v:ext="edit">
      <o:idmap v:ext="edit" data="1"/>
    </o:shapelayout>
  </w:shapeDefaults>
  <w:decimalSymbol w:val="."/>
  <w:listSeparator w:val=","/>
  <w14:docId w14:val="4D06DA61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CB0F4C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C5A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5AE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5AE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5A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5AE2"/>
    <w:rPr>
      <w:b/>
      <w:bCs/>
      <w:szCs w:val="20"/>
    </w:rPr>
  </w:style>
  <w:style w:type="paragraph" w:styleId="Revision">
    <w:name w:val="Revision"/>
    <w:hidden/>
    <w:uiPriority w:val="99"/>
    <w:semiHidden/>
    <w:rsid w:val="005F3BC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38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20BC8D26515A4C11AC6304FB75A7C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F72BE-1073-48D1-A613-18F5D94AD94A}"/>
      </w:docPartPr>
      <w:docPartBody>
        <w:p w:rsidR="00D21A9F" w:rsidRDefault="00D21A9F">
          <w:pPr>
            <w:pStyle w:val="20BC8D26515A4C11AC6304FB75A7CBA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0C13FCEB87D843A4B3F80955802F86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6C1DA3-BDC1-4BE3-A430-096498A72D49}"/>
      </w:docPartPr>
      <w:docPartBody>
        <w:p w:rsidR="00C706D5" w:rsidRDefault="005C389A" w:rsidP="005C389A">
          <w:pPr>
            <w:pStyle w:val="0C13FCEB87D843A4B3F80955802F8671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D59AEF9736E0458FAF4D64811C11C5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A7A7B3-F721-42FA-8BCA-2DF09CD4AC8B}"/>
      </w:docPartPr>
      <w:docPartBody>
        <w:p w:rsidR="000C6E30" w:rsidRDefault="00CB4924" w:rsidP="00CB4924">
          <w:pPr>
            <w:pStyle w:val="D59AEF9736E0458FAF4D64811C11C5A5"/>
          </w:pPr>
          <w:r>
            <w:rPr>
              <w:color w:val="00B050"/>
            </w:rPr>
            <w:t>tier </w:t>
          </w:r>
          <w:r w:rsidRPr="0071660C">
            <w:rPr>
              <w:color w:val="00B050"/>
            </w:rPr>
            <w:t>II</w:t>
          </w:r>
        </w:p>
      </w:docPartBody>
    </w:docPart>
    <w:docPart>
      <w:docPartPr>
        <w:name w:val="4749257F6E5F40439DF5D89ACFA8A8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C1FB74-B88D-4AE0-B455-86F66B119419}"/>
      </w:docPartPr>
      <w:docPartBody>
        <w:p w:rsidR="000C6E30" w:rsidRDefault="00CB4924" w:rsidP="00CB4924">
          <w:pPr>
            <w:pStyle w:val="4749257F6E5F40439DF5D89ACFA8A893"/>
          </w:pPr>
          <w:r w:rsidRPr="00262278">
            <w:rPr>
              <w:color w:val="00B050"/>
            </w:rPr>
            <w:t>1994</w:t>
          </w:r>
        </w:p>
      </w:docPartBody>
    </w:docPart>
    <w:docPart>
      <w:docPartPr>
        <w:name w:val="FB7730003B734700AB44C50CD9BD91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15E4D6-67F4-4BF9-BC78-8418BB1B7F03}"/>
      </w:docPartPr>
      <w:docPartBody>
        <w:p w:rsidR="002A33C7" w:rsidRDefault="00B64269" w:rsidP="00B64269">
          <w:pPr>
            <w:pStyle w:val="FB7730003B734700AB44C50CD9BD91C7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10F2A"/>
    <w:rsid w:val="000C6E30"/>
    <w:rsid w:val="002A33C7"/>
    <w:rsid w:val="005638CA"/>
    <w:rsid w:val="005C389A"/>
    <w:rsid w:val="00B30C6A"/>
    <w:rsid w:val="00B64269"/>
    <w:rsid w:val="00C706D5"/>
    <w:rsid w:val="00CB4924"/>
    <w:rsid w:val="00D21A9F"/>
    <w:rsid w:val="00D53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64269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20BC8D26515A4C11AC6304FB75A7CBAD">
    <w:name w:val="20BC8D26515A4C11AC6304FB75A7CBAD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0C13FCEB87D843A4B3F80955802F8671">
    <w:name w:val="0C13FCEB87D843A4B3F80955802F8671"/>
    <w:rsid w:val="005C389A"/>
  </w:style>
  <w:style w:type="paragraph" w:customStyle="1" w:styleId="D59AEF9736E0458FAF4D64811C11C5A5">
    <w:name w:val="D59AEF9736E0458FAF4D64811C11C5A5"/>
    <w:rsid w:val="00CB4924"/>
    <w:rPr>
      <w:lang w:val="en-US" w:eastAsia="en-US"/>
    </w:rPr>
  </w:style>
  <w:style w:type="paragraph" w:customStyle="1" w:styleId="4749257F6E5F40439DF5D89ACFA8A893">
    <w:name w:val="4749257F6E5F40439DF5D89ACFA8A893"/>
    <w:rsid w:val="00CB4924"/>
    <w:rPr>
      <w:lang w:val="en-US" w:eastAsia="en-US"/>
    </w:rPr>
  </w:style>
  <w:style w:type="paragraph" w:customStyle="1" w:styleId="FB7730003B734700AB44C50CD9BD91C7">
    <w:name w:val="FB7730003B734700AB44C50CD9BD91C7"/>
    <w:rsid w:val="00B6426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FFAECF3-C074-4629-99B5-3D35D11DF8D6}"/>
</file>

<file path=customXml/itemProps2.xml><?xml version="1.0" encoding="utf-8"?>
<ds:datastoreItem xmlns:ds="http://schemas.openxmlformats.org/officeDocument/2006/customXml" ds:itemID="{CC97923E-682D-4160-8AE6-E76C0E8F026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http://purl.org/dc/elements/1.1/"/>
    <ds:schemaRef ds:uri="http://schemas.openxmlformats.org/package/2006/metadata/core-properties"/>
    <ds:schemaRef ds:uri="http://purl.org/dc/dcmitype/"/>
    <ds:schemaRef ds:uri="bf54d604-3e62-4e70-ba33-9e9084b96a66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</Pages>
  <Words>1450</Words>
  <Characters>8268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9699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36</cp:revision>
  <cp:lastPrinted>2018-10-22T22:41:00Z</cp:lastPrinted>
  <dcterms:created xsi:type="dcterms:W3CDTF">2019-10-05T20:56:00Z</dcterms:created>
  <dcterms:modified xsi:type="dcterms:W3CDTF">2025-12-22T03:44:00Z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2025-12-22T03:44:12Z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ebecf965-08e3-4757-8f73-507803c4532d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