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5DA88E" w14:textId="1DF214B2" w:rsidR="00BD499F" w:rsidRPr="004C23F4" w:rsidRDefault="00E07F1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85183F">
            <w:rPr>
              <w:rFonts w:ascii="Arial" w:hAnsi="Arial" w:cs="Arial"/>
            </w:rPr>
            <w:t>obalt c</w:t>
          </w:r>
          <w:r w:rsidR="00767D96">
            <w:rPr>
              <w:rFonts w:ascii="Arial" w:hAnsi="Arial" w:cs="Arial"/>
            </w:rPr>
            <w:t xml:space="preserve">ompounds </w:t>
          </w:r>
          <w:r w:rsidR="0085183F">
            <w:rPr>
              <w:rFonts w:ascii="Arial" w:hAnsi="Arial" w:cs="Arial"/>
            </w:rPr>
            <w:t>(as co)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7"/>
        <w:gridCol w:w="5059"/>
      </w:tblGrid>
      <w:tr w:rsidR="00F43AD5" w:rsidRPr="004C23F4" w14:paraId="014C32CC" w14:textId="77777777" w:rsidTr="00DF52C8">
        <w:trPr>
          <w:cantSplit/>
          <w:tblHeader/>
        </w:trPr>
        <w:tc>
          <w:tcPr>
            <w:tcW w:w="3967" w:type="dxa"/>
          </w:tcPr>
          <w:p w14:paraId="55183C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9" w:type="dxa"/>
          </w:tcPr>
          <w:p w14:paraId="00B6A3F4" w14:textId="64C15642" w:rsidR="00F43AD5" w:rsidRDefault="0085183F" w:rsidP="006C5630">
            <w:pPr>
              <w:pStyle w:val="Tablefont"/>
              <w:rPr>
                <w:rFonts w:cs="Arial"/>
                <w:szCs w:val="24"/>
                <w:lang w:val="en-US"/>
              </w:rPr>
            </w:pPr>
            <w:r w:rsidRPr="0085183F">
              <w:rPr>
                <w:rFonts w:cs="Arial"/>
                <w:szCs w:val="24"/>
                <w:lang w:val="en-US"/>
              </w:rPr>
              <w:t>10210-68-1</w:t>
            </w:r>
            <w:r w:rsidR="00C47EB4">
              <w:rPr>
                <w:rFonts w:cs="Arial"/>
                <w:szCs w:val="24"/>
                <w:lang w:val="en-US"/>
              </w:rPr>
              <w:t xml:space="preserve"> </w:t>
            </w:r>
            <w:r w:rsidR="006C5630">
              <w:rPr>
                <w:rFonts w:cs="Arial"/>
                <w:szCs w:val="24"/>
                <w:lang w:val="en-US"/>
              </w:rPr>
              <w:t xml:space="preserve">          </w:t>
            </w:r>
            <w:r w:rsidR="00E53094">
              <w:rPr>
                <w:rFonts w:cs="Arial"/>
                <w:szCs w:val="24"/>
                <w:lang w:val="en-US"/>
              </w:rPr>
              <w:t>(</w:t>
            </w:r>
            <w:r w:rsidR="00C47EB4">
              <w:rPr>
                <w:rFonts w:cs="Arial"/>
                <w:szCs w:val="24"/>
                <w:lang w:val="en-US"/>
              </w:rPr>
              <w:t>Cobalt carbonyl</w:t>
            </w:r>
            <w:r w:rsidR="00E53094">
              <w:rPr>
                <w:rFonts w:cs="Arial"/>
                <w:szCs w:val="24"/>
                <w:lang w:val="en-US"/>
              </w:rPr>
              <w:t>)</w:t>
            </w:r>
          </w:p>
          <w:p w14:paraId="1DD14B8D" w14:textId="1CE15A00" w:rsidR="00740652" w:rsidRPr="00740652" w:rsidRDefault="00397610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 w:rsidRPr="00397610">
              <w:rPr>
                <w:rFonts w:cs="Arial"/>
                <w:szCs w:val="24"/>
                <w:lang w:val="en-US"/>
              </w:rPr>
              <w:t>16842-03-8</w:t>
            </w:r>
            <w:r w:rsidR="00C47EB4">
              <w:rPr>
                <w:rFonts w:cs="Arial"/>
                <w:szCs w:val="24"/>
                <w:lang w:val="en-US"/>
              </w:rPr>
              <w:t xml:space="preserve"> </w:t>
            </w:r>
            <w:r w:rsidR="006C5630">
              <w:rPr>
                <w:rFonts w:cs="Arial"/>
                <w:szCs w:val="24"/>
                <w:lang w:val="en-US"/>
              </w:rPr>
              <w:t xml:space="preserve">          </w:t>
            </w:r>
            <w:r w:rsidR="00533295">
              <w:rPr>
                <w:rFonts w:cs="Arial"/>
                <w:szCs w:val="24"/>
                <w:lang w:val="en-US"/>
              </w:rPr>
              <w:t>(</w:t>
            </w:r>
            <w:r w:rsidR="00C47EB4">
              <w:rPr>
                <w:rFonts w:cs="Arial"/>
                <w:szCs w:val="24"/>
                <w:lang w:val="en-US"/>
              </w:rPr>
              <w:t xml:space="preserve">Cobalt </w:t>
            </w:r>
            <w:proofErr w:type="spellStart"/>
            <w:r w:rsidR="00C47EB4">
              <w:rPr>
                <w:rFonts w:cs="Arial"/>
                <w:szCs w:val="24"/>
                <w:lang w:val="en-US"/>
              </w:rPr>
              <w:t>hydrocarbonyl</w:t>
            </w:r>
            <w:proofErr w:type="spellEnd"/>
            <w:r w:rsidR="00533295">
              <w:rPr>
                <w:rFonts w:cs="Arial"/>
                <w:szCs w:val="24"/>
                <w:lang w:val="en-US"/>
              </w:rPr>
              <w:t>)</w:t>
            </w:r>
          </w:p>
        </w:tc>
      </w:tr>
      <w:tr w:rsidR="00F43AD5" w:rsidRPr="004C23F4" w14:paraId="454C85B5" w14:textId="77777777" w:rsidTr="00DF52C8">
        <w:trPr>
          <w:cantSplit/>
        </w:trPr>
        <w:tc>
          <w:tcPr>
            <w:tcW w:w="3967" w:type="dxa"/>
          </w:tcPr>
          <w:p w14:paraId="6345760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9" w:type="dxa"/>
          </w:tcPr>
          <w:p w14:paraId="7A0C7778" w14:textId="28AEC3EB" w:rsidR="00F43AD5" w:rsidRDefault="009419BC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  <w:szCs w:val="24"/>
                <w:lang w:val="en-US"/>
              </w:rPr>
              <w:t xml:space="preserve">Cobalt </w:t>
            </w:r>
            <w:r w:rsidR="00F13CE6">
              <w:rPr>
                <w:rFonts w:cs="Arial"/>
                <w:szCs w:val="24"/>
                <w:lang w:val="en-US"/>
              </w:rPr>
              <w:t>carbonyl: cobalt</w:t>
            </w:r>
            <w:r>
              <w:rPr>
                <w:rFonts w:cs="Arial"/>
                <w:szCs w:val="24"/>
                <w:lang w:val="en-US"/>
              </w:rPr>
              <w:t xml:space="preserve"> tetracarbonyl,</w:t>
            </w:r>
            <w:r w:rsidR="00736234" w:rsidRPr="00736234">
              <w:rPr>
                <w:rFonts w:cs="Arial"/>
                <w:szCs w:val="24"/>
                <w:lang w:val="en-US"/>
              </w:rPr>
              <w:t xml:space="preserve"> </w:t>
            </w:r>
            <w:proofErr w:type="spellStart"/>
            <w:r w:rsidR="00E07F1C">
              <w:rPr>
                <w:rFonts w:cs="Arial"/>
                <w:szCs w:val="24"/>
                <w:lang w:val="en-US"/>
              </w:rPr>
              <w:t>d</w:t>
            </w:r>
            <w:r w:rsidR="00736234" w:rsidRPr="00736234">
              <w:rPr>
                <w:rFonts w:cs="Arial"/>
                <w:szCs w:val="24"/>
                <w:lang w:val="en-US"/>
              </w:rPr>
              <w:t>icobalt</w:t>
            </w:r>
            <w:proofErr w:type="spellEnd"/>
            <w:r w:rsidR="00736234" w:rsidRPr="00736234">
              <w:rPr>
                <w:rFonts w:cs="Arial"/>
                <w:szCs w:val="24"/>
                <w:lang w:val="en-US"/>
              </w:rPr>
              <w:t xml:space="preserve"> </w:t>
            </w:r>
            <w:proofErr w:type="spellStart"/>
            <w:r w:rsidR="00736234" w:rsidRPr="00736234">
              <w:rPr>
                <w:rFonts w:cs="Arial"/>
                <w:szCs w:val="24"/>
                <w:lang w:val="en-US"/>
              </w:rPr>
              <w:t>octacarbonyl</w:t>
            </w:r>
            <w:proofErr w:type="spellEnd"/>
          </w:p>
          <w:p w14:paraId="7ACDD40A" w14:textId="1D40B37A" w:rsidR="00740652" w:rsidRPr="008B2474" w:rsidRDefault="009419BC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>
              <w:rPr>
                <w:rFonts w:cs="Arial"/>
                <w:szCs w:val="24"/>
                <w:lang w:val="en-US"/>
              </w:rPr>
              <w:t xml:space="preserve">Cobalt </w:t>
            </w:r>
            <w:proofErr w:type="spellStart"/>
            <w:r>
              <w:rPr>
                <w:rFonts w:cs="Arial"/>
                <w:szCs w:val="24"/>
                <w:lang w:val="en-US"/>
              </w:rPr>
              <w:t>hydrocarbonyl</w:t>
            </w:r>
            <w:proofErr w:type="spellEnd"/>
            <w:r w:rsidR="006C5630">
              <w:rPr>
                <w:rFonts w:cs="Arial"/>
                <w:szCs w:val="24"/>
                <w:lang w:val="en-US"/>
              </w:rPr>
              <w:t xml:space="preserve">: </w:t>
            </w:r>
            <w:r w:rsidR="00E07F1C">
              <w:rPr>
                <w:rFonts w:cs="Arial"/>
                <w:szCs w:val="24"/>
                <w:lang w:val="en-US"/>
              </w:rPr>
              <w:t>c</w:t>
            </w:r>
            <w:r w:rsidR="00824D84" w:rsidRPr="00824D84">
              <w:rPr>
                <w:rFonts w:cs="Arial"/>
                <w:szCs w:val="24"/>
                <w:lang w:val="en-US"/>
              </w:rPr>
              <w:t>obalt carbonyl hydride</w:t>
            </w:r>
            <w:r w:rsidR="00824D84">
              <w:rPr>
                <w:rFonts w:cs="Arial"/>
                <w:szCs w:val="24"/>
                <w:lang w:val="en-US"/>
              </w:rPr>
              <w:t>,</w:t>
            </w:r>
            <w:r w:rsidR="00824D84" w:rsidRPr="00824D84">
              <w:rPr>
                <w:rFonts w:cs="Arial"/>
                <w:szCs w:val="24"/>
                <w:lang w:val="en-US"/>
              </w:rPr>
              <w:t xml:space="preserve"> </w:t>
            </w:r>
            <w:proofErr w:type="spellStart"/>
            <w:r w:rsidR="00824D84" w:rsidRPr="00824D84">
              <w:rPr>
                <w:rFonts w:cs="Arial"/>
                <w:szCs w:val="24"/>
                <w:lang w:val="en-US"/>
              </w:rPr>
              <w:t>Tetracarbonylhydrocobalt</w:t>
            </w:r>
            <w:proofErr w:type="spellEnd"/>
          </w:p>
        </w:tc>
      </w:tr>
      <w:tr w:rsidR="00F43AD5" w:rsidRPr="004C23F4" w14:paraId="7B80D3D8" w14:textId="77777777" w:rsidTr="00DF52C8">
        <w:trPr>
          <w:cantSplit/>
        </w:trPr>
        <w:tc>
          <w:tcPr>
            <w:tcW w:w="3967" w:type="dxa"/>
          </w:tcPr>
          <w:p w14:paraId="23B2572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9" w:type="dxa"/>
          </w:tcPr>
          <w:p w14:paraId="7F5F2034" w14:textId="6945AA74" w:rsidR="00F43AD5" w:rsidRPr="00A05CA1" w:rsidRDefault="00A10528" w:rsidP="00B76A41">
            <w:pPr>
              <w:pStyle w:val="Tablefont"/>
            </w:pPr>
            <w:r w:rsidRPr="00A10528">
              <w:t>C</w:t>
            </w:r>
            <w:r w:rsidRPr="00A10528">
              <w:rPr>
                <w:vertAlign w:val="subscript"/>
              </w:rPr>
              <w:t>8</w:t>
            </w:r>
            <w:r w:rsidRPr="00A10528">
              <w:t>O</w:t>
            </w:r>
            <w:r w:rsidRPr="00A10528">
              <w:rPr>
                <w:vertAlign w:val="subscript"/>
              </w:rPr>
              <w:t>8</w:t>
            </w:r>
            <w:r w:rsidRPr="00A10528">
              <w:t>Co</w:t>
            </w:r>
            <w:r w:rsidRPr="00A10528">
              <w:rPr>
                <w:vertAlign w:val="subscript"/>
              </w:rPr>
              <w:t>2</w:t>
            </w:r>
            <w:r w:rsidR="00A05CA1">
              <w:t xml:space="preserve"> </w:t>
            </w:r>
            <w:r w:rsidR="006C5630">
              <w:t xml:space="preserve">             </w:t>
            </w:r>
            <w:r w:rsidR="00A05CA1">
              <w:rPr>
                <w:rFonts w:cs="Arial"/>
                <w:szCs w:val="24"/>
                <w:lang w:val="en-US"/>
              </w:rPr>
              <w:t>(Cobalt carbonyl)</w:t>
            </w:r>
          </w:p>
          <w:p w14:paraId="0BC7652B" w14:textId="5750C46B" w:rsidR="00740652" w:rsidRPr="00740652" w:rsidRDefault="00997D2A" w:rsidP="00B76A41">
            <w:pPr>
              <w:pStyle w:val="Tablefont"/>
              <w:rPr>
                <w:rFonts w:cs="Arial"/>
                <w:szCs w:val="24"/>
                <w:lang w:val="en-US"/>
              </w:rPr>
            </w:pPr>
            <w:r w:rsidRPr="00997D2A">
              <w:t>C</w:t>
            </w:r>
            <w:r w:rsidRPr="00074DE0">
              <w:rPr>
                <w:vertAlign w:val="subscript"/>
              </w:rPr>
              <w:t>4</w:t>
            </w:r>
            <w:r w:rsidRPr="00997D2A">
              <w:t>HCoO</w:t>
            </w:r>
            <w:r w:rsidRPr="00074DE0">
              <w:rPr>
                <w:vertAlign w:val="subscript"/>
              </w:rPr>
              <w:t>4</w:t>
            </w:r>
            <w:r>
              <w:t xml:space="preserve"> </w:t>
            </w:r>
            <w:r w:rsidR="006C5630">
              <w:t xml:space="preserve">            </w:t>
            </w:r>
            <w:r>
              <w:rPr>
                <w:rFonts w:cs="Arial"/>
                <w:szCs w:val="24"/>
                <w:lang w:val="en-US"/>
              </w:rPr>
              <w:t xml:space="preserve">(Cobalt </w:t>
            </w:r>
            <w:proofErr w:type="spellStart"/>
            <w:r>
              <w:rPr>
                <w:rFonts w:cs="Arial"/>
                <w:szCs w:val="24"/>
                <w:lang w:val="en-US"/>
              </w:rPr>
              <w:t>hydrocarbonyl</w:t>
            </w:r>
            <w:proofErr w:type="spellEnd"/>
            <w:r>
              <w:rPr>
                <w:rFonts w:cs="Arial"/>
                <w:szCs w:val="24"/>
                <w:lang w:val="en-US"/>
              </w:rPr>
              <w:t>)</w:t>
            </w:r>
          </w:p>
        </w:tc>
      </w:tr>
    </w:tbl>
    <w:p w14:paraId="2B6DEB0A" w14:textId="5A12E75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E7CE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F3D30C3" w14:textId="77777777" w:rsidTr="002A3A65">
        <w:trPr>
          <w:cantSplit/>
          <w:tblHeader/>
        </w:trPr>
        <w:tc>
          <w:tcPr>
            <w:tcW w:w="4010" w:type="dxa"/>
            <w:vAlign w:val="center"/>
          </w:tcPr>
          <w:p w14:paraId="32DEAEF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3EABC0E" w14:textId="1DE8A3D8" w:rsidR="002C7AFE" w:rsidRPr="00F83818" w:rsidRDefault="0080428E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</w:t>
            </w:r>
            <w:r w:rsidR="00F83818">
              <w:rPr>
                <w:b/>
              </w:rPr>
              <w:t xml:space="preserve"> mg/m</w:t>
            </w:r>
            <w:r w:rsidR="00F83818">
              <w:rPr>
                <w:b/>
                <w:vertAlign w:val="superscript"/>
              </w:rPr>
              <w:t>3</w:t>
            </w:r>
          </w:p>
        </w:tc>
      </w:tr>
      <w:tr w:rsidR="002A3A65" w:rsidRPr="004C23F4" w14:paraId="358B47C7" w14:textId="77777777" w:rsidTr="002A3A65">
        <w:trPr>
          <w:cantSplit/>
        </w:trPr>
        <w:tc>
          <w:tcPr>
            <w:tcW w:w="4010" w:type="dxa"/>
            <w:vAlign w:val="center"/>
          </w:tcPr>
          <w:p w14:paraId="69849436" w14:textId="77777777" w:rsidR="002A3A65" w:rsidRPr="002C58FF" w:rsidRDefault="002A3A65" w:rsidP="002A3A6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E36C0B3" w14:textId="77777777" w:rsidR="002A3A65" w:rsidRPr="00E07F1C" w:rsidRDefault="002A3A65" w:rsidP="006C5630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2A3A65" w:rsidRPr="004C23F4" w14:paraId="115EB792" w14:textId="77777777" w:rsidTr="002A3A65">
        <w:trPr>
          <w:cantSplit/>
        </w:trPr>
        <w:tc>
          <w:tcPr>
            <w:tcW w:w="4010" w:type="dxa"/>
            <w:vAlign w:val="center"/>
          </w:tcPr>
          <w:p w14:paraId="3B4D7256" w14:textId="77777777" w:rsidR="002A3A65" w:rsidRPr="002C58FF" w:rsidRDefault="002A3A65" w:rsidP="002A3A6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5282D4D" w14:textId="77777777" w:rsidR="002A3A65" w:rsidRPr="00E07F1C" w:rsidRDefault="002A3A65" w:rsidP="006C5630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2A3A65" w:rsidRPr="004C23F4" w14:paraId="291B7D8C" w14:textId="77777777" w:rsidTr="002A3A65">
        <w:trPr>
          <w:cantSplit/>
        </w:trPr>
        <w:tc>
          <w:tcPr>
            <w:tcW w:w="4010" w:type="dxa"/>
          </w:tcPr>
          <w:p w14:paraId="79B51249" w14:textId="77777777" w:rsidR="002A3A65" w:rsidRPr="002C58FF" w:rsidRDefault="002A3A65" w:rsidP="002A3A6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28B67D7" w14:textId="5B283092" w:rsidR="002A3A65" w:rsidRPr="00E07F1C" w:rsidRDefault="0080428E" w:rsidP="007E191F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7D1D1E" w:rsidRPr="004C23F4" w14:paraId="0B2C3DF4" w14:textId="77777777" w:rsidTr="002A3A65">
        <w:trPr>
          <w:cantSplit/>
        </w:trPr>
        <w:tc>
          <w:tcPr>
            <w:tcW w:w="4010" w:type="dxa"/>
            <w:vAlign w:val="center"/>
          </w:tcPr>
          <w:p w14:paraId="1EAC208E" w14:textId="77777777" w:rsidR="007D1D1E" w:rsidRPr="002C58FF" w:rsidRDefault="007D1D1E" w:rsidP="007D1D1E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C69A002" w14:textId="60FEB9FD" w:rsidR="007D1D1E" w:rsidRPr="00E07F1C" w:rsidRDefault="00A9256A" w:rsidP="006C5630">
            <w:pPr>
              <w:pStyle w:val="Tablerowheading"/>
            </w:pPr>
            <w:r w:rsidRPr="006C5630">
              <w:rPr>
                <w:b w:val="0"/>
              </w:rPr>
              <w:t>—</w:t>
            </w:r>
          </w:p>
        </w:tc>
      </w:tr>
      <w:tr w:rsidR="00F1148E" w:rsidRPr="004C23F4" w14:paraId="1F66DD1E" w14:textId="77777777" w:rsidTr="00C87BD9">
        <w:trPr>
          <w:cantSplit/>
        </w:trPr>
        <w:tc>
          <w:tcPr>
            <w:tcW w:w="9026" w:type="dxa"/>
            <w:gridSpan w:val="2"/>
            <w:vAlign w:val="center"/>
          </w:tcPr>
          <w:p w14:paraId="3D3E704C" w14:textId="6ED4F8C7" w:rsidR="00F1148E" w:rsidRPr="00EB3D1B" w:rsidRDefault="00F1148E" w:rsidP="00017C82">
            <w:pPr>
              <w:pStyle w:val="Tablefont"/>
              <w:rPr>
                <w:b/>
              </w:rPr>
            </w:pPr>
            <w:r w:rsidRPr="00DF52C8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44ACF4098DC4E24BC35E00DE363157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F52C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83D82A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AC9B700" w14:textId="29350793" w:rsidR="006639B4" w:rsidRDefault="0080428E" w:rsidP="000C139A">
      <w:r>
        <w:rPr>
          <w:rFonts w:cs="Arial"/>
        </w:rPr>
        <w:t>A TWA of 0.1</w:t>
      </w:r>
      <w:r w:rsidR="00767D96">
        <w:rPr>
          <w:rFonts w:cs="Arial"/>
        </w:rPr>
        <w:t xml:space="preserve"> mg/m</w:t>
      </w:r>
      <w:r w:rsidR="00767D96">
        <w:rPr>
          <w:rFonts w:cs="Arial"/>
          <w:vertAlign w:val="superscript"/>
        </w:rPr>
        <w:t>3</w:t>
      </w:r>
      <w:r w:rsidR="00767D96">
        <w:rPr>
          <w:rFonts w:cs="Arial"/>
        </w:rPr>
        <w:t xml:space="preserve"> is recommended to protect </w:t>
      </w:r>
      <w:r w:rsidR="00550E34">
        <w:rPr>
          <w:rFonts w:cs="Arial"/>
        </w:rPr>
        <w:t xml:space="preserve">for </w:t>
      </w:r>
      <w:r>
        <w:t>adverse pulmonary effects</w:t>
      </w:r>
      <w:r w:rsidR="00A9256A">
        <w:t xml:space="preserve"> and lung damage in exposed workers.</w:t>
      </w:r>
    </w:p>
    <w:p w14:paraId="40DD3420" w14:textId="77777777" w:rsidR="002E7CEC" w:rsidRDefault="002E7CEC" w:rsidP="002E7CEC">
      <w:pPr>
        <w:rPr>
          <w:rFonts w:cs="Arial"/>
        </w:rPr>
      </w:pPr>
      <w:r w:rsidRPr="002E7CEC">
        <w:t>Given the limited data available from the primary sources, it is recommended that a review of additional sources be conducted at the next scheduled review</w:t>
      </w:r>
      <w:r>
        <w:rPr>
          <w:rFonts w:cs="Arial"/>
        </w:rPr>
        <w:t>.</w:t>
      </w:r>
    </w:p>
    <w:p w14:paraId="277E6AA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9FF633B" w14:textId="77777777" w:rsidR="00550E34" w:rsidRDefault="00767D96" w:rsidP="006639B4">
      <w:r>
        <w:t>C</w:t>
      </w:r>
      <w:r w:rsidR="0080428E">
        <w:t xml:space="preserve">obalt carbonyl and cobalt </w:t>
      </w:r>
      <w:proofErr w:type="spellStart"/>
      <w:r w:rsidR="0080428E">
        <w:t>hydro</w:t>
      </w:r>
      <w:r>
        <w:t>carbonyl</w:t>
      </w:r>
      <w:proofErr w:type="spellEnd"/>
      <w:r>
        <w:t xml:space="preserve"> are </w:t>
      </w:r>
      <w:r w:rsidR="00CB0F4C">
        <w:t>used in industry as a catalyst for a variety of reactions.</w:t>
      </w:r>
      <w:r w:rsidR="00E07F1C">
        <w:t xml:space="preserve"> </w:t>
      </w:r>
    </w:p>
    <w:p w14:paraId="36D76FDC" w14:textId="0FCF3A8C" w:rsidR="00550E34" w:rsidRDefault="00767D96" w:rsidP="006639B4">
      <w:r>
        <w:t xml:space="preserve">No toxicological data in humans </w:t>
      </w:r>
      <w:r w:rsidR="00550E34">
        <w:t>a</w:t>
      </w:r>
      <w:r w:rsidR="005822F9">
        <w:t>re available and data in animals is limited</w:t>
      </w:r>
      <w:r w:rsidR="00A9256A">
        <w:t xml:space="preserve"> to acute exposures</w:t>
      </w:r>
      <w:r w:rsidR="005822F9">
        <w:t xml:space="preserve">. </w:t>
      </w:r>
      <w:r w:rsidR="0080428E">
        <w:t xml:space="preserve">Acute exposure </w:t>
      </w:r>
      <w:r w:rsidR="004C2083">
        <w:t xml:space="preserve">of </w:t>
      </w:r>
      <w:r w:rsidR="0080428E">
        <w:t xml:space="preserve">rats to both compounds, in separate </w:t>
      </w:r>
      <w:r w:rsidR="00A9256A">
        <w:t>scenarios, resulted</w:t>
      </w:r>
      <w:r w:rsidR="0080428E">
        <w:t xml:space="preserve"> in adverse pulmonary effects pulmonary oedema and </w:t>
      </w:r>
      <w:r w:rsidR="00A9256A">
        <w:t>lung damage</w:t>
      </w:r>
      <w:r w:rsidR="003F3099">
        <w:t xml:space="preserve">. </w:t>
      </w:r>
      <w:r w:rsidR="00A9256A">
        <w:t xml:space="preserve">Unspecified damage to the spleen and adrenals </w:t>
      </w:r>
      <w:r w:rsidR="004C2083">
        <w:t xml:space="preserve">is </w:t>
      </w:r>
      <w:r w:rsidR="00550E34">
        <w:t>repor</w:t>
      </w:r>
      <w:r w:rsidR="00A9256A">
        <w:t>ted in ra</w:t>
      </w:r>
      <w:r w:rsidR="00A60813">
        <w:t xml:space="preserve">ts exposed to cobalt carbonyl. </w:t>
      </w:r>
      <w:r w:rsidR="005822F9">
        <w:t xml:space="preserve">Toxicity </w:t>
      </w:r>
      <w:r w:rsidR="00550E34">
        <w:t xml:space="preserve">of these compounds </w:t>
      </w:r>
      <w:r w:rsidR="005822F9">
        <w:t xml:space="preserve">is </w:t>
      </w:r>
      <w:r w:rsidR="00A9256A">
        <w:t>possibly</w:t>
      </w:r>
      <w:r w:rsidR="005822F9">
        <w:t xml:space="preserve"> due to inorganic cobalt</w:t>
      </w:r>
      <w:r w:rsidR="00A9256A">
        <w:t>.</w:t>
      </w:r>
      <w:r w:rsidR="005822F9">
        <w:t xml:space="preserve"> </w:t>
      </w:r>
    </w:p>
    <w:p w14:paraId="2E092804" w14:textId="645C4C95" w:rsidR="00A9256A" w:rsidRDefault="00A9256A" w:rsidP="006639B4">
      <w:r>
        <w:t xml:space="preserve">The </w:t>
      </w:r>
      <w:r w:rsidR="004C2083">
        <w:t xml:space="preserve">current </w:t>
      </w:r>
      <w:r>
        <w:t xml:space="preserve">TWA for both cobalt carbonyl and cobalt </w:t>
      </w:r>
      <w:proofErr w:type="spellStart"/>
      <w:r>
        <w:t>hydrocarbonyl</w:t>
      </w:r>
      <w:proofErr w:type="spellEnd"/>
      <w:r>
        <w:t xml:space="preserve"> are the same concent</w:t>
      </w:r>
      <w:r w:rsidR="00AD5877">
        <w:t>ration based on similar effects identified in acute studies in rats</w:t>
      </w:r>
      <w:r>
        <w:t xml:space="preserve"> </w:t>
      </w:r>
      <w:r w:rsidR="005822F9">
        <w:t>(ACGIH, 2018).</w:t>
      </w:r>
      <w:r>
        <w:t xml:space="preserve"> </w:t>
      </w:r>
      <w:r w:rsidR="004C2083">
        <w:t xml:space="preserve">In the absence of additional data, it is </w:t>
      </w:r>
      <w:r w:rsidR="00550E34">
        <w:t xml:space="preserve">recommended </w:t>
      </w:r>
      <w:r w:rsidR="004C2083">
        <w:t>that the current TWA of 0.1 mg/m</w:t>
      </w:r>
      <w:r w:rsidR="004C2083">
        <w:rPr>
          <w:vertAlign w:val="superscript"/>
        </w:rPr>
        <w:t>3</w:t>
      </w:r>
      <w:r w:rsidR="004C2083">
        <w:t xml:space="preserve"> for cobalt carbonyl and cobal</w:t>
      </w:r>
      <w:r w:rsidR="00550E34">
        <w:t>t</w:t>
      </w:r>
      <w:r w:rsidR="004C2083">
        <w:t xml:space="preserve"> </w:t>
      </w:r>
      <w:proofErr w:type="spellStart"/>
      <w:r w:rsidR="004C2083">
        <w:t>hydrocarbonyl</w:t>
      </w:r>
      <w:proofErr w:type="spellEnd"/>
      <w:r w:rsidR="004C2083">
        <w:t xml:space="preserve"> </w:t>
      </w:r>
      <w:r w:rsidR="002E7CEC">
        <w:t>be retained pending a review of additional sources at the next scheduled review.</w:t>
      </w:r>
    </w:p>
    <w:p w14:paraId="7621029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B6DDA95" w14:textId="5C1649C6" w:rsidR="004A7CC2" w:rsidRPr="00404810" w:rsidRDefault="00F1148E" w:rsidP="004A7CC2">
      <w:pPr>
        <w:rPr>
          <w:rFonts w:cs="Arial"/>
        </w:rPr>
      </w:pPr>
      <w:r>
        <w:t>Not</w:t>
      </w:r>
      <w:r w:rsidR="00404810" w:rsidRPr="00404810">
        <w:t xml:space="preserve"> </w:t>
      </w:r>
      <w:r>
        <w:rPr>
          <w:rFonts w:cs="Arial"/>
        </w:rPr>
        <w:t>classified as a carcinogen</w:t>
      </w:r>
      <w:r w:rsidR="00404810" w:rsidRPr="00404810">
        <w:rPr>
          <w:rFonts w:cs="Arial"/>
        </w:rPr>
        <w:t xml:space="preserve"> </w:t>
      </w:r>
      <w:r w:rsidR="00561EEF" w:rsidRPr="00404810">
        <w:rPr>
          <w:rFonts w:cs="Arial"/>
        </w:rPr>
        <w:t>according to the Globally Harmonized System of</w:t>
      </w:r>
      <w:r w:rsidR="002C50DB">
        <w:rPr>
          <w:rFonts w:cs="Arial"/>
        </w:rPr>
        <w:t xml:space="preserve"> Classification and Labelling of</w:t>
      </w:r>
      <w:r w:rsidR="00561EEF" w:rsidRPr="00404810">
        <w:rPr>
          <w:rFonts w:cs="Arial"/>
        </w:rPr>
        <w:t xml:space="preserve"> Chemicals (G</w:t>
      </w:r>
      <w:r w:rsidR="00561EEF">
        <w:rPr>
          <w:rFonts w:cs="Arial"/>
        </w:rPr>
        <w:t>HS)</w:t>
      </w:r>
      <w:r w:rsidR="00404810" w:rsidRPr="00404810">
        <w:rPr>
          <w:rFonts w:cs="Arial"/>
        </w:rPr>
        <w:t>.</w:t>
      </w:r>
    </w:p>
    <w:p w14:paraId="45884D62" w14:textId="345C7EB9" w:rsidR="00404810" w:rsidRPr="00B36952" w:rsidRDefault="00F1148E" w:rsidP="004A7CC2">
      <w:pPr>
        <w:rPr>
          <w:rFonts w:cs="Arial"/>
        </w:rPr>
      </w:pPr>
      <w:r>
        <w:lastRenderedPageBreak/>
        <w:t>N</w:t>
      </w:r>
      <w:r w:rsidR="00404810" w:rsidRPr="00404810">
        <w:t xml:space="preserve">ot </w:t>
      </w:r>
      <w:r w:rsidR="00404810" w:rsidRPr="00404810">
        <w:rPr>
          <w:rFonts w:cs="Arial"/>
        </w:rPr>
        <w:t>classified as a skin</w:t>
      </w:r>
      <w:r w:rsidR="00C137CE">
        <w:rPr>
          <w:rFonts w:cs="Arial"/>
        </w:rPr>
        <w:t xml:space="preserve"> </w:t>
      </w:r>
      <w:r w:rsidR="00C137CE" w:rsidRPr="00404810">
        <w:rPr>
          <w:rFonts w:cs="Arial"/>
        </w:rPr>
        <w:t>sensitiser</w:t>
      </w:r>
      <w:r w:rsidR="00404810" w:rsidRPr="00404810">
        <w:rPr>
          <w:rFonts w:cs="Arial"/>
        </w:rPr>
        <w:t xml:space="preserve"> or respiratory sensitiser according to the GHS.</w:t>
      </w:r>
    </w:p>
    <w:p w14:paraId="4E430081" w14:textId="3A0A61A7" w:rsidR="004529F0" w:rsidRPr="004C23F4" w:rsidRDefault="00C137CE" w:rsidP="004A7CC2">
      <w:pPr>
        <w:rPr>
          <w:rFonts w:cs="Arial"/>
        </w:rPr>
      </w:pPr>
      <w:r>
        <w:rPr>
          <w:rFonts w:cs="Arial"/>
        </w:rPr>
        <w:t>There are insufficient data to</w:t>
      </w:r>
      <w:r w:rsidR="004A7CC2" w:rsidRPr="00B36952">
        <w:rPr>
          <w:rFonts w:cs="Arial"/>
        </w:rPr>
        <w:t xml:space="preserve"> recommend a skin notation.</w:t>
      </w:r>
    </w:p>
    <w:p w14:paraId="288C26F1" w14:textId="74482F0C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3BEAA1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4910E1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4072CB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D5CC3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A7F00A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4C7706" w14:textId="08FB67A2" w:rsidR="00DE26E8" w:rsidRPr="003365A5" w:rsidRDefault="00DE26E8" w:rsidP="0004364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B09C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B09CB">
                  <w:t>TWA: 0.1 mg/m</w:t>
                </w:r>
                <w:r w:rsidR="00CB09CB" w:rsidRPr="00CB09CB">
                  <w:rPr>
                    <w:vertAlign w:val="superscript"/>
                  </w:rPr>
                  <w:t>3</w:t>
                </w:r>
                <w:r w:rsidR="00043648">
                  <w:t>(</w:t>
                </w:r>
                <w:r w:rsidR="00043648">
                  <w:rPr>
                    <w:rFonts w:cs="Arial"/>
                    <w:szCs w:val="24"/>
                    <w:lang w:val="en-US"/>
                  </w:rPr>
                  <w:t>Cobalt carbonyl)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  <w:r w:rsidR="00550E34">
                  <w:rPr>
                    <w:rFonts w:cs="Arial"/>
                    <w:szCs w:val="24"/>
                    <w:lang w:val="en-US"/>
                  </w:rPr>
                  <w:br/>
                </w:r>
                <w:r w:rsidR="00043648">
                  <w:rPr>
                    <w:rFonts w:cs="Arial"/>
                    <w:szCs w:val="24"/>
                    <w:lang w:val="en-US"/>
                  </w:rPr>
                  <w:t xml:space="preserve">TWA: </w:t>
                </w:r>
                <w:r w:rsidR="00043648">
                  <w:t>0.1 mg/m</w:t>
                </w:r>
                <w:r w:rsidR="00043648" w:rsidRPr="00CB09CB">
                  <w:rPr>
                    <w:vertAlign w:val="superscript"/>
                  </w:rPr>
                  <w:t>3</w:t>
                </w:r>
                <w:r w:rsidR="00043648">
                  <w:rPr>
                    <w:vertAlign w:val="superscript"/>
                  </w:rPr>
                  <w:t xml:space="preserve"> </w:t>
                </w:r>
                <w:r w:rsidR="00043648">
                  <w:rPr>
                    <w:rFonts w:cs="Arial"/>
                    <w:szCs w:val="24"/>
                    <w:lang w:val="en-US"/>
                  </w:rPr>
                  <w:t xml:space="preserve">(Cobalt </w:t>
                </w:r>
                <w:proofErr w:type="spellStart"/>
                <w:r w:rsidR="00043648">
                  <w:rPr>
                    <w:rFonts w:cs="Arial"/>
                    <w:szCs w:val="24"/>
                    <w:lang w:val="en-US"/>
                  </w:rPr>
                  <w:t>hydrocarbonyl</w:t>
                </w:r>
                <w:proofErr w:type="spellEnd"/>
                <w:r w:rsidR="00043648">
                  <w:rPr>
                    <w:rFonts w:cs="Arial"/>
                    <w:szCs w:val="24"/>
                    <w:lang w:val="en-US"/>
                  </w:rPr>
                  <w:t>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</w:sdtContent>
            </w:sdt>
          </w:p>
        </w:tc>
      </w:tr>
      <w:tr w:rsidR="00C978F0" w:rsidRPr="00DA352E" w14:paraId="23365A9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4856C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53D59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3E89E7" w14:textId="24BB93E3" w:rsidR="00C978F0" w:rsidRPr="00DA352E" w:rsidRDefault="00DA352E" w:rsidP="008F143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6752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F1435">
                  <w:t>TLV-TWA: 0.1 mg/m</w:t>
                </w:r>
                <w:r w:rsidR="008F1435" w:rsidRPr="00CB09CB">
                  <w:rPr>
                    <w:vertAlign w:val="superscript"/>
                  </w:rPr>
                  <w:t>3</w:t>
                </w:r>
                <w:r w:rsidR="00C8539B">
                  <w:t>,</w:t>
                </w:r>
                <w:r w:rsidR="00CC32EA">
                  <w:t xml:space="preserve"> </w:t>
                </w:r>
                <w:r w:rsidR="00C8539B" w:rsidRPr="00C8539B">
                  <w:t>as Co</w:t>
                </w:r>
                <w:r w:rsidR="00C8539B">
                  <w:rPr>
                    <w:vertAlign w:val="superscript"/>
                  </w:rPr>
                  <w:t xml:space="preserve"> </w:t>
                </w:r>
                <w:r w:rsidR="008F1435">
                  <w:t>(</w:t>
                </w:r>
                <w:r w:rsidR="008F1435">
                  <w:rPr>
                    <w:rFonts w:cs="Arial"/>
                    <w:szCs w:val="24"/>
                    <w:lang w:val="en-US"/>
                  </w:rPr>
                  <w:t>Cobalt carbonyl)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  <w:r w:rsidR="00550E34">
                  <w:rPr>
                    <w:rFonts w:cs="Arial"/>
                    <w:szCs w:val="24"/>
                    <w:lang w:val="en-US"/>
                  </w:rPr>
                  <w:br/>
                </w:r>
                <w:r w:rsidR="008164D5">
                  <w:rPr>
                    <w:rFonts w:cs="Arial"/>
                    <w:szCs w:val="24"/>
                    <w:lang w:val="en-US"/>
                  </w:rPr>
                  <w:t>TLV-</w:t>
                </w:r>
                <w:r w:rsidR="008F1435">
                  <w:rPr>
                    <w:rFonts w:cs="Arial"/>
                    <w:szCs w:val="24"/>
                    <w:lang w:val="en-US"/>
                  </w:rPr>
                  <w:t xml:space="preserve">TWA: </w:t>
                </w:r>
                <w:r w:rsidR="008F1435">
                  <w:t>0.1 mg/m</w:t>
                </w:r>
                <w:r w:rsidR="008F1435" w:rsidRPr="00CB09CB">
                  <w:rPr>
                    <w:vertAlign w:val="superscript"/>
                  </w:rPr>
                  <w:t>3</w:t>
                </w:r>
                <w:r w:rsidR="000B4F0A">
                  <w:rPr>
                    <w:rFonts w:cs="Arial"/>
                    <w:szCs w:val="24"/>
                    <w:lang w:val="en-US"/>
                  </w:rPr>
                  <w:t>, as Co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  <w:r w:rsidR="008F1435">
                  <w:rPr>
                    <w:rFonts w:cs="Arial"/>
                    <w:szCs w:val="24"/>
                    <w:lang w:val="en-US"/>
                  </w:rPr>
                  <w:t xml:space="preserve">(Cobalt </w:t>
                </w:r>
                <w:proofErr w:type="spellStart"/>
                <w:r w:rsidR="008F1435">
                  <w:rPr>
                    <w:rFonts w:cs="Arial"/>
                    <w:szCs w:val="24"/>
                    <w:lang w:val="en-US"/>
                  </w:rPr>
                  <w:t>hydrocarbonyl</w:t>
                </w:r>
                <w:proofErr w:type="spellEnd"/>
                <w:r w:rsidR="000B4F0A">
                  <w:rPr>
                    <w:rFonts w:cs="Arial"/>
                    <w:szCs w:val="24"/>
                    <w:lang w:val="en-US"/>
                  </w:rPr>
                  <w:t>)</w:t>
                </w:r>
                <w:r w:rsidR="00E07F1C">
                  <w:rPr>
                    <w:rFonts w:cs="Arial"/>
                    <w:szCs w:val="24"/>
                    <w:lang w:val="en-US"/>
                  </w:rPr>
                  <w:t xml:space="preserve"> </w:t>
                </w:r>
              </w:sdtContent>
            </w:sdt>
          </w:p>
        </w:tc>
      </w:tr>
      <w:tr w:rsidR="00C978F0" w:rsidRPr="00DA352E" w14:paraId="53EF8B02" w14:textId="77777777" w:rsidTr="007E191F">
        <w:trPr>
          <w:gridAfter w:val="1"/>
          <w:wAfter w:w="8" w:type="pct"/>
        </w:trPr>
        <w:tc>
          <w:tcPr>
            <w:tcW w:w="0" w:type="pct"/>
          </w:tcPr>
          <w:p w14:paraId="0D9D9EC5" w14:textId="77777777" w:rsidR="003A723A" w:rsidRPr="00417FE3" w:rsidRDefault="003A723A" w:rsidP="003A723A">
            <w:pPr>
              <w:pStyle w:val="Tabletextprimarysource"/>
              <w:rPr>
                <w:b/>
              </w:rPr>
            </w:pPr>
            <w:r w:rsidRPr="00417FE3">
              <w:rPr>
                <w:b/>
              </w:rPr>
              <w:t>Cobalt carbonyl (10210-68-1)</w:t>
            </w:r>
          </w:p>
          <w:p w14:paraId="72E0A70F" w14:textId="76D299FC" w:rsidR="00C978F0" w:rsidRDefault="00D06F33" w:rsidP="00CB0F4C">
            <w:pPr>
              <w:pStyle w:val="Tabletextprimarysource"/>
            </w:pPr>
            <w:r>
              <w:t xml:space="preserve">TWA-TLA recommended to </w:t>
            </w:r>
            <w:r w:rsidR="00CB0F4C">
              <w:t>minimise the potential for adverse pulmonary effects, including pulmonary oedema, reported in rodents.</w:t>
            </w:r>
          </w:p>
          <w:p w14:paraId="2F75CCD5" w14:textId="77777777" w:rsidR="00CB0F4C" w:rsidRDefault="00CB0F4C" w:rsidP="00CB0F4C">
            <w:pPr>
              <w:pStyle w:val="Tabletextprimarysource"/>
            </w:pPr>
            <w:r>
              <w:t>Summary of data:</w:t>
            </w:r>
          </w:p>
          <w:p w14:paraId="0BCA5463" w14:textId="5EACCCAA" w:rsidR="00CB0F4C" w:rsidRDefault="00CB0F4C" w:rsidP="00CB0F4C">
            <w:pPr>
              <w:pStyle w:val="Tabletextprimarysource"/>
            </w:pPr>
            <w:r>
              <w:t>No human data presented</w:t>
            </w:r>
            <w:r w:rsidR="00E07F1C">
              <w:t>.</w:t>
            </w:r>
          </w:p>
          <w:p w14:paraId="6C14020D" w14:textId="77777777" w:rsidR="00CB0F4C" w:rsidRDefault="00CB0F4C" w:rsidP="00CB0F4C">
            <w:pPr>
              <w:pStyle w:val="Tabletextprimarysource"/>
            </w:pPr>
            <w:r>
              <w:t>Animal data:</w:t>
            </w:r>
          </w:p>
          <w:p w14:paraId="569F8D61" w14:textId="7592328F" w:rsidR="00CB0F4C" w:rsidRDefault="00CB0F4C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7E191F">
              <w:t xml:space="preserve">: </w:t>
            </w:r>
            <w:r>
              <w:t>27 mg/m</w:t>
            </w:r>
            <w:r>
              <w:rPr>
                <w:vertAlign w:val="superscript"/>
              </w:rPr>
              <w:t>3</w:t>
            </w:r>
            <w:r w:rsidR="00404810">
              <w:t xml:space="preserve"> </w:t>
            </w:r>
            <w:r w:rsidR="007E191F">
              <w:t>(</w:t>
            </w:r>
            <w:r>
              <w:t>mice</w:t>
            </w:r>
            <w:r w:rsidR="007E191F">
              <w:t>, 2 h)</w:t>
            </w:r>
          </w:p>
          <w:p w14:paraId="5C35B2D6" w14:textId="5FCDE800" w:rsidR="00C137CE" w:rsidRDefault="00550E34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>2/</w:t>
            </w:r>
            <w:r w:rsidR="00585115">
              <w:t>6 rats died following</w:t>
            </w:r>
            <w:r>
              <w:t xml:space="preserve"> exposure at</w:t>
            </w:r>
            <w:r w:rsidR="00585115">
              <w:t xml:space="preserve"> 37.8 mg/m</w:t>
            </w:r>
            <w:r w:rsidR="00585115">
              <w:rPr>
                <w:vertAlign w:val="superscript"/>
              </w:rPr>
              <w:t>3</w:t>
            </w:r>
            <w:r w:rsidR="00C137CE">
              <w:t xml:space="preserve"> for 2 h</w:t>
            </w:r>
          </w:p>
          <w:p w14:paraId="00618635" w14:textId="788475DD" w:rsidR="00C137CE" w:rsidRDefault="00C137CE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>R</w:t>
            </w:r>
            <w:r w:rsidR="00550E34">
              <w:t>ats exposed at</w:t>
            </w:r>
            <w:r w:rsidR="00585115">
              <w:t xml:space="preserve"> 12.8 mg/m</w:t>
            </w:r>
            <w:r w:rsidR="00585115">
              <w:rPr>
                <w:vertAlign w:val="superscript"/>
              </w:rPr>
              <w:t>3</w:t>
            </w:r>
            <w:r w:rsidR="00585115">
              <w:t xml:space="preserve"> displayed hyperaemia of the pulmonary vessels and an emphysematous distention of the area around the alveoli</w:t>
            </w:r>
          </w:p>
          <w:p w14:paraId="29F01795" w14:textId="766483F1" w:rsidR="004C2083" w:rsidRDefault="00550E34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>2/</w:t>
            </w:r>
            <w:r w:rsidR="00C137CE">
              <w:t>6</w:t>
            </w:r>
            <w:r>
              <w:t xml:space="preserve"> rats died following exposure at</w:t>
            </w:r>
            <w:r w:rsidR="00C137CE">
              <w:t xml:space="preserve"> 14.4 mg/m</w:t>
            </w:r>
            <w:r w:rsidR="00C137CE">
              <w:rPr>
                <w:vertAlign w:val="superscript"/>
              </w:rPr>
              <w:t>3</w:t>
            </w:r>
            <w:r w:rsidR="00C137CE">
              <w:t xml:space="preserve"> Co (83.6 mg cobalt carbonyl); </w:t>
            </w:r>
          </w:p>
          <w:p w14:paraId="4194B5B3" w14:textId="4856725D" w:rsidR="005822F9" w:rsidRDefault="005822F9" w:rsidP="00550E34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pathological examination of exposed </w:t>
            </w:r>
            <w:r w:rsidR="004C2083">
              <w:t>animals showed pulmonary oedema</w:t>
            </w:r>
            <w:r>
              <w:t xml:space="preserve"> disturba</w:t>
            </w:r>
            <w:r w:rsidR="004C2083">
              <w:t>nces in blood flow to the liver</w:t>
            </w:r>
            <w:r>
              <w:t xml:space="preserve"> and damage to the spleen and adrenals</w:t>
            </w:r>
          </w:p>
          <w:p w14:paraId="07EAE7BB" w14:textId="57107958" w:rsidR="00585115" w:rsidRDefault="00585115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>Oral LD</w:t>
            </w:r>
            <w:r>
              <w:rPr>
                <w:vertAlign w:val="subscript"/>
              </w:rPr>
              <w:t>50</w:t>
            </w:r>
            <w:r w:rsidR="00404810">
              <w:t>:</w:t>
            </w:r>
            <w:r w:rsidR="00AD5877">
              <w:t xml:space="preserve"> 754</w:t>
            </w:r>
            <w:r>
              <w:t xml:space="preserve"> mg/kg in rats, 378 mg/kg in mice</w:t>
            </w:r>
          </w:p>
          <w:p w14:paraId="037A4940" w14:textId="0F8DC189" w:rsidR="003A723A" w:rsidRDefault="003A723A" w:rsidP="00550E34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Possible carcinogenic effects from </w:t>
            </w:r>
            <w:r w:rsidR="00550E34">
              <w:t>Co</w:t>
            </w:r>
            <w:r w:rsidR="002C50DB">
              <w:t>.</w:t>
            </w:r>
          </w:p>
          <w:p w14:paraId="0558BF8C" w14:textId="2E23CE39" w:rsidR="00CB0F4C" w:rsidRDefault="00D27747" w:rsidP="00D27747">
            <w:r>
              <w:t>Insufficient data to recommend a skin, sensitiser or carcinogen notation</w:t>
            </w:r>
            <w:r w:rsidR="00E07F1C">
              <w:t>.</w:t>
            </w:r>
          </w:p>
          <w:p w14:paraId="7C367FB1" w14:textId="77777777" w:rsidR="00DF52C8" w:rsidRDefault="00DF52C8" w:rsidP="00D27747">
            <w:pPr>
              <w:rPr>
                <w:b/>
              </w:rPr>
            </w:pPr>
          </w:p>
          <w:p w14:paraId="38B9002D" w14:textId="38C86E26" w:rsidR="00417FE3" w:rsidRDefault="00417FE3" w:rsidP="00D27747">
            <w:pPr>
              <w:rPr>
                <w:b/>
              </w:rPr>
            </w:pPr>
            <w:r w:rsidRPr="00417FE3">
              <w:rPr>
                <w:b/>
              </w:rPr>
              <w:t xml:space="preserve">Cobalt </w:t>
            </w:r>
            <w:proofErr w:type="spellStart"/>
            <w:r w:rsidRPr="00417FE3">
              <w:rPr>
                <w:b/>
              </w:rPr>
              <w:t>hydrocarbonyl</w:t>
            </w:r>
            <w:proofErr w:type="spellEnd"/>
            <w:r w:rsidRPr="00417FE3">
              <w:rPr>
                <w:b/>
              </w:rPr>
              <w:t xml:space="preserve"> (16842-03-8)</w:t>
            </w:r>
          </w:p>
          <w:p w14:paraId="2C489F88" w14:textId="534804D1" w:rsidR="003A723A" w:rsidRDefault="003A723A" w:rsidP="003A723A">
            <w:pPr>
              <w:pStyle w:val="Tabletextprimarysource"/>
            </w:pPr>
            <w:r>
              <w:t>TWA-TLA recommended to minimise the potential for adverse pulmonary effects, including pulmonary oedema, reported in rodents.</w:t>
            </w:r>
          </w:p>
          <w:p w14:paraId="791CEE6F" w14:textId="2EAB2F4F" w:rsidR="00417FE3" w:rsidRDefault="00417FE3" w:rsidP="00D27747">
            <w:r>
              <w:t xml:space="preserve">Cobalt </w:t>
            </w:r>
            <w:proofErr w:type="spellStart"/>
            <w:r>
              <w:t>hydrocarbonyl</w:t>
            </w:r>
            <w:proofErr w:type="spellEnd"/>
            <w:r>
              <w:t xml:space="preserve"> used as a catalyst in organic reactions</w:t>
            </w:r>
            <w:r w:rsidR="00E07F1C">
              <w:t>.</w:t>
            </w:r>
          </w:p>
          <w:p w14:paraId="65F403D8" w14:textId="7842B1ED" w:rsidR="00417FE3" w:rsidRDefault="00417FE3" w:rsidP="00417FE3">
            <w:pPr>
              <w:pStyle w:val="Tabletextprimarysource"/>
            </w:pPr>
            <w:r>
              <w:t>No human data presented</w:t>
            </w:r>
            <w:r w:rsidR="00E07F1C">
              <w:t>.</w:t>
            </w:r>
          </w:p>
          <w:p w14:paraId="5D44687B" w14:textId="77777777" w:rsidR="00417FE3" w:rsidRDefault="00417FE3" w:rsidP="00417FE3">
            <w:pPr>
              <w:pStyle w:val="Tabletextprimarysource"/>
            </w:pPr>
            <w:r>
              <w:t>Animal data:</w:t>
            </w:r>
          </w:p>
          <w:p w14:paraId="24692FEB" w14:textId="77777777" w:rsidR="003A723A" w:rsidRDefault="003A723A" w:rsidP="00550E3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Rapidly decomposes in air from the gaseous state to a solid particulate</w:t>
            </w:r>
          </w:p>
          <w:p w14:paraId="72602029" w14:textId="75E55A3E" w:rsidR="00417FE3" w:rsidRDefault="00417FE3" w:rsidP="00550E3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Toxicity observed not from the </w:t>
            </w:r>
            <w:proofErr w:type="spellStart"/>
            <w:r>
              <w:t>hydrocarbonyl</w:t>
            </w:r>
            <w:proofErr w:type="spellEnd"/>
            <w:r>
              <w:t xml:space="preserve"> but </w:t>
            </w:r>
            <w:r w:rsidR="00F1148E">
              <w:t>likely</w:t>
            </w:r>
            <w:r>
              <w:t xml:space="preserve"> the inorganic </w:t>
            </w:r>
            <w:r w:rsidR="00550E34">
              <w:t>Co</w:t>
            </w:r>
          </w:p>
          <w:p w14:paraId="6CBEC445" w14:textId="6E03080F" w:rsidR="00417FE3" w:rsidRDefault="00417FE3" w:rsidP="00550E3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7E191F">
              <w:t>:</w:t>
            </w:r>
            <w:r>
              <w:t xml:space="preserve"> </w:t>
            </w:r>
            <w:r w:rsidR="007E191F">
              <w:t>165 mg/m</w:t>
            </w:r>
            <w:r w:rsidR="007E191F">
              <w:rPr>
                <w:vertAlign w:val="superscript"/>
              </w:rPr>
              <w:t>3</w:t>
            </w:r>
            <w:r w:rsidR="007E191F">
              <w:t xml:space="preserve"> (</w:t>
            </w:r>
            <w:r>
              <w:t>rats</w:t>
            </w:r>
            <w:r w:rsidR="007E191F">
              <w:t>,</w:t>
            </w:r>
            <w:r>
              <w:t xml:space="preserve"> </w:t>
            </w:r>
            <w:r w:rsidR="007E191F">
              <w:t xml:space="preserve">30 min) </w:t>
            </w:r>
            <w:r>
              <w:t xml:space="preserve">as </w:t>
            </w:r>
            <w:r w:rsidR="007E191F">
              <w:t>Co</w:t>
            </w:r>
            <w:r w:rsidR="0080428E">
              <w:t>; pulmonary oedema and gross lung damage (congestion, haemorrhage, consolidation of lung areas</w:t>
            </w:r>
            <w:r w:rsidR="00550E34">
              <w:t>)</w:t>
            </w:r>
            <w:r w:rsidR="002C50DB">
              <w:t>.</w:t>
            </w:r>
          </w:p>
          <w:p w14:paraId="2627E2E6" w14:textId="77777777" w:rsidR="00DF52C8" w:rsidRDefault="00DF52C8" w:rsidP="00561EEF"/>
          <w:p w14:paraId="65B7A055" w14:textId="617A269B" w:rsidR="008F7C83" w:rsidRDefault="003A723A" w:rsidP="00561EEF">
            <w:r>
              <w:t>Insufficient data to recommend a skin, sensitiser or carcinogen notation</w:t>
            </w:r>
            <w:r w:rsidR="00E07F1C">
              <w:t>.</w:t>
            </w:r>
          </w:p>
          <w:p w14:paraId="3C52EA33" w14:textId="14F71399" w:rsidR="004C2083" w:rsidRPr="003A723A" w:rsidRDefault="004C2083" w:rsidP="00561EEF"/>
        </w:tc>
      </w:tr>
      <w:tr w:rsidR="00C978F0" w:rsidRPr="00DA352E" w14:paraId="5948F17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B4AC76" w14:textId="3017B60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r w:rsidR="00561EEF">
              <w:t>NA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684A77">
                  <w:t>NA</w:t>
                </w:r>
                <w:proofErr w:type="spellEnd"/>
              </w:sdtContent>
            </w:sdt>
          </w:p>
        </w:tc>
      </w:tr>
      <w:tr w:rsidR="00C978F0" w:rsidRPr="00DA352E" w14:paraId="2A6FD2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99C037" w14:textId="24F3A10B" w:rsidR="00A169E4" w:rsidRPr="008C0718" w:rsidRDefault="00561EEF" w:rsidP="00561EEF">
            <w:pPr>
              <w:pStyle w:val="Tabletextprimarysource"/>
            </w:pPr>
            <w:r>
              <w:t>No report</w:t>
            </w:r>
            <w:r w:rsidR="00F1148E">
              <w:t>.</w:t>
            </w:r>
          </w:p>
        </w:tc>
      </w:tr>
      <w:tr w:rsidR="00C978F0" w:rsidRPr="00DA352E" w14:paraId="6B81BDF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F9AD8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06E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06EAB">
                  <w:t>NA</w:t>
                </w:r>
                <w:proofErr w:type="spellEnd"/>
              </w:sdtContent>
            </w:sdt>
          </w:p>
        </w:tc>
      </w:tr>
      <w:tr w:rsidR="00C978F0" w:rsidRPr="00DA352E" w14:paraId="234178F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61D551" w14:textId="71CA96DE" w:rsidR="00C978F0" w:rsidRPr="00DA352E" w:rsidRDefault="00206EAB" w:rsidP="003365A5">
            <w:pPr>
              <w:pStyle w:val="Tabletextprimarysource"/>
            </w:pPr>
            <w:r>
              <w:t>No report</w:t>
            </w:r>
            <w:r w:rsidR="00F1148E">
              <w:t>.</w:t>
            </w:r>
          </w:p>
        </w:tc>
      </w:tr>
      <w:tr w:rsidR="00DA352E" w:rsidRPr="00DA352E" w14:paraId="4969E5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C97A6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A5E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A5EC2">
                  <w:t>NA</w:t>
                </w:r>
                <w:proofErr w:type="spellEnd"/>
              </w:sdtContent>
            </w:sdt>
          </w:p>
        </w:tc>
      </w:tr>
      <w:tr w:rsidR="00DA352E" w:rsidRPr="00DA352E" w14:paraId="3B176F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8B2500" w14:textId="2AAA69FF" w:rsidR="00DA352E" w:rsidRPr="00DA352E" w:rsidRDefault="00CA5EC2" w:rsidP="003365A5">
            <w:pPr>
              <w:pStyle w:val="Tabletextprimarysource"/>
            </w:pPr>
            <w:r>
              <w:t>No report</w:t>
            </w:r>
            <w:r w:rsidR="00F1148E">
              <w:t>.</w:t>
            </w:r>
          </w:p>
        </w:tc>
      </w:tr>
      <w:tr w:rsidR="00DA352E" w:rsidRPr="00DA352E" w14:paraId="5461F6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280C0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C7F7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C7F73">
                  <w:t>NA</w:t>
                </w:r>
                <w:proofErr w:type="spellEnd"/>
              </w:sdtContent>
            </w:sdt>
          </w:p>
        </w:tc>
      </w:tr>
      <w:tr w:rsidR="00DA352E" w:rsidRPr="00DA352E" w14:paraId="6F93AA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451DC3" w14:textId="238A60F6" w:rsidR="00DA352E" w:rsidRPr="00DA352E" w:rsidRDefault="006C7F73" w:rsidP="003365A5">
            <w:pPr>
              <w:pStyle w:val="Tabletextprimarysource"/>
            </w:pPr>
            <w:r>
              <w:t>No report</w:t>
            </w:r>
            <w:r w:rsidR="00F1148E">
              <w:t>.</w:t>
            </w:r>
          </w:p>
        </w:tc>
      </w:tr>
    </w:tbl>
    <w:p w14:paraId="0EF2FAE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5A66516A" w14:textId="77777777" w:rsidTr="00F83818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1A911377" w14:textId="77777777" w:rsidR="004966BF" w:rsidRPr="00263255" w:rsidRDefault="004966BF" w:rsidP="007E191F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AA48D01" w14:textId="77777777" w:rsidR="004966BF" w:rsidRPr="00263255" w:rsidRDefault="004966BF" w:rsidP="007E191F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5C231DC" w14:textId="77777777" w:rsidR="004966BF" w:rsidRPr="00263255" w:rsidRDefault="004966BF" w:rsidP="007E191F">
            <w:pPr>
              <w:pStyle w:val="Tableheader"/>
              <w:keepNext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5FF9E3D" w14:textId="77777777" w:rsidR="004966BF" w:rsidRPr="00263255" w:rsidRDefault="004966BF" w:rsidP="007E191F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5DC26B4D" w14:textId="77777777" w:rsidTr="00F83818">
        <w:trPr>
          <w:cantSplit/>
        </w:trPr>
        <w:tc>
          <w:tcPr>
            <w:tcW w:w="1495" w:type="dxa"/>
          </w:tcPr>
          <w:p w14:paraId="7527B2D5" w14:textId="77777777" w:rsidR="004966BF" w:rsidRPr="004C23F4" w:rsidRDefault="004966BF" w:rsidP="007E191F">
            <w:pPr>
              <w:pStyle w:val="Tablefont"/>
              <w:keepNext/>
            </w:pPr>
            <w:r>
              <w:t>NICNAS</w:t>
            </w:r>
          </w:p>
        </w:tc>
        <w:tc>
          <w:tcPr>
            <w:tcW w:w="423" w:type="dxa"/>
          </w:tcPr>
          <w:p w14:paraId="0F049177" w14:textId="77777777" w:rsidR="004966BF" w:rsidRPr="00CE617F" w:rsidRDefault="00A11F6D" w:rsidP="007E191F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2774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4D2DEA" w14:textId="77777777" w:rsidR="004966BF" w:rsidRPr="004C23F4" w:rsidRDefault="00D27747" w:rsidP="007E191F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54E73FE0" w14:textId="77777777" w:rsidR="003A723A" w:rsidRPr="00417FE3" w:rsidRDefault="003A723A" w:rsidP="007E191F">
            <w:pPr>
              <w:pStyle w:val="Tabletextprimarysource"/>
              <w:keepNext/>
              <w:rPr>
                <w:b/>
              </w:rPr>
            </w:pPr>
            <w:r w:rsidRPr="00417FE3">
              <w:rPr>
                <w:b/>
              </w:rPr>
              <w:t>Cobalt carbonyl (10210-68-1)</w:t>
            </w:r>
          </w:p>
          <w:p w14:paraId="468A545C" w14:textId="45A56D16" w:rsidR="004966BF" w:rsidRPr="00C16C32" w:rsidRDefault="00D27747" w:rsidP="007E191F">
            <w:pPr>
              <w:pStyle w:val="ListBullet"/>
              <w:keepNext/>
              <w:rPr>
                <w:rStyle w:val="checkbox"/>
                <w:rFonts w:ascii="Arial" w:hAnsi="Arial"/>
              </w:rPr>
            </w:pPr>
            <w:r w:rsidRPr="00C16C32">
              <w:rPr>
                <w:rStyle w:val="checkbox"/>
                <w:rFonts w:ascii="Arial" w:hAnsi="Arial"/>
              </w:rPr>
              <w:t xml:space="preserve">Data </w:t>
            </w:r>
            <w:r w:rsidR="00F1148E">
              <w:rPr>
                <w:rStyle w:val="checkbox"/>
                <w:rFonts w:ascii="Arial" w:hAnsi="Arial"/>
              </w:rPr>
              <w:t xml:space="preserve">poor, no toxicological data </w:t>
            </w:r>
            <w:r w:rsidRPr="00C16C32">
              <w:rPr>
                <w:rStyle w:val="checkbox"/>
                <w:rFonts w:ascii="Arial" w:hAnsi="Arial"/>
              </w:rPr>
              <w:t>available</w:t>
            </w:r>
          </w:p>
          <w:p w14:paraId="43D31B0C" w14:textId="77777777" w:rsidR="00D27747" w:rsidRDefault="00D27747" w:rsidP="007E191F">
            <w:pPr>
              <w:pStyle w:val="ListBullet"/>
              <w:keepNext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</w:t>
            </w:r>
            <w:r w:rsidRPr="00D27747">
              <w:rPr>
                <w:rStyle w:val="checkbox"/>
                <w:rFonts w:ascii="Arial" w:hAnsi="Arial" w:cs="Arial"/>
              </w:rPr>
              <w:t xml:space="preserve">he presence of the </w:t>
            </w:r>
            <w:r>
              <w:rPr>
                <w:rStyle w:val="checkbox"/>
                <w:rFonts w:ascii="Arial" w:hAnsi="Arial" w:cs="Arial"/>
              </w:rPr>
              <w:t>hazardous metal species cobalt is sufficient to infer it is highly hazardous</w:t>
            </w:r>
          </w:p>
          <w:p w14:paraId="14C17C18" w14:textId="2501CF52" w:rsidR="00D27747" w:rsidRPr="004C23F4" w:rsidRDefault="00D27747" w:rsidP="007E191F">
            <w:pPr>
              <w:pStyle w:val="ListBullet"/>
              <w:keepNext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Restricted hazardous chemical</w:t>
            </w:r>
            <w:r w:rsidRPr="00D27747">
              <w:rPr>
                <w:rStyle w:val="checkbox"/>
                <w:rFonts w:ascii="Arial" w:hAnsi="Arial" w:cs="Arial"/>
              </w:rPr>
              <w:t xml:space="preserve"> in the </w:t>
            </w:r>
            <w:r w:rsidRPr="00D27747">
              <w:rPr>
                <w:rStyle w:val="checkbox"/>
                <w:rFonts w:ascii="Arial" w:hAnsi="Arial" w:cs="Arial"/>
                <w:i/>
              </w:rPr>
              <w:t xml:space="preserve">Australian Work Health and Safety Regulations </w:t>
            </w:r>
            <w:r w:rsidRPr="00D27747">
              <w:rPr>
                <w:rStyle w:val="checkbox"/>
                <w:rFonts w:ascii="Arial" w:hAnsi="Arial" w:cs="Arial"/>
              </w:rPr>
              <w:t>as 'Cobalt and its compounds' with restricted use for 'abrasive blasting at a concentration of greater than 0.1% as cobalt'</w:t>
            </w:r>
            <w:r w:rsidR="00E07F1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BDFA281" w14:textId="77777777" w:rsidR="007E2A4B" w:rsidRDefault="007E2A4B" w:rsidP="007E191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FB207C4" w14:textId="77777777" w:rsidTr="003078BD">
        <w:trPr>
          <w:trHeight w:val="454"/>
          <w:tblHeader/>
        </w:trPr>
        <w:tc>
          <w:tcPr>
            <w:tcW w:w="6597" w:type="dxa"/>
            <w:vAlign w:val="center"/>
          </w:tcPr>
          <w:p w14:paraId="7D6A30B6" w14:textId="77777777" w:rsidR="002E0D61" w:rsidRDefault="00B1422A" w:rsidP="007E191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DDBAE13" w14:textId="66B929C2" w:rsidR="002E0D61" w:rsidRDefault="00B36952" w:rsidP="007E191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7FDE564" w14:textId="77777777" w:rsidTr="003078B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7605EC9" w14:textId="5952F7DE" w:rsidR="008A36CF" w:rsidRPr="006901A2" w:rsidRDefault="00B36952" w:rsidP="007E191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6720FFB0" w14:textId="77777777" w:rsidR="008A36CF" w:rsidRDefault="008A36CF" w:rsidP="007E191F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256211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750C77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D4061A0" w14:textId="77777777" w:rsidR="00687890" w:rsidRPr="004C23F4" w:rsidRDefault="00687890" w:rsidP="00074DE0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9EDEAAD" w14:textId="77777777" w:rsidR="00687890" w:rsidRPr="004C23F4" w:rsidRDefault="00687890" w:rsidP="00074DE0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BD5A3CB" w14:textId="77777777" w:rsidTr="00812887">
        <w:trPr>
          <w:cantSplit/>
        </w:trPr>
        <w:tc>
          <w:tcPr>
            <w:tcW w:w="3227" w:type="dxa"/>
          </w:tcPr>
          <w:p w14:paraId="0101DBAF" w14:textId="77777777" w:rsidR="004079B4" w:rsidRPr="004C23F4" w:rsidRDefault="00084513" w:rsidP="00074DE0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3F5570D0" w14:textId="6A7567CE" w:rsidR="00F73ABE" w:rsidRPr="00DD2F9B" w:rsidRDefault="00820678" w:rsidP="00074DE0">
            <w:pPr>
              <w:pStyle w:val="Tablefont"/>
              <w:keepNext/>
            </w:pPr>
            <w:r>
              <w:t>NA</w:t>
            </w:r>
          </w:p>
        </w:tc>
      </w:tr>
      <w:tr w:rsidR="007925F0" w:rsidRPr="004C23F4" w14:paraId="7FFEE83B" w14:textId="77777777" w:rsidTr="00812887">
        <w:trPr>
          <w:cantSplit/>
        </w:trPr>
        <w:tc>
          <w:tcPr>
            <w:tcW w:w="3227" w:type="dxa"/>
          </w:tcPr>
          <w:p w14:paraId="5DF98BF2" w14:textId="77777777" w:rsidR="004079B4" w:rsidRPr="004C23F4" w:rsidRDefault="007925F0" w:rsidP="00074DE0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497A9DA7" w14:textId="221ADD92" w:rsidR="007925F0" w:rsidRPr="00DD2F9B" w:rsidRDefault="00382436" w:rsidP="00074DE0">
            <w:pPr>
              <w:keepNext/>
            </w:pPr>
            <w:r>
              <w:t>NA</w:t>
            </w:r>
          </w:p>
        </w:tc>
      </w:tr>
      <w:tr w:rsidR="00AF483F" w:rsidRPr="004C23F4" w14:paraId="52ACE7A3" w14:textId="77777777" w:rsidTr="00812887">
        <w:trPr>
          <w:cantSplit/>
        </w:trPr>
        <w:tc>
          <w:tcPr>
            <w:tcW w:w="3227" w:type="dxa"/>
          </w:tcPr>
          <w:p w14:paraId="71201418" w14:textId="77777777" w:rsidR="00AF483F" w:rsidRPr="004C23F4" w:rsidRDefault="00AF483F" w:rsidP="00074DE0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76AFD5E0" w14:textId="5DE461BB" w:rsidR="008A2937" w:rsidRPr="00DD2F9B" w:rsidRDefault="00A61C96" w:rsidP="00074DE0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7DCE44C6" w14:textId="77777777" w:rsidTr="00812887">
        <w:trPr>
          <w:cantSplit/>
        </w:trPr>
        <w:tc>
          <w:tcPr>
            <w:tcW w:w="3227" w:type="dxa"/>
          </w:tcPr>
          <w:p w14:paraId="4E3F3C65" w14:textId="77777777" w:rsidR="004079B4" w:rsidRPr="004C23F4" w:rsidRDefault="00687890" w:rsidP="00074DE0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6AFCC2E9" w14:textId="77342722" w:rsidR="009E537D" w:rsidRPr="00DD2F9B" w:rsidRDefault="00A61C96" w:rsidP="00074DE0">
            <w:pPr>
              <w:keepNext/>
            </w:pPr>
            <w:r>
              <w:t>NA</w:t>
            </w:r>
          </w:p>
        </w:tc>
      </w:tr>
      <w:tr w:rsidR="00E41A26" w:rsidRPr="004C23F4" w14:paraId="3F8CEEE4" w14:textId="77777777" w:rsidTr="00812887">
        <w:trPr>
          <w:cantSplit/>
        </w:trPr>
        <w:tc>
          <w:tcPr>
            <w:tcW w:w="3227" w:type="dxa"/>
          </w:tcPr>
          <w:p w14:paraId="6D3161EE" w14:textId="77777777" w:rsidR="00E41A26" w:rsidRDefault="00E41A26" w:rsidP="00074DE0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1A86C6FF" w14:textId="77777777" w:rsidR="00E41A26" w:rsidRPr="00DD2F9B" w:rsidRDefault="00CC61D4" w:rsidP="00074D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034A59D0" w14:textId="77777777" w:rsidTr="00812887">
        <w:trPr>
          <w:cantSplit/>
        </w:trPr>
        <w:tc>
          <w:tcPr>
            <w:tcW w:w="3227" w:type="dxa"/>
          </w:tcPr>
          <w:p w14:paraId="1CB57AE5" w14:textId="77777777" w:rsidR="004079B4" w:rsidRPr="004C23F4" w:rsidRDefault="002E0D61" w:rsidP="00074DE0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79386367" w14:textId="26E3097B" w:rsidR="00DF14A6" w:rsidRPr="00DD2F9B" w:rsidRDefault="00422B81" w:rsidP="00074DE0">
            <w:pPr>
              <w:keepNext/>
            </w:pPr>
            <w:r>
              <w:t>NA</w:t>
            </w:r>
          </w:p>
        </w:tc>
      </w:tr>
      <w:tr w:rsidR="002E0D61" w:rsidRPr="004C23F4" w14:paraId="5BE0F909" w14:textId="77777777" w:rsidTr="00812887">
        <w:trPr>
          <w:cantSplit/>
        </w:trPr>
        <w:tc>
          <w:tcPr>
            <w:tcW w:w="3227" w:type="dxa"/>
          </w:tcPr>
          <w:p w14:paraId="5664298C" w14:textId="77777777" w:rsidR="004079B4" w:rsidRPr="004C23F4" w:rsidRDefault="002E0D61" w:rsidP="00074DE0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5B9AC769" w14:textId="77777777" w:rsidR="002E0D61" w:rsidRPr="00DD2F9B" w:rsidRDefault="0047262F" w:rsidP="00074D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33BB119C" w14:textId="77777777" w:rsidTr="00812887">
        <w:trPr>
          <w:cantSplit/>
        </w:trPr>
        <w:tc>
          <w:tcPr>
            <w:tcW w:w="3227" w:type="dxa"/>
          </w:tcPr>
          <w:p w14:paraId="60BEABB4" w14:textId="77777777" w:rsidR="004079B4" w:rsidRPr="004C23F4" w:rsidRDefault="002E0D61" w:rsidP="00074DE0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0DCE05A4" w14:textId="77777777" w:rsidR="002E0D61" w:rsidRPr="00DD2F9B" w:rsidRDefault="0047262F" w:rsidP="00074DE0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6386B26F" w14:textId="77777777" w:rsidTr="00812887">
        <w:trPr>
          <w:cantSplit/>
        </w:trPr>
        <w:tc>
          <w:tcPr>
            <w:tcW w:w="3227" w:type="dxa"/>
          </w:tcPr>
          <w:p w14:paraId="2A9F6DE2" w14:textId="77777777" w:rsidR="004079B4" w:rsidRDefault="002E0D61" w:rsidP="00074DE0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41473345" w14:textId="77777777" w:rsidR="002E0D61" w:rsidRPr="00DD2F9B" w:rsidRDefault="00C05641" w:rsidP="00074DE0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0AF13455" w14:textId="77777777" w:rsidTr="00812887">
        <w:trPr>
          <w:cantSplit/>
        </w:trPr>
        <w:tc>
          <w:tcPr>
            <w:tcW w:w="3227" w:type="dxa"/>
          </w:tcPr>
          <w:p w14:paraId="41783A65" w14:textId="77777777" w:rsidR="004079B4" w:rsidRDefault="00386093" w:rsidP="00074DE0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3C650803" w14:textId="3C2331DB" w:rsidR="00386093" w:rsidRPr="00DD2F9B" w:rsidRDefault="008D3C7F" w:rsidP="00074DE0">
            <w:pPr>
              <w:keepNext/>
            </w:pPr>
            <w:r>
              <w:t>NA</w:t>
            </w:r>
          </w:p>
        </w:tc>
      </w:tr>
      <w:tr w:rsidR="00386093" w:rsidRPr="004C23F4" w14:paraId="2C04B2A1" w14:textId="77777777" w:rsidTr="00812887">
        <w:trPr>
          <w:cantSplit/>
        </w:trPr>
        <w:tc>
          <w:tcPr>
            <w:tcW w:w="3227" w:type="dxa"/>
          </w:tcPr>
          <w:p w14:paraId="6271612A" w14:textId="77777777" w:rsidR="004079B4" w:rsidRDefault="00386093" w:rsidP="00E07F1C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A9829E" w14:textId="77777777" w:rsidR="00386093" w:rsidRPr="00DD2F9B" w:rsidRDefault="00E24DA6" w:rsidP="00E07F1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458C0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1AA61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B918F8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762924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52E192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A3CAFB9" w14:textId="016212EC" w:rsidR="00932DCE" w:rsidRPr="00467EB5" w:rsidRDefault="00E07F1C" w:rsidP="00467EB5">
            <w:r w:rsidRPr="00E07F1C">
              <w:t>Insufficient data to assign a skin notation</w:t>
            </w:r>
            <w:r w:rsidR="00550E34">
              <w:t>.</w:t>
            </w:r>
          </w:p>
        </w:tc>
      </w:tr>
    </w:tbl>
    <w:bookmarkEnd w:id="3"/>
    <w:p w14:paraId="2488024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FBF7F0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0CC231B" w14:textId="77777777" w:rsidR="00EB3D1B" w:rsidRPr="00467EB5" w:rsidRDefault="00EB3D1B" w:rsidP="005C5AE2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26B76F6" w14:textId="2785850B" w:rsidR="00EB3D1B" w:rsidRDefault="0080428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0790A3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87"/>
        <w:gridCol w:w="5039"/>
      </w:tblGrid>
      <w:tr w:rsidR="001B79E5" w:rsidRPr="004C23F4" w14:paraId="2CA3D3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897BE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FD7B4F8" w14:textId="4075490C" w:rsidR="00F60682" w:rsidRDefault="00853638" w:rsidP="001B79E5">
                <w:pPr>
                  <w:pStyle w:val="Tablefont"/>
                  <w:rPr>
                    <w:rFonts w:cs="Arial"/>
                    <w:szCs w:val="24"/>
                    <w:lang w:val="en-US"/>
                  </w:rPr>
                </w:pPr>
                <w:r>
                  <w:t xml:space="preserve">341.94 </w:t>
                </w:r>
                <w:r>
                  <w:rPr>
                    <w:rFonts w:cs="Arial"/>
                    <w:szCs w:val="24"/>
                    <w:lang w:val="en-US"/>
                  </w:rPr>
                  <w:t>(Cobalt carbonyl)</w:t>
                </w:r>
              </w:p>
              <w:p w14:paraId="5B6429C8" w14:textId="477568A5" w:rsidR="001B79E5" w:rsidRPr="00F1148E" w:rsidRDefault="00853638" w:rsidP="001B79E5">
                <w:pPr>
                  <w:pStyle w:val="Tablefont"/>
                  <w:rPr>
                    <w:rFonts w:cs="Arial"/>
                    <w:szCs w:val="24"/>
                    <w:lang w:val="en-US"/>
                  </w:rPr>
                </w:pPr>
                <w:r>
                  <w:rPr>
                    <w:rFonts w:cs="Arial"/>
                    <w:szCs w:val="24"/>
                    <w:lang w:val="en-US"/>
                  </w:rPr>
                  <w:t xml:space="preserve">171.98 (Cobalt </w:t>
                </w:r>
                <w:proofErr w:type="spellStart"/>
                <w:r>
                  <w:rPr>
                    <w:rFonts w:cs="Arial"/>
                    <w:szCs w:val="24"/>
                    <w:lang w:val="en-US"/>
                  </w:rPr>
                  <w:t>hydrocarbonyl</w:t>
                </w:r>
                <w:proofErr w:type="spellEnd"/>
                <w:r>
                  <w:rPr>
                    <w:rFonts w:cs="Arial"/>
                    <w:szCs w:val="24"/>
                    <w:lang w:val="en-US"/>
                  </w:rPr>
                  <w:t>)</w:t>
                </w:r>
              </w:p>
            </w:tc>
          </w:sdtContent>
        </w:sdt>
      </w:tr>
      <w:tr w:rsidR="00A31D99" w:rsidRPr="004C23F4" w14:paraId="0C1B53B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E5253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D19A5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B65C7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66CE2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00472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1F3AE87" w14:textId="77777777" w:rsidTr="00EA6243">
        <w:trPr>
          <w:cantSplit/>
        </w:trPr>
        <w:tc>
          <w:tcPr>
            <w:tcW w:w="4077" w:type="dxa"/>
            <w:vAlign w:val="center"/>
          </w:tcPr>
          <w:p w14:paraId="0606FF9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8888C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7F1D0D" w14:textId="77777777" w:rsidTr="00EA6243">
        <w:trPr>
          <w:cantSplit/>
        </w:trPr>
        <w:tc>
          <w:tcPr>
            <w:tcW w:w="4077" w:type="dxa"/>
            <w:vAlign w:val="center"/>
          </w:tcPr>
          <w:p w14:paraId="2C7B5D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BA91F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6095CBB" w14:textId="77777777" w:rsidTr="00EA6243">
        <w:trPr>
          <w:cantSplit/>
        </w:trPr>
        <w:tc>
          <w:tcPr>
            <w:tcW w:w="4077" w:type="dxa"/>
            <w:vAlign w:val="center"/>
          </w:tcPr>
          <w:p w14:paraId="628A77E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525CBD3" w14:textId="1BE4C43C" w:rsidR="00E06F40" w:rsidRPr="00A006A0" w:rsidRDefault="00A11F6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74D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74DE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0374E2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362CB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BEB87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3B775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10ED60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95D951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62D407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36426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99E6488" w14:textId="702D624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C0A565C" w14:textId="53366CB6" w:rsidR="007E191F" w:rsidRDefault="007E191F" w:rsidP="00CB2C11">
      <w:r w:rsidRPr="002022B6">
        <w:t>National Industrial Chemicals Notification and Assessment Scheme (NICNAS)</w:t>
      </w:r>
      <w:r>
        <w:t xml:space="preserve"> (2015) Cobalt carbonyl</w:t>
      </w:r>
      <w:r w:rsidRPr="0071660C">
        <w:t xml:space="preserve">: Human </w:t>
      </w:r>
      <w:r w:rsidRPr="00074DE0">
        <w:t xml:space="preserve">health </w:t>
      </w:r>
      <w:sdt>
        <w:sdtPr>
          <w:id w:val="-2010129648"/>
          <w:placeholder>
            <w:docPart w:val="FF23AA74C0594080993CC763A224C2BD"/>
          </w:placeholder>
          <w:temporary/>
          <w:showingPlcHdr/>
        </w:sdtPr>
        <w:sdtEndPr/>
        <w:sdtContent>
          <w:r w:rsidRPr="007E191F">
            <w:t>tier II</w:t>
          </w:r>
        </w:sdtContent>
      </w:sdt>
      <w:r w:rsidRPr="00074DE0">
        <w:t xml:space="preserve"> assessment </w:t>
      </w:r>
      <w:r>
        <w:t>– IMAP report.</w:t>
      </w:r>
    </w:p>
    <w:sectPr w:rsidR="007E191F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9DC48" w14:textId="77777777" w:rsidR="00B05CCF" w:rsidRDefault="00B05CCF" w:rsidP="00F43AD5">
      <w:pPr>
        <w:spacing w:after="0" w:line="240" w:lineRule="auto"/>
      </w:pPr>
      <w:r>
        <w:separator/>
      </w:r>
    </w:p>
  </w:endnote>
  <w:endnote w:type="continuationSeparator" w:id="0">
    <w:p w14:paraId="0BDB1213" w14:textId="77777777" w:rsidR="00B05CCF" w:rsidRDefault="00B05CC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381D" w14:textId="77777777" w:rsidR="00A70DD3" w:rsidRDefault="00A70D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F42784" w14:textId="6DCC837F" w:rsidR="008A36CF" w:rsidRPr="00452496" w:rsidRDefault="00C313DD" w:rsidP="0034744C">
        <w:pPr>
          <w:pStyle w:val="Footer"/>
          <w:rPr>
            <w:b/>
            <w:sz w:val="18"/>
            <w:szCs w:val="18"/>
          </w:rPr>
        </w:pPr>
        <w:r>
          <w:rPr>
            <w:b/>
            <w:sz w:val="18"/>
            <w:szCs w:val="18"/>
          </w:rPr>
          <w:t>Cobalt compounds</w:t>
        </w:r>
        <w:r w:rsidR="00C0398A">
          <w:rPr>
            <w:b/>
            <w:sz w:val="18"/>
            <w:szCs w:val="18"/>
          </w:rPr>
          <w:t xml:space="preserve"> (as Co)</w:t>
        </w:r>
        <w:r w:rsidR="008A36CF">
          <w:rPr>
            <w:b/>
            <w:sz w:val="18"/>
            <w:szCs w:val="18"/>
          </w:rPr>
          <w:t xml:space="preserve"> (</w:t>
        </w:r>
        <w:r w:rsidR="005C3F80">
          <w:rPr>
            <w:b/>
            <w:sz w:val="18"/>
            <w:szCs w:val="18"/>
          </w:rPr>
          <w:t>10210-68-1</w:t>
        </w:r>
        <w:r w:rsidR="00452496">
          <w:rPr>
            <w:b/>
            <w:sz w:val="18"/>
            <w:szCs w:val="18"/>
          </w:rPr>
          <w:t>, 16842-03-8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39CAED3" w14:textId="344488E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64D0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D563D" w14:textId="77777777" w:rsidR="00A70DD3" w:rsidRDefault="00A70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F4BCA" w14:textId="77777777" w:rsidR="00B05CCF" w:rsidRDefault="00B05CCF" w:rsidP="00F43AD5">
      <w:pPr>
        <w:spacing w:after="0" w:line="240" w:lineRule="auto"/>
      </w:pPr>
      <w:r>
        <w:separator/>
      </w:r>
    </w:p>
  </w:footnote>
  <w:footnote w:type="continuationSeparator" w:id="0">
    <w:p w14:paraId="4F183FFE" w14:textId="77777777" w:rsidR="00B05CCF" w:rsidRDefault="00B05CC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507B8" w14:textId="08851789" w:rsidR="00A70DD3" w:rsidRDefault="00A70D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0E55C" w14:textId="74E48D1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91C165D" wp14:editId="6592BA6F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679AC" w14:textId="63C49B42" w:rsidR="00A70DD3" w:rsidRDefault="00A70DD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2A492" w14:textId="26AD90AE" w:rsidR="00A70DD3" w:rsidRDefault="00A70DD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C300" w14:textId="6B942A2A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F6B3A" w14:textId="7F061055" w:rsidR="00A70DD3" w:rsidRDefault="00A70D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0720A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477BCC"/>
    <w:multiLevelType w:val="hybridMultilevel"/>
    <w:tmpl w:val="1674D8F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6799904">
    <w:abstractNumId w:val="0"/>
  </w:num>
  <w:num w:numId="2" w16cid:durableId="1119570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EAB"/>
    <w:rsid w:val="00014C3F"/>
    <w:rsid w:val="00015657"/>
    <w:rsid w:val="00017C82"/>
    <w:rsid w:val="00032B88"/>
    <w:rsid w:val="00043648"/>
    <w:rsid w:val="00046DF5"/>
    <w:rsid w:val="00052060"/>
    <w:rsid w:val="0005574A"/>
    <w:rsid w:val="00055FE1"/>
    <w:rsid w:val="00056EC2"/>
    <w:rsid w:val="00060B48"/>
    <w:rsid w:val="00065AAA"/>
    <w:rsid w:val="00067F32"/>
    <w:rsid w:val="00071807"/>
    <w:rsid w:val="00073F6B"/>
    <w:rsid w:val="00074DE0"/>
    <w:rsid w:val="000803E1"/>
    <w:rsid w:val="00083968"/>
    <w:rsid w:val="00084513"/>
    <w:rsid w:val="00084859"/>
    <w:rsid w:val="00092D94"/>
    <w:rsid w:val="000A32E9"/>
    <w:rsid w:val="000B0868"/>
    <w:rsid w:val="000B3E12"/>
    <w:rsid w:val="000B3E78"/>
    <w:rsid w:val="000B4F0A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5B9"/>
    <w:rsid w:val="001269A7"/>
    <w:rsid w:val="00131092"/>
    <w:rsid w:val="00132C0B"/>
    <w:rsid w:val="001406F8"/>
    <w:rsid w:val="00140E6A"/>
    <w:rsid w:val="001432A5"/>
    <w:rsid w:val="00146545"/>
    <w:rsid w:val="00146B75"/>
    <w:rsid w:val="0015266D"/>
    <w:rsid w:val="0015288A"/>
    <w:rsid w:val="00160F47"/>
    <w:rsid w:val="001669F2"/>
    <w:rsid w:val="00167525"/>
    <w:rsid w:val="00173362"/>
    <w:rsid w:val="00177CA1"/>
    <w:rsid w:val="00182735"/>
    <w:rsid w:val="00183823"/>
    <w:rsid w:val="00183942"/>
    <w:rsid w:val="0018455E"/>
    <w:rsid w:val="0018626E"/>
    <w:rsid w:val="001A009E"/>
    <w:rsid w:val="001A1287"/>
    <w:rsid w:val="001A19CE"/>
    <w:rsid w:val="001A3859"/>
    <w:rsid w:val="001A3C9D"/>
    <w:rsid w:val="001A43F8"/>
    <w:rsid w:val="001B6733"/>
    <w:rsid w:val="001B79E5"/>
    <w:rsid w:val="001D4A23"/>
    <w:rsid w:val="001D56F0"/>
    <w:rsid w:val="001D5C6F"/>
    <w:rsid w:val="001D663B"/>
    <w:rsid w:val="001D7B41"/>
    <w:rsid w:val="001E0A2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EAB"/>
    <w:rsid w:val="00213640"/>
    <w:rsid w:val="002170E0"/>
    <w:rsid w:val="00220815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D05"/>
    <w:rsid w:val="0026723F"/>
    <w:rsid w:val="00276494"/>
    <w:rsid w:val="00277B0C"/>
    <w:rsid w:val="002A3A65"/>
    <w:rsid w:val="002B1A2C"/>
    <w:rsid w:val="002C00D5"/>
    <w:rsid w:val="002C34F2"/>
    <w:rsid w:val="002C50DB"/>
    <w:rsid w:val="002C58FF"/>
    <w:rsid w:val="002C7AFE"/>
    <w:rsid w:val="002D05D2"/>
    <w:rsid w:val="002D253A"/>
    <w:rsid w:val="002E0D61"/>
    <w:rsid w:val="002E4C7B"/>
    <w:rsid w:val="002E7CEC"/>
    <w:rsid w:val="002F52FE"/>
    <w:rsid w:val="002F5DDF"/>
    <w:rsid w:val="00304C14"/>
    <w:rsid w:val="0030740C"/>
    <w:rsid w:val="003078BD"/>
    <w:rsid w:val="00312278"/>
    <w:rsid w:val="00315833"/>
    <w:rsid w:val="00316BD5"/>
    <w:rsid w:val="003215EE"/>
    <w:rsid w:val="003224BF"/>
    <w:rsid w:val="003241A8"/>
    <w:rsid w:val="003253F0"/>
    <w:rsid w:val="003337DA"/>
    <w:rsid w:val="00334EFB"/>
    <w:rsid w:val="00335CDE"/>
    <w:rsid w:val="003365A5"/>
    <w:rsid w:val="00341D6B"/>
    <w:rsid w:val="00347192"/>
    <w:rsid w:val="0034744C"/>
    <w:rsid w:val="00351FE0"/>
    <w:rsid w:val="00352615"/>
    <w:rsid w:val="0035412B"/>
    <w:rsid w:val="0035496C"/>
    <w:rsid w:val="003567A8"/>
    <w:rsid w:val="00362895"/>
    <w:rsid w:val="0037011C"/>
    <w:rsid w:val="00370DBF"/>
    <w:rsid w:val="00382436"/>
    <w:rsid w:val="00386093"/>
    <w:rsid w:val="003904A4"/>
    <w:rsid w:val="00391841"/>
    <w:rsid w:val="00391B6D"/>
    <w:rsid w:val="00394922"/>
    <w:rsid w:val="00397610"/>
    <w:rsid w:val="003A0E32"/>
    <w:rsid w:val="003A2B94"/>
    <w:rsid w:val="003A723A"/>
    <w:rsid w:val="003B387D"/>
    <w:rsid w:val="003C0D58"/>
    <w:rsid w:val="003C1F67"/>
    <w:rsid w:val="003C510D"/>
    <w:rsid w:val="003C536E"/>
    <w:rsid w:val="003D0EFE"/>
    <w:rsid w:val="003D4FA3"/>
    <w:rsid w:val="003E0807"/>
    <w:rsid w:val="003E51FB"/>
    <w:rsid w:val="003E6B39"/>
    <w:rsid w:val="003F07E1"/>
    <w:rsid w:val="003F3099"/>
    <w:rsid w:val="004030BC"/>
    <w:rsid w:val="00403F7D"/>
    <w:rsid w:val="00404810"/>
    <w:rsid w:val="00406785"/>
    <w:rsid w:val="004079B4"/>
    <w:rsid w:val="00417A56"/>
    <w:rsid w:val="00417FE3"/>
    <w:rsid w:val="00420957"/>
    <w:rsid w:val="00422A10"/>
    <w:rsid w:val="00422B81"/>
    <w:rsid w:val="00430179"/>
    <w:rsid w:val="004414B5"/>
    <w:rsid w:val="00444482"/>
    <w:rsid w:val="00444B42"/>
    <w:rsid w:val="00445E44"/>
    <w:rsid w:val="004509E2"/>
    <w:rsid w:val="004515EE"/>
    <w:rsid w:val="00452496"/>
    <w:rsid w:val="004529F0"/>
    <w:rsid w:val="00460A03"/>
    <w:rsid w:val="00467EB5"/>
    <w:rsid w:val="0047262F"/>
    <w:rsid w:val="00472A11"/>
    <w:rsid w:val="00472AAD"/>
    <w:rsid w:val="00474E33"/>
    <w:rsid w:val="004766FA"/>
    <w:rsid w:val="00476803"/>
    <w:rsid w:val="00485BFD"/>
    <w:rsid w:val="004867A2"/>
    <w:rsid w:val="004873F2"/>
    <w:rsid w:val="00490D4C"/>
    <w:rsid w:val="0049286D"/>
    <w:rsid w:val="00493A35"/>
    <w:rsid w:val="0049527A"/>
    <w:rsid w:val="004966BF"/>
    <w:rsid w:val="00497984"/>
    <w:rsid w:val="004A5088"/>
    <w:rsid w:val="004A7CC2"/>
    <w:rsid w:val="004C1E3F"/>
    <w:rsid w:val="004C2083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6BE1"/>
    <w:rsid w:val="0050005E"/>
    <w:rsid w:val="00502B88"/>
    <w:rsid w:val="00507564"/>
    <w:rsid w:val="00513CCF"/>
    <w:rsid w:val="00513DBD"/>
    <w:rsid w:val="005142C4"/>
    <w:rsid w:val="0051509C"/>
    <w:rsid w:val="00525334"/>
    <w:rsid w:val="005272E2"/>
    <w:rsid w:val="0053108F"/>
    <w:rsid w:val="00532B56"/>
    <w:rsid w:val="00533295"/>
    <w:rsid w:val="00534B10"/>
    <w:rsid w:val="00537570"/>
    <w:rsid w:val="005446A2"/>
    <w:rsid w:val="00544D2F"/>
    <w:rsid w:val="00550E34"/>
    <w:rsid w:val="00551BD8"/>
    <w:rsid w:val="00561EEF"/>
    <w:rsid w:val="00581055"/>
    <w:rsid w:val="005822F9"/>
    <w:rsid w:val="00585115"/>
    <w:rsid w:val="00591E38"/>
    <w:rsid w:val="005973F4"/>
    <w:rsid w:val="005A19C5"/>
    <w:rsid w:val="005A3034"/>
    <w:rsid w:val="005A3C09"/>
    <w:rsid w:val="005A462D"/>
    <w:rsid w:val="005B253B"/>
    <w:rsid w:val="005B771D"/>
    <w:rsid w:val="005C3F80"/>
    <w:rsid w:val="005C5AE2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A77"/>
    <w:rsid w:val="006867F3"/>
    <w:rsid w:val="00687890"/>
    <w:rsid w:val="006901A2"/>
    <w:rsid w:val="00690368"/>
    <w:rsid w:val="0069079C"/>
    <w:rsid w:val="00690B53"/>
    <w:rsid w:val="00695B5B"/>
    <w:rsid w:val="00695B72"/>
    <w:rsid w:val="006B160A"/>
    <w:rsid w:val="006B4E6C"/>
    <w:rsid w:val="006B50B6"/>
    <w:rsid w:val="006C02E6"/>
    <w:rsid w:val="006C5630"/>
    <w:rsid w:val="006C7F73"/>
    <w:rsid w:val="006D79EA"/>
    <w:rsid w:val="006E5D05"/>
    <w:rsid w:val="00701053"/>
    <w:rsid w:val="00701507"/>
    <w:rsid w:val="00704B77"/>
    <w:rsid w:val="00714021"/>
    <w:rsid w:val="00716A0F"/>
    <w:rsid w:val="00717D45"/>
    <w:rsid w:val="007208F7"/>
    <w:rsid w:val="007218AF"/>
    <w:rsid w:val="00736234"/>
    <w:rsid w:val="007365D1"/>
    <w:rsid w:val="00737DE4"/>
    <w:rsid w:val="00740652"/>
    <w:rsid w:val="00740E0E"/>
    <w:rsid w:val="00750212"/>
    <w:rsid w:val="00754779"/>
    <w:rsid w:val="0075716D"/>
    <w:rsid w:val="00765D91"/>
    <w:rsid w:val="00765F14"/>
    <w:rsid w:val="00767D96"/>
    <w:rsid w:val="00770E31"/>
    <w:rsid w:val="007770F1"/>
    <w:rsid w:val="00783FB1"/>
    <w:rsid w:val="00785CDD"/>
    <w:rsid w:val="00791847"/>
    <w:rsid w:val="007925F0"/>
    <w:rsid w:val="007939B3"/>
    <w:rsid w:val="00794568"/>
    <w:rsid w:val="0079509C"/>
    <w:rsid w:val="00796708"/>
    <w:rsid w:val="007B1B42"/>
    <w:rsid w:val="007C30EB"/>
    <w:rsid w:val="007D1D1E"/>
    <w:rsid w:val="007E063C"/>
    <w:rsid w:val="007E191F"/>
    <w:rsid w:val="007E2A4B"/>
    <w:rsid w:val="007E307D"/>
    <w:rsid w:val="007E6A4E"/>
    <w:rsid w:val="007E6C94"/>
    <w:rsid w:val="007F1005"/>
    <w:rsid w:val="007F25E0"/>
    <w:rsid w:val="007F5328"/>
    <w:rsid w:val="00800B5C"/>
    <w:rsid w:val="0080428E"/>
    <w:rsid w:val="00804F5A"/>
    <w:rsid w:val="00810C6D"/>
    <w:rsid w:val="00812887"/>
    <w:rsid w:val="008164D5"/>
    <w:rsid w:val="00820678"/>
    <w:rsid w:val="00824D84"/>
    <w:rsid w:val="00826F21"/>
    <w:rsid w:val="00827423"/>
    <w:rsid w:val="00834CC8"/>
    <w:rsid w:val="00835E00"/>
    <w:rsid w:val="00837113"/>
    <w:rsid w:val="008414E4"/>
    <w:rsid w:val="00843E21"/>
    <w:rsid w:val="0084508E"/>
    <w:rsid w:val="00847E1C"/>
    <w:rsid w:val="0085183F"/>
    <w:rsid w:val="00853638"/>
    <w:rsid w:val="00857A8A"/>
    <w:rsid w:val="008630EE"/>
    <w:rsid w:val="00864D13"/>
    <w:rsid w:val="00871CD5"/>
    <w:rsid w:val="008745A2"/>
    <w:rsid w:val="008768A8"/>
    <w:rsid w:val="008871FE"/>
    <w:rsid w:val="0088798F"/>
    <w:rsid w:val="00887E4B"/>
    <w:rsid w:val="008915C8"/>
    <w:rsid w:val="008A2937"/>
    <w:rsid w:val="008A36CF"/>
    <w:rsid w:val="008A3BC4"/>
    <w:rsid w:val="008B2474"/>
    <w:rsid w:val="008B403C"/>
    <w:rsid w:val="008B7983"/>
    <w:rsid w:val="008C0718"/>
    <w:rsid w:val="008C2511"/>
    <w:rsid w:val="008C4F25"/>
    <w:rsid w:val="008D026D"/>
    <w:rsid w:val="008D0FC5"/>
    <w:rsid w:val="008D23AB"/>
    <w:rsid w:val="008D3C7F"/>
    <w:rsid w:val="008D4B8B"/>
    <w:rsid w:val="008D5A78"/>
    <w:rsid w:val="008E7B64"/>
    <w:rsid w:val="008F1435"/>
    <w:rsid w:val="008F2FA4"/>
    <w:rsid w:val="008F5DCD"/>
    <w:rsid w:val="008F7C83"/>
    <w:rsid w:val="00900951"/>
    <w:rsid w:val="009118A6"/>
    <w:rsid w:val="00916909"/>
    <w:rsid w:val="00916EC0"/>
    <w:rsid w:val="00920467"/>
    <w:rsid w:val="00921DE7"/>
    <w:rsid w:val="00922A09"/>
    <w:rsid w:val="00922A8D"/>
    <w:rsid w:val="0093041A"/>
    <w:rsid w:val="00930714"/>
    <w:rsid w:val="00931B03"/>
    <w:rsid w:val="009323B9"/>
    <w:rsid w:val="00932DCE"/>
    <w:rsid w:val="0093327E"/>
    <w:rsid w:val="00934028"/>
    <w:rsid w:val="0093760E"/>
    <w:rsid w:val="009419BC"/>
    <w:rsid w:val="00946044"/>
    <w:rsid w:val="0094660B"/>
    <w:rsid w:val="00946A33"/>
    <w:rsid w:val="0095260E"/>
    <w:rsid w:val="009578DD"/>
    <w:rsid w:val="00961124"/>
    <w:rsid w:val="009621B6"/>
    <w:rsid w:val="00966540"/>
    <w:rsid w:val="00974F2D"/>
    <w:rsid w:val="00977524"/>
    <w:rsid w:val="00977E88"/>
    <w:rsid w:val="00984920"/>
    <w:rsid w:val="0099303A"/>
    <w:rsid w:val="009971C2"/>
    <w:rsid w:val="00997D2A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81D"/>
    <w:rsid w:val="009D3B5A"/>
    <w:rsid w:val="009E0C05"/>
    <w:rsid w:val="009E0D1C"/>
    <w:rsid w:val="009E2214"/>
    <w:rsid w:val="009E355A"/>
    <w:rsid w:val="009E537D"/>
    <w:rsid w:val="009E63E2"/>
    <w:rsid w:val="009F04D2"/>
    <w:rsid w:val="009F05CF"/>
    <w:rsid w:val="009F0F3A"/>
    <w:rsid w:val="00A01D0C"/>
    <w:rsid w:val="00A05CA1"/>
    <w:rsid w:val="00A0643F"/>
    <w:rsid w:val="00A067EE"/>
    <w:rsid w:val="00A10528"/>
    <w:rsid w:val="00A10FCE"/>
    <w:rsid w:val="00A11F6D"/>
    <w:rsid w:val="00A169E4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6B8"/>
    <w:rsid w:val="00A52B10"/>
    <w:rsid w:val="00A53681"/>
    <w:rsid w:val="00A548ED"/>
    <w:rsid w:val="00A60813"/>
    <w:rsid w:val="00A61C96"/>
    <w:rsid w:val="00A633D4"/>
    <w:rsid w:val="00A6461A"/>
    <w:rsid w:val="00A70DD3"/>
    <w:rsid w:val="00A84504"/>
    <w:rsid w:val="00A8672F"/>
    <w:rsid w:val="00A9256A"/>
    <w:rsid w:val="00A93057"/>
    <w:rsid w:val="00A968B0"/>
    <w:rsid w:val="00AB2672"/>
    <w:rsid w:val="00AB2817"/>
    <w:rsid w:val="00AB43C4"/>
    <w:rsid w:val="00AB521D"/>
    <w:rsid w:val="00AC0F1C"/>
    <w:rsid w:val="00AC32E7"/>
    <w:rsid w:val="00AC3383"/>
    <w:rsid w:val="00AC3A9F"/>
    <w:rsid w:val="00AC6D2F"/>
    <w:rsid w:val="00AD5877"/>
    <w:rsid w:val="00AE2745"/>
    <w:rsid w:val="00AE2F64"/>
    <w:rsid w:val="00AE5FD7"/>
    <w:rsid w:val="00AF2BBB"/>
    <w:rsid w:val="00AF42CB"/>
    <w:rsid w:val="00AF483F"/>
    <w:rsid w:val="00AF5E07"/>
    <w:rsid w:val="00AF5F06"/>
    <w:rsid w:val="00AF752A"/>
    <w:rsid w:val="00B00A25"/>
    <w:rsid w:val="00B05CCF"/>
    <w:rsid w:val="00B1422A"/>
    <w:rsid w:val="00B1765C"/>
    <w:rsid w:val="00B213C4"/>
    <w:rsid w:val="00B21D42"/>
    <w:rsid w:val="00B36952"/>
    <w:rsid w:val="00B40C60"/>
    <w:rsid w:val="00B46200"/>
    <w:rsid w:val="00B472D4"/>
    <w:rsid w:val="00B479A9"/>
    <w:rsid w:val="00B52EDF"/>
    <w:rsid w:val="00B700C2"/>
    <w:rsid w:val="00B71188"/>
    <w:rsid w:val="00B76A41"/>
    <w:rsid w:val="00B8141D"/>
    <w:rsid w:val="00B87D4C"/>
    <w:rsid w:val="00B93646"/>
    <w:rsid w:val="00BA0B38"/>
    <w:rsid w:val="00BA1438"/>
    <w:rsid w:val="00BA1DBB"/>
    <w:rsid w:val="00BA4510"/>
    <w:rsid w:val="00BA529A"/>
    <w:rsid w:val="00BB612A"/>
    <w:rsid w:val="00BD499F"/>
    <w:rsid w:val="00BD56DE"/>
    <w:rsid w:val="00BE4069"/>
    <w:rsid w:val="00BF2406"/>
    <w:rsid w:val="00C0398A"/>
    <w:rsid w:val="00C05641"/>
    <w:rsid w:val="00C0673E"/>
    <w:rsid w:val="00C06E43"/>
    <w:rsid w:val="00C137CE"/>
    <w:rsid w:val="00C16315"/>
    <w:rsid w:val="00C16C32"/>
    <w:rsid w:val="00C21824"/>
    <w:rsid w:val="00C23674"/>
    <w:rsid w:val="00C3091E"/>
    <w:rsid w:val="00C313DD"/>
    <w:rsid w:val="00C40FF1"/>
    <w:rsid w:val="00C419E2"/>
    <w:rsid w:val="00C41CA7"/>
    <w:rsid w:val="00C43A57"/>
    <w:rsid w:val="00C47EB4"/>
    <w:rsid w:val="00C501F4"/>
    <w:rsid w:val="00C5020E"/>
    <w:rsid w:val="00C50D63"/>
    <w:rsid w:val="00C52158"/>
    <w:rsid w:val="00C57452"/>
    <w:rsid w:val="00C61EDF"/>
    <w:rsid w:val="00C6239D"/>
    <w:rsid w:val="00C62848"/>
    <w:rsid w:val="00C6594B"/>
    <w:rsid w:val="00C67FFB"/>
    <w:rsid w:val="00C7155E"/>
    <w:rsid w:val="00C71D1E"/>
    <w:rsid w:val="00C71D7D"/>
    <w:rsid w:val="00C74833"/>
    <w:rsid w:val="00C850A0"/>
    <w:rsid w:val="00C8539B"/>
    <w:rsid w:val="00C85A86"/>
    <w:rsid w:val="00C978F0"/>
    <w:rsid w:val="00CA58FE"/>
    <w:rsid w:val="00CA5EC2"/>
    <w:rsid w:val="00CB09CB"/>
    <w:rsid w:val="00CB0F4C"/>
    <w:rsid w:val="00CB1CB1"/>
    <w:rsid w:val="00CB2C11"/>
    <w:rsid w:val="00CB6BC1"/>
    <w:rsid w:val="00CB6CB8"/>
    <w:rsid w:val="00CC1A68"/>
    <w:rsid w:val="00CC2123"/>
    <w:rsid w:val="00CC32EA"/>
    <w:rsid w:val="00CC61D4"/>
    <w:rsid w:val="00CD2BFD"/>
    <w:rsid w:val="00CE5AD6"/>
    <w:rsid w:val="00CE617F"/>
    <w:rsid w:val="00CE78EF"/>
    <w:rsid w:val="00D048F7"/>
    <w:rsid w:val="00D050D5"/>
    <w:rsid w:val="00D0517E"/>
    <w:rsid w:val="00D0678A"/>
    <w:rsid w:val="00D06F33"/>
    <w:rsid w:val="00D140FC"/>
    <w:rsid w:val="00D21D8C"/>
    <w:rsid w:val="00D222F6"/>
    <w:rsid w:val="00D27747"/>
    <w:rsid w:val="00D302BC"/>
    <w:rsid w:val="00D31357"/>
    <w:rsid w:val="00D33220"/>
    <w:rsid w:val="00D3344B"/>
    <w:rsid w:val="00D334D1"/>
    <w:rsid w:val="00D33A49"/>
    <w:rsid w:val="00D36243"/>
    <w:rsid w:val="00D43067"/>
    <w:rsid w:val="00D4406A"/>
    <w:rsid w:val="00D44C89"/>
    <w:rsid w:val="00D516CD"/>
    <w:rsid w:val="00D668E6"/>
    <w:rsid w:val="00D70670"/>
    <w:rsid w:val="00D74D80"/>
    <w:rsid w:val="00D75495"/>
    <w:rsid w:val="00D76624"/>
    <w:rsid w:val="00D83578"/>
    <w:rsid w:val="00D85325"/>
    <w:rsid w:val="00D87570"/>
    <w:rsid w:val="00D91CB9"/>
    <w:rsid w:val="00D97989"/>
    <w:rsid w:val="00D97D8D"/>
    <w:rsid w:val="00DA352E"/>
    <w:rsid w:val="00DC0865"/>
    <w:rsid w:val="00DC7694"/>
    <w:rsid w:val="00DD1BF6"/>
    <w:rsid w:val="00DD2F9B"/>
    <w:rsid w:val="00DE2513"/>
    <w:rsid w:val="00DE26E8"/>
    <w:rsid w:val="00DE3DCB"/>
    <w:rsid w:val="00DF14A6"/>
    <w:rsid w:val="00DF262E"/>
    <w:rsid w:val="00DF52C8"/>
    <w:rsid w:val="00DF6F36"/>
    <w:rsid w:val="00E0084C"/>
    <w:rsid w:val="00E025AB"/>
    <w:rsid w:val="00E02B23"/>
    <w:rsid w:val="00E06F40"/>
    <w:rsid w:val="00E07CE8"/>
    <w:rsid w:val="00E07F1C"/>
    <w:rsid w:val="00E15548"/>
    <w:rsid w:val="00E24DA6"/>
    <w:rsid w:val="00E25A7F"/>
    <w:rsid w:val="00E26A07"/>
    <w:rsid w:val="00E32595"/>
    <w:rsid w:val="00E34DCC"/>
    <w:rsid w:val="00E360B7"/>
    <w:rsid w:val="00E37CFD"/>
    <w:rsid w:val="00E41A26"/>
    <w:rsid w:val="00E46BCB"/>
    <w:rsid w:val="00E51CAF"/>
    <w:rsid w:val="00E53094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835"/>
    <w:rsid w:val="00EA0A06"/>
    <w:rsid w:val="00EA6243"/>
    <w:rsid w:val="00EA74AB"/>
    <w:rsid w:val="00EB3D1B"/>
    <w:rsid w:val="00EB6115"/>
    <w:rsid w:val="00ED1D89"/>
    <w:rsid w:val="00ED66BC"/>
    <w:rsid w:val="00EF233A"/>
    <w:rsid w:val="00EF303E"/>
    <w:rsid w:val="00EF3A40"/>
    <w:rsid w:val="00EF7E26"/>
    <w:rsid w:val="00EF7F78"/>
    <w:rsid w:val="00F01B08"/>
    <w:rsid w:val="00F01C4D"/>
    <w:rsid w:val="00F053FA"/>
    <w:rsid w:val="00F10C97"/>
    <w:rsid w:val="00F1148E"/>
    <w:rsid w:val="00F11C71"/>
    <w:rsid w:val="00F13CE6"/>
    <w:rsid w:val="00F1462C"/>
    <w:rsid w:val="00F16019"/>
    <w:rsid w:val="00F20E68"/>
    <w:rsid w:val="00F22093"/>
    <w:rsid w:val="00F236DF"/>
    <w:rsid w:val="00F41185"/>
    <w:rsid w:val="00F41FFC"/>
    <w:rsid w:val="00F43AD5"/>
    <w:rsid w:val="00F4402E"/>
    <w:rsid w:val="00F5407D"/>
    <w:rsid w:val="00F56DD0"/>
    <w:rsid w:val="00F60682"/>
    <w:rsid w:val="00F6491C"/>
    <w:rsid w:val="00F6494C"/>
    <w:rsid w:val="00F67BBB"/>
    <w:rsid w:val="00F73ABE"/>
    <w:rsid w:val="00F83818"/>
    <w:rsid w:val="00F87D92"/>
    <w:rsid w:val="00F90AA7"/>
    <w:rsid w:val="00F92498"/>
    <w:rsid w:val="00F9496B"/>
    <w:rsid w:val="00F970C9"/>
    <w:rsid w:val="00F97183"/>
    <w:rsid w:val="00F97728"/>
    <w:rsid w:val="00FA06A8"/>
    <w:rsid w:val="00FA3DF5"/>
    <w:rsid w:val="00FA66F0"/>
    <w:rsid w:val="00FA741F"/>
    <w:rsid w:val="00FB4E07"/>
    <w:rsid w:val="00FB755A"/>
    <w:rsid w:val="00FC06DC"/>
    <w:rsid w:val="00FC60A2"/>
    <w:rsid w:val="00FD1871"/>
    <w:rsid w:val="00FD29F8"/>
    <w:rsid w:val="00FD3110"/>
    <w:rsid w:val="00FD5B6E"/>
    <w:rsid w:val="00FF26E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4D06DA6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B0F4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5A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AE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AE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A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AE2"/>
    <w:rPr>
      <w:b/>
      <w:bCs/>
      <w:szCs w:val="20"/>
    </w:rPr>
  </w:style>
  <w:style w:type="paragraph" w:styleId="Revision">
    <w:name w:val="Revision"/>
    <w:hidden/>
    <w:uiPriority w:val="99"/>
    <w:semiHidden/>
    <w:rsid w:val="002F52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F23AA74C0594080993CC763A224C2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9FE13-6D58-407B-A9AB-BEDBCFF1AF0C}"/>
      </w:docPartPr>
      <w:docPartBody>
        <w:p w:rsidR="00010F2A" w:rsidRDefault="00B30C6A" w:rsidP="00B30C6A">
          <w:pPr>
            <w:pStyle w:val="FF23AA74C0594080993CC763A224C2BD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D44ACF4098DC4E24BC35E00DE3631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1B7B7-D2B9-41BB-9462-04AC44CE75EA}"/>
      </w:docPartPr>
      <w:docPartBody>
        <w:p w:rsidR="007B554F" w:rsidRDefault="002724E0" w:rsidP="002724E0">
          <w:pPr>
            <w:pStyle w:val="D44ACF4098DC4E24BC35E00DE363157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0F2A"/>
    <w:rsid w:val="000C6E30"/>
    <w:rsid w:val="002724E0"/>
    <w:rsid w:val="00503738"/>
    <w:rsid w:val="005C389A"/>
    <w:rsid w:val="007B554F"/>
    <w:rsid w:val="00B30C6A"/>
    <w:rsid w:val="00C706D5"/>
    <w:rsid w:val="00CB4924"/>
    <w:rsid w:val="00D204F6"/>
    <w:rsid w:val="00D21A9F"/>
    <w:rsid w:val="00D2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24E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F23AA74C0594080993CC763A224C2BD">
    <w:name w:val="FF23AA74C0594080993CC763A224C2BD"/>
    <w:rsid w:val="00B30C6A"/>
  </w:style>
  <w:style w:type="paragraph" w:customStyle="1" w:styleId="D44ACF4098DC4E24BC35E00DE363157A">
    <w:name w:val="D44ACF4098DC4E24BC35E00DE363157A"/>
    <w:rsid w:val="002724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80AF89-8D33-4181-9700-7DA39D1B84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8583A2-DB9E-4F59-976C-3380422052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859</Words>
  <Characters>4894</Characters>
  <Application>Microsoft Office Word</Application>
  <DocSecurity>0</DocSecurity>
  <Lines>174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30</cp:revision>
  <cp:lastPrinted>2018-10-22T22:41:00Z</cp:lastPrinted>
  <dcterms:created xsi:type="dcterms:W3CDTF">2019-10-04T19:39:00Z</dcterms:created>
  <dcterms:modified xsi:type="dcterms:W3CDTF">2025-12-22T03:43:00Z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2025-12-22T03:43:24Z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659a5c90-d356-486a-8c61-fd7528d0e146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