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7A6833FF" w14:textId="0F08ED19" w:rsidR="00BD499F" w:rsidRPr="004C23F4" w:rsidRDefault="0084146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chromium (</w:t>
          </w:r>
          <w:r w:rsidR="00227BF3">
            <w:rPr>
              <w:rFonts w:ascii="Arial" w:hAnsi="Arial" w:cs="Arial"/>
            </w:rPr>
            <w:t>VI</w:t>
          </w:r>
          <w:r w:rsidR="00D475FB">
            <w:rPr>
              <w:rFonts w:ascii="Arial" w:hAnsi="Arial" w:cs="Arial"/>
            </w:rPr>
            <w:t>) (</w:t>
          </w:r>
          <w:r>
            <w:rPr>
              <w:rFonts w:ascii="Arial" w:hAnsi="Arial" w:cs="Arial"/>
            </w:rPr>
            <w:t>as Cr)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20A681B6" w14:textId="77777777" w:rsidTr="00B76A41">
        <w:trPr>
          <w:cantSplit/>
          <w:tblHeader/>
        </w:trPr>
        <w:tc>
          <w:tcPr>
            <w:tcW w:w="4077" w:type="dxa"/>
          </w:tcPr>
          <w:p w14:paraId="0A9FA91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A2676C1" w14:textId="62256910" w:rsidR="00F43AD5" w:rsidRPr="00717D45" w:rsidRDefault="00301FD8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5865E2B3" w14:textId="77777777" w:rsidTr="00B76A41">
        <w:trPr>
          <w:cantSplit/>
        </w:trPr>
        <w:tc>
          <w:tcPr>
            <w:tcW w:w="4077" w:type="dxa"/>
          </w:tcPr>
          <w:p w14:paraId="2ECAF46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B0F636B" w14:textId="62D6B074" w:rsidR="00F43AD5" w:rsidRPr="00717D45" w:rsidRDefault="00F17A20" w:rsidP="00B76A41">
            <w:pPr>
              <w:pStyle w:val="Tablefont"/>
            </w:pPr>
            <w:r>
              <w:t>Chrome</w:t>
            </w:r>
            <w:r w:rsidR="00253620">
              <w:t xml:space="preserve">; chromate; dichromate; hexavalent chromium </w:t>
            </w:r>
          </w:p>
        </w:tc>
      </w:tr>
      <w:tr w:rsidR="00F43AD5" w:rsidRPr="004C23F4" w14:paraId="2708447D" w14:textId="77777777" w:rsidTr="00B76A41">
        <w:trPr>
          <w:cantSplit/>
        </w:trPr>
        <w:tc>
          <w:tcPr>
            <w:tcW w:w="4077" w:type="dxa"/>
          </w:tcPr>
          <w:p w14:paraId="57B6DD4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D537DA7" w14:textId="65C1407E" w:rsidR="00F43AD5" w:rsidRPr="00717D45" w:rsidRDefault="00FD26E2" w:rsidP="00B76A41">
            <w:pPr>
              <w:pStyle w:val="Tablefont"/>
            </w:pPr>
            <w:r>
              <w:t>Cr</w:t>
            </w:r>
            <w:r w:rsidR="00301FD8">
              <w:t>(VI)</w:t>
            </w:r>
          </w:p>
        </w:tc>
      </w:tr>
      <w:tr w:rsidR="00F43AD5" w:rsidRPr="004C23F4" w14:paraId="63F13D8E" w14:textId="77777777" w:rsidTr="00B76A41">
        <w:trPr>
          <w:cantSplit/>
        </w:trPr>
        <w:tc>
          <w:tcPr>
            <w:tcW w:w="4077" w:type="dxa"/>
          </w:tcPr>
          <w:p w14:paraId="03383A9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F2B8746" w14:textId="77777777" w:rsidR="00F43AD5" w:rsidRPr="00B40C60" w:rsidRDefault="00122F45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8D3591D" w14:textId="4A22618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AD418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EB73F78" w14:textId="77777777" w:rsidTr="00122F45">
        <w:trPr>
          <w:cantSplit/>
          <w:tblHeader/>
        </w:trPr>
        <w:tc>
          <w:tcPr>
            <w:tcW w:w="4010" w:type="dxa"/>
            <w:vAlign w:val="center"/>
          </w:tcPr>
          <w:p w14:paraId="1F0E6FE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7E88808" w14:textId="1B73F9E3" w:rsidR="002C7AFE" w:rsidRPr="00AD418D" w:rsidRDefault="00AD418D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 xml:space="preserve">0.007 </w:t>
            </w:r>
            <w:r>
              <w:rPr>
                <w:rFonts w:cs="Arial"/>
                <w:b/>
              </w:rPr>
              <w:t>µ</w:t>
            </w:r>
            <w:r>
              <w:rPr>
                <w:b/>
              </w:rPr>
              <w:t>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122F45" w:rsidRPr="004C23F4" w14:paraId="2774DB09" w14:textId="77777777" w:rsidTr="00122F45">
        <w:trPr>
          <w:cantSplit/>
        </w:trPr>
        <w:tc>
          <w:tcPr>
            <w:tcW w:w="4010" w:type="dxa"/>
            <w:vAlign w:val="center"/>
          </w:tcPr>
          <w:p w14:paraId="570AD102" w14:textId="77777777" w:rsidR="00122F45" w:rsidRPr="002C58FF" w:rsidRDefault="00122F45" w:rsidP="00122F4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50121A7" w14:textId="77777777" w:rsidR="00122F45" w:rsidRPr="00EB3D1B" w:rsidRDefault="00122F45" w:rsidP="00122F45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22F45" w:rsidRPr="004C23F4" w14:paraId="25D2C873" w14:textId="77777777" w:rsidTr="00122F45">
        <w:trPr>
          <w:cantSplit/>
        </w:trPr>
        <w:tc>
          <w:tcPr>
            <w:tcW w:w="4010" w:type="dxa"/>
            <w:vAlign w:val="center"/>
          </w:tcPr>
          <w:p w14:paraId="4903BA2A" w14:textId="77777777" w:rsidR="00122F45" w:rsidRPr="002C58FF" w:rsidRDefault="00122F45" w:rsidP="00122F45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F09CB8E" w14:textId="77777777" w:rsidR="00122F45" w:rsidRPr="00EB3D1B" w:rsidRDefault="00122F45" w:rsidP="00122F45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22F45" w:rsidRPr="004C23F4" w14:paraId="491384D8" w14:textId="77777777" w:rsidTr="00122F45">
        <w:trPr>
          <w:cantSplit/>
        </w:trPr>
        <w:tc>
          <w:tcPr>
            <w:tcW w:w="4010" w:type="dxa"/>
          </w:tcPr>
          <w:p w14:paraId="2260B0A8" w14:textId="77777777" w:rsidR="00122F45" w:rsidRPr="002C58FF" w:rsidRDefault="00122F45" w:rsidP="00122F4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7265DE71" w14:textId="353D8235" w:rsidR="00122F45" w:rsidRPr="00EB3D1B" w:rsidRDefault="00500623" w:rsidP="00122F45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Carc 1B, </w:t>
            </w:r>
            <w:r w:rsidR="00301FD8">
              <w:rPr>
                <w:b/>
              </w:rPr>
              <w:t>Sk., DSEN</w:t>
            </w:r>
            <w:r>
              <w:rPr>
                <w:b/>
              </w:rPr>
              <w:t xml:space="preserve"> </w:t>
            </w:r>
          </w:p>
        </w:tc>
      </w:tr>
      <w:tr w:rsidR="002C7AFE" w:rsidRPr="004C23F4" w14:paraId="4E745177" w14:textId="77777777" w:rsidTr="00122F45">
        <w:trPr>
          <w:cantSplit/>
        </w:trPr>
        <w:tc>
          <w:tcPr>
            <w:tcW w:w="4010" w:type="dxa"/>
            <w:vAlign w:val="center"/>
          </w:tcPr>
          <w:p w14:paraId="0CDC2C9C" w14:textId="77777777" w:rsidR="00F10C97" w:rsidRPr="002C58FF" w:rsidRDefault="00921DE7" w:rsidP="009F04D2">
            <w:pPr>
              <w:pStyle w:val="Tablerowright"/>
            </w:pPr>
            <w:r w:rsidRPr="0045522C">
              <w:t>IDLH:</w:t>
            </w:r>
          </w:p>
        </w:tc>
        <w:tc>
          <w:tcPr>
            <w:tcW w:w="5016" w:type="dxa"/>
          </w:tcPr>
          <w:p w14:paraId="75A823DA" w14:textId="54453ACA" w:rsidR="00924CD9" w:rsidRPr="00B47199" w:rsidRDefault="0045522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22F45" w:rsidRPr="004C23F4" w14:paraId="324C73A9" w14:textId="77777777" w:rsidTr="00122F45">
        <w:trPr>
          <w:cantSplit/>
        </w:trPr>
        <w:tc>
          <w:tcPr>
            <w:tcW w:w="4010" w:type="dxa"/>
            <w:vAlign w:val="center"/>
          </w:tcPr>
          <w:p w14:paraId="5F661207" w14:textId="77777777" w:rsidR="00122F45" w:rsidRDefault="00122F45" w:rsidP="00FB5675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69CE818A" w14:textId="136F0669" w:rsidR="00122F45" w:rsidRPr="00FB5675" w:rsidRDefault="00122F45" w:rsidP="00122F45">
            <w:pPr>
              <w:pStyle w:val="Tablefont"/>
              <w:rPr>
                <w:b/>
              </w:rPr>
            </w:pPr>
          </w:p>
        </w:tc>
      </w:tr>
    </w:tbl>
    <w:p w14:paraId="39FDDCC8" w14:textId="6D75604E" w:rsidR="00CB1CB1" w:rsidRDefault="00F10C97" w:rsidP="003365A5">
      <w:pPr>
        <w:pStyle w:val="Heading2"/>
      </w:pPr>
      <w:r>
        <w:t>Recommendation and basis for workplace exposure standard</w:t>
      </w:r>
    </w:p>
    <w:p w14:paraId="4AFC7903" w14:textId="1585D3B6" w:rsidR="00500623" w:rsidRPr="00500623" w:rsidRDefault="00500623" w:rsidP="00500623">
      <w:pPr>
        <w:rPr>
          <w:lang w:eastAsia="en-AU"/>
        </w:rPr>
      </w:pPr>
      <w:r>
        <w:rPr>
          <w:lang w:eastAsia="en-AU"/>
        </w:rPr>
        <w:t>A TWA of 0.007 µg/m</w:t>
      </w:r>
      <w:r>
        <w:rPr>
          <w:vertAlign w:val="superscript"/>
          <w:lang w:eastAsia="en-AU"/>
        </w:rPr>
        <w:t>3</w:t>
      </w:r>
      <w:r w:rsidRPr="00500623">
        <w:rPr>
          <w:lang w:eastAsia="en-AU"/>
        </w:rPr>
        <w:t xml:space="preserve"> is recommended to reduce the risk of cancer in exposed workers.</w:t>
      </w:r>
    </w:p>
    <w:p w14:paraId="6C362434" w14:textId="63C6C532" w:rsidR="00C7155E" w:rsidRDefault="00F10C97" w:rsidP="003365A5">
      <w:pPr>
        <w:pStyle w:val="Heading2"/>
      </w:pPr>
      <w:r>
        <w:t>Discussion and conclusions</w:t>
      </w:r>
    </w:p>
    <w:p w14:paraId="4CB9BB74" w14:textId="7256C96D" w:rsidR="008F47FA" w:rsidRDefault="00500623" w:rsidP="00500623">
      <w:pPr>
        <w:rPr>
          <w:lang w:eastAsia="en-AU"/>
        </w:rPr>
      </w:pPr>
      <w:r>
        <w:rPr>
          <w:lang w:eastAsia="en-AU"/>
        </w:rPr>
        <w:t>Hexavalent chromium (Cr</w:t>
      </w:r>
      <w:r w:rsidR="00FD70DF">
        <w:rPr>
          <w:lang w:eastAsia="en-AU"/>
        </w:rPr>
        <w:t>[</w:t>
      </w:r>
      <w:r>
        <w:rPr>
          <w:lang w:eastAsia="en-AU"/>
        </w:rPr>
        <w:t>VI</w:t>
      </w:r>
      <w:r w:rsidR="00FD70DF">
        <w:rPr>
          <w:lang w:eastAsia="en-AU"/>
        </w:rPr>
        <w:t>]</w:t>
      </w:r>
      <w:r>
        <w:rPr>
          <w:lang w:eastAsia="en-AU"/>
        </w:rPr>
        <w:t xml:space="preserve">) compounds </w:t>
      </w:r>
      <w:r w:rsidR="00A64D47">
        <w:rPr>
          <w:lang w:eastAsia="en-AU"/>
        </w:rPr>
        <w:t xml:space="preserve">have been used in pigments in a </w:t>
      </w:r>
      <w:r>
        <w:rPr>
          <w:lang w:eastAsia="en-AU"/>
        </w:rPr>
        <w:t xml:space="preserve">range of products and applications. </w:t>
      </w:r>
    </w:p>
    <w:p w14:paraId="4AD7DFC1" w14:textId="71480BAC" w:rsidR="00500623" w:rsidRDefault="00E4323C" w:rsidP="00500623">
      <w:pPr>
        <w:rPr>
          <w:lang w:eastAsia="en-AU"/>
        </w:rPr>
      </w:pPr>
      <w:r w:rsidRPr="00ED27B3">
        <w:t xml:space="preserve">Water-soluble Cr(VI) compounds are highly irritating to the </w:t>
      </w:r>
      <w:r w:rsidR="006E1203">
        <w:t>skin</w:t>
      </w:r>
      <w:r w:rsidRPr="00ED27B3">
        <w:t xml:space="preserve"> and mucous membranes</w:t>
      </w:r>
      <w:r>
        <w:t xml:space="preserve"> </w:t>
      </w:r>
      <w:r w:rsidRPr="00ED27B3">
        <w:t>and may cause sensitisation of the skin and respiratory tract</w:t>
      </w:r>
      <w:r>
        <w:t xml:space="preserve">. </w:t>
      </w:r>
      <w:r w:rsidR="00500623">
        <w:rPr>
          <w:lang w:eastAsia="en-AU"/>
        </w:rPr>
        <w:t>Based on evidence in animals and humans, Cr(VI) is c</w:t>
      </w:r>
      <w:r w:rsidR="006E1203">
        <w:rPr>
          <w:lang w:eastAsia="en-AU"/>
        </w:rPr>
        <w:t>haracterised</w:t>
      </w:r>
      <w:r w:rsidR="00500623">
        <w:rPr>
          <w:lang w:eastAsia="en-AU"/>
        </w:rPr>
        <w:t xml:space="preserve"> a non-threshold based genotoxic carcinogen (ACGIH, 2018; DFG, 2016; US EPA, 1998). Its carcinogenicity is demonstrated to act </w:t>
      </w:r>
      <w:r w:rsidR="00500623" w:rsidRPr="00FB5675">
        <w:rPr>
          <w:i/>
          <w:lang w:eastAsia="en-AU"/>
        </w:rPr>
        <w:t>via</w:t>
      </w:r>
      <w:r w:rsidR="00500623">
        <w:rPr>
          <w:lang w:eastAsia="en-AU"/>
        </w:rPr>
        <w:t xml:space="preserve"> a mutagenic mode of action. </w:t>
      </w:r>
    </w:p>
    <w:p w14:paraId="6E1EBE16" w14:textId="0725AEF7" w:rsidR="00025BA8" w:rsidRDefault="00FD70DF" w:rsidP="00500623">
      <w:pPr>
        <w:rPr>
          <w:lang w:eastAsia="en-AU"/>
        </w:rPr>
      </w:pPr>
      <w:r>
        <w:rPr>
          <w:lang w:eastAsia="en-AU"/>
        </w:rPr>
        <w:t>T</w:t>
      </w:r>
      <w:r w:rsidR="00500623">
        <w:rPr>
          <w:lang w:eastAsia="en-AU"/>
        </w:rPr>
        <w:t xml:space="preserve">he recommended TWA </w:t>
      </w:r>
      <w:r w:rsidR="004E6536">
        <w:rPr>
          <w:lang w:eastAsia="en-AU"/>
        </w:rPr>
        <w:t xml:space="preserve">of 0.007 </w:t>
      </w:r>
      <w:r w:rsidR="004E6536" w:rsidRPr="004E6536">
        <w:rPr>
          <w:lang w:eastAsia="en-AU"/>
        </w:rPr>
        <w:t>µg/m³</w:t>
      </w:r>
      <w:r w:rsidR="004E6536">
        <w:rPr>
          <w:lang w:eastAsia="en-AU"/>
        </w:rPr>
        <w:t xml:space="preserve"> </w:t>
      </w:r>
      <w:r w:rsidR="00500623">
        <w:rPr>
          <w:lang w:eastAsia="en-AU"/>
        </w:rPr>
        <w:t xml:space="preserve">has been </w:t>
      </w:r>
      <w:r w:rsidR="006E1203">
        <w:rPr>
          <w:lang w:eastAsia="en-AU"/>
        </w:rPr>
        <w:t>calculated</w:t>
      </w:r>
      <w:r w:rsidR="00500623">
        <w:rPr>
          <w:lang w:eastAsia="en-AU"/>
        </w:rPr>
        <w:t xml:space="preserve"> at a minimal cancer risk level applying an</w:t>
      </w:r>
      <w:r w:rsidR="00E217EA">
        <w:rPr>
          <w:lang w:eastAsia="en-AU"/>
        </w:rPr>
        <w:t xml:space="preserve"> inhalation </w:t>
      </w:r>
      <w:r w:rsidR="00A8260A">
        <w:rPr>
          <w:lang w:eastAsia="en-AU"/>
        </w:rPr>
        <w:t>unit risk value</w:t>
      </w:r>
      <w:r w:rsidR="00E217EA">
        <w:rPr>
          <w:lang w:eastAsia="en-AU"/>
        </w:rPr>
        <w:t xml:space="preserve">. </w:t>
      </w:r>
      <w:r w:rsidR="00500623">
        <w:rPr>
          <w:lang w:eastAsia="en-AU"/>
        </w:rPr>
        <w:t xml:space="preserve">This </w:t>
      </w:r>
      <w:r w:rsidR="00A8260A">
        <w:rPr>
          <w:lang w:eastAsia="en-AU"/>
        </w:rPr>
        <w:t xml:space="preserve">value </w:t>
      </w:r>
      <w:r w:rsidR="00500623">
        <w:rPr>
          <w:lang w:eastAsia="en-AU"/>
        </w:rPr>
        <w:t>is based on data from a study reporting an increased risk of lung cancer in exposed workers (US</w:t>
      </w:r>
      <w:r w:rsidR="00F8238F">
        <w:rPr>
          <w:lang w:eastAsia="en-AU"/>
        </w:rPr>
        <w:t xml:space="preserve"> </w:t>
      </w:r>
      <w:r w:rsidR="00500623">
        <w:rPr>
          <w:lang w:eastAsia="en-AU"/>
        </w:rPr>
        <w:t>EPA, 1998).</w:t>
      </w:r>
      <w:r w:rsidR="00B439D4">
        <w:rPr>
          <w:lang w:eastAsia="en-AU"/>
        </w:rPr>
        <w:t xml:space="preserve"> </w:t>
      </w:r>
    </w:p>
    <w:p w14:paraId="50C5854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49632C8" w14:textId="215E2DCA" w:rsidR="00484CEA" w:rsidRPr="00500623" w:rsidRDefault="00500623" w:rsidP="00484CEA">
      <w:pPr>
        <w:rPr>
          <w:rFonts w:cs="Arial"/>
        </w:rPr>
      </w:pPr>
      <w:r w:rsidRPr="00500623">
        <w:rPr>
          <w:rFonts w:cs="Arial"/>
        </w:rPr>
        <w:t>C</w:t>
      </w:r>
      <w:r w:rsidR="00484CEA" w:rsidRPr="00500623">
        <w:rPr>
          <w:rFonts w:cs="Arial"/>
        </w:rPr>
        <w:t>lassified as a carcinogen</w:t>
      </w:r>
      <w:r w:rsidRPr="00500623">
        <w:rPr>
          <w:rFonts w:cs="Arial"/>
        </w:rPr>
        <w:t xml:space="preserve"> category 1B</w:t>
      </w:r>
      <w:r w:rsidR="00484CEA" w:rsidRPr="00500623">
        <w:rPr>
          <w:rFonts w:cs="Arial"/>
        </w:rPr>
        <w:t xml:space="preserve"> according to the Globally Harmonized System of Classification and Labelling on Chemicals (GHS). </w:t>
      </w:r>
    </w:p>
    <w:p w14:paraId="5126FB85" w14:textId="45CBCFAD" w:rsidR="00484CEA" w:rsidRPr="00500623" w:rsidRDefault="00500623" w:rsidP="00484CEA">
      <w:pPr>
        <w:rPr>
          <w:rFonts w:cs="Arial"/>
        </w:rPr>
      </w:pPr>
      <w:r w:rsidRPr="00500623">
        <w:rPr>
          <w:rFonts w:cs="Arial"/>
        </w:rPr>
        <w:t>Classified as a skin sensitiser but not a</w:t>
      </w:r>
      <w:r w:rsidR="00484CEA" w:rsidRPr="00500623">
        <w:rPr>
          <w:rFonts w:cs="Arial"/>
        </w:rPr>
        <w:t xml:space="preserve"> respiratory sensitiser according to the GHS.</w:t>
      </w:r>
    </w:p>
    <w:p w14:paraId="5F8C077D" w14:textId="1CFE5C62" w:rsidR="004529F0" w:rsidRPr="004C23F4" w:rsidRDefault="006E1203" w:rsidP="00484CEA">
      <w:pPr>
        <w:rPr>
          <w:rFonts w:cs="Arial"/>
        </w:rPr>
      </w:pPr>
      <w:r>
        <w:rPr>
          <w:rFonts w:cs="Arial"/>
        </w:rPr>
        <w:t>A s</w:t>
      </w:r>
      <w:r w:rsidR="00500623" w:rsidRPr="00500623">
        <w:rPr>
          <w:rFonts w:cs="Arial"/>
        </w:rPr>
        <w:t xml:space="preserve">kin notation </w:t>
      </w:r>
      <w:r>
        <w:rPr>
          <w:rFonts w:cs="Arial"/>
        </w:rPr>
        <w:t xml:space="preserve">is </w:t>
      </w:r>
      <w:r w:rsidR="00500623" w:rsidRPr="00500623">
        <w:rPr>
          <w:rFonts w:cs="Arial"/>
        </w:rPr>
        <w:t>recommend</w:t>
      </w:r>
      <w:r w:rsidR="004241F3">
        <w:rPr>
          <w:rFonts w:cs="Arial"/>
        </w:rPr>
        <w:t>ed</w:t>
      </w:r>
      <w:r w:rsidR="00500623" w:rsidRPr="00500623">
        <w:rPr>
          <w:rFonts w:cs="Arial"/>
        </w:rPr>
        <w:t xml:space="preserve"> based on evidence </w:t>
      </w:r>
      <w:r w:rsidR="006E388B">
        <w:rPr>
          <w:rFonts w:cs="Arial"/>
        </w:rPr>
        <w:t xml:space="preserve">of dermal absorption </w:t>
      </w:r>
      <w:r w:rsidR="00500623" w:rsidRPr="00500623">
        <w:rPr>
          <w:rFonts w:cs="Arial"/>
        </w:rPr>
        <w:t>in animals</w:t>
      </w:r>
      <w:r w:rsidR="00484CEA" w:rsidRPr="00500623">
        <w:rPr>
          <w:rFonts w:cs="Arial"/>
        </w:rPr>
        <w:t>.</w:t>
      </w:r>
    </w:p>
    <w:p w14:paraId="1A082F03" w14:textId="77777777" w:rsidR="0025734A" w:rsidRPr="004C23F4" w:rsidRDefault="0025734A">
      <w:pPr>
        <w:rPr>
          <w:rFonts w:cs="Arial"/>
        </w:rPr>
      </w:pPr>
    </w:p>
    <w:p w14:paraId="47004F7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F49B9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00194C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0C52CB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7B61EB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4EAF4B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75076D1" w14:textId="0DF1E1C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Content>
                <w:r w:rsidR="00227BF3">
                  <w:rPr>
                    <w:rStyle w:val="PlaceholderText"/>
                  </w:rPr>
                  <w:t>Y</w:t>
                </w:r>
                <w:r w:rsidR="00227BF3" w:rsidRPr="003365A5">
                  <w:rPr>
                    <w:rStyle w:val="PlaceholderText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227BF3">
                  <w:t xml:space="preserve">TWA: </w:t>
                </w:r>
              </w:sdtContent>
            </w:sdt>
            <w:r w:rsidR="00301FD8">
              <w:t>0.05</w:t>
            </w:r>
            <w:r w:rsidR="006F70A6">
              <w:t xml:space="preserve"> </w:t>
            </w:r>
            <w:r w:rsidR="00301FD8">
              <w:t>mg/m</w:t>
            </w:r>
            <w:r w:rsidR="00301FD8" w:rsidRPr="00561636">
              <w:rPr>
                <w:vertAlign w:val="superscript"/>
              </w:rPr>
              <w:t>3</w:t>
            </w:r>
          </w:p>
        </w:tc>
      </w:tr>
      <w:tr w:rsidR="00C978F0" w:rsidRPr="00DA352E" w14:paraId="6A86B07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0A6D2C" w14:textId="51CAE87A" w:rsidR="00C978F0" w:rsidRPr="00227BF3" w:rsidRDefault="00C978F0" w:rsidP="00227BF3"/>
        </w:tc>
      </w:tr>
      <w:tr w:rsidR="00C978F0" w:rsidRPr="00DA352E" w14:paraId="0918BD0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2D8373" w14:textId="4672446A" w:rsidR="00C978F0" w:rsidRPr="00DA352E" w:rsidRDefault="00DA352E" w:rsidP="003B117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DB1A2F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72033B">
                  <w:t>TLV</w:t>
                </w:r>
                <w:r w:rsidR="00FD70DF">
                  <w:t>-</w:t>
                </w:r>
                <w:r w:rsidR="0072033B">
                  <w:t>TWA:</w:t>
                </w:r>
                <w:r w:rsidR="00ED27B3">
                  <w:t xml:space="preserve"> 0.0002 mg/m</w:t>
                </w:r>
                <w:r w:rsidR="002A1752" w:rsidRPr="00DB1A2F">
                  <w:rPr>
                    <w:vertAlign w:val="superscript"/>
                  </w:rPr>
                  <w:t>3</w:t>
                </w:r>
                <w:r w:rsidR="002A1752">
                  <w:t>,</w:t>
                </w:r>
                <w:r w:rsidR="00ED27B3">
                  <w:t xml:space="preserve"> as Cr(VI</w:t>
                </w:r>
                <w:r w:rsidR="00BE2107">
                  <w:t xml:space="preserve">), Inhalable particulate </w:t>
                </w:r>
                <w:r w:rsidR="00F652A7">
                  <w:t>matter</w:t>
                </w:r>
                <w:r w:rsidR="006E1203">
                  <w:br/>
                </w:r>
                <w:r w:rsidR="00F652A7">
                  <w:t>TLV</w:t>
                </w:r>
                <w:r w:rsidR="00FD70DF">
                  <w:t>-</w:t>
                </w:r>
                <w:r w:rsidR="00ED27B3">
                  <w:t>STEL, 0.0005 mg/m</w:t>
                </w:r>
                <w:r w:rsidR="002A1752" w:rsidRPr="00DB1A2F">
                  <w:rPr>
                    <w:vertAlign w:val="superscript"/>
                  </w:rPr>
                  <w:t>3</w:t>
                </w:r>
                <w:r w:rsidR="002A1752">
                  <w:t>,</w:t>
                </w:r>
                <w:r w:rsidR="00ED27B3">
                  <w:t xml:space="preserve"> as Cr(VI), Inhalable particulate matter</w:t>
                </w:r>
              </w:sdtContent>
            </w:sdt>
          </w:p>
        </w:tc>
      </w:tr>
      <w:tr w:rsidR="00C978F0" w:rsidRPr="00DA352E" w14:paraId="67C350F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539536" w14:textId="27E0067A" w:rsidR="000410CE" w:rsidRPr="00ED27B3" w:rsidRDefault="000410CE" w:rsidP="000410CE">
            <w:pPr>
              <w:pStyle w:val="Tabletextprimarysource"/>
            </w:pPr>
            <w:r w:rsidRPr="00ED27B3">
              <w:t>TLV-TWA</w:t>
            </w:r>
            <w:r w:rsidR="005A4466" w:rsidRPr="00ED27B3">
              <w:t xml:space="preserve"> and TLV-STEL </w:t>
            </w:r>
            <w:r w:rsidRPr="00ED27B3">
              <w:t xml:space="preserve">recommended to </w:t>
            </w:r>
            <w:r w:rsidR="005A4466" w:rsidRPr="00ED27B3">
              <w:t xml:space="preserve">protect for severe irritation of the upper and lower respiratory tract and from decreases in lung function in exposed workers. </w:t>
            </w:r>
            <w:r w:rsidR="006E1203">
              <w:t>TLV-TWA and TLV-STEL also expected to</w:t>
            </w:r>
            <w:r w:rsidR="005A4466" w:rsidRPr="00ED27B3">
              <w:t xml:space="preserve"> </w:t>
            </w:r>
            <w:r w:rsidR="00370A2C" w:rsidRPr="00ED27B3">
              <w:t>minimise respiratory sensitisation and reduce the likelihood of asthmatic responses in sensitised individuals</w:t>
            </w:r>
            <w:r w:rsidRPr="00ED27B3">
              <w:t>.</w:t>
            </w:r>
          </w:p>
          <w:p w14:paraId="62B438BC" w14:textId="7393997C" w:rsidR="005F5A03" w:rsidRDefault="000410CE" w:rsidP="000410CE">
            <w:pPr>
              <w:pStyle w:val="Tabletextprimarysource"/>
            </w:pPr>
            <w:r w:rsidRPr="00ED27B3">
              <w:t>Summary of data:</w:t>
            </w:r>
          </w:p>
          <w:p w14:paraId="46ACAEA8" w14:textId="707CA553" w:rsidR="005A4466" w:rsidRPr="00ED27B3" w:rsidRDefault="00A2596E" w:rsidP="00A2596E">
            <w:pPr>
              <w:pStyle w:val="Tabletextprimarysource"/>
            </w:pPr>
            <w:r w:rsidRPr="00ED27B3">
              <w:t xml:space="preserve">Water-soluble Cr(VI) compounds are highly irritating to the </w:t>
            </w:r>
            <w:r w:rsidR="006E1203">
              <w:t>skin</w:t>
            </w:r>
            <w:r w:rsidRPr="00ED27B3">
              <w:t xml:space="preserve"> and mucous membranes</w:t>
            </w:r>
            <w:r w:rsidR="00FD63BA">
              <w:t xml:space="preserve"> </w:t>
            </w:r>
            <w:r w:rsidRPr="00ED27B3">
              <w:t xml:space="preserve">and </w:t>
            </w:r>
            <w:r w:rsidR="00C725DA" w:rsidRPr="00ED27B3">
              <w:t>may cause sensitis</w:t>
            </w:r>
            <w:r w:rsidRPr="00ED27B3">
              <w:t>ation of the skin and respiratory tract</w:t>
            </w:r>
            <w:r w:rsidR="00FD70DF">
              <w:t>.</w:t>
            </w:r>
          </w:p>
          <w:p w14:paraId="7B950C18" w14:textId="77777777" w:rsidR="00A2596E" w:rsidRPr="00ED27B3" w:rsidRDefault="00A2596E" w:rsidP="00A2596E">
            <w:pPr>
              <w:pStyle w:val="Tabletextprimarysource"/>
            </w:pPr>
            <w:r w:rsidRPr="00ED27B3">
              <w:t>Human data:</w:t>
            </w:r>
          </w:p>
          <w:p w14:paraId="698BC1AC" w14:textId="4546A264" w:rsidR="00A2596E" w:rsidRPr="00ED27B3" w:rsidRDefault="006E1203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R</w:t>
            </w:r>
            <w:r w:rsidR="00A3414E" w:rsidRPr="00ED27B3">
              <w:t xml:space="preserve">etrospective cohort study identified corrosive nasal and ear effects occurring within </w:t>
            </w:r>
            <w:r w:rsidRPr="00ED27B3">
              <w:t>1</w:t>
            </w:r>
            <w:r>
              <w:t> </w:t>
            </w:r>
            <w:r w:rsidR="00A3414E" w:rsidRPr="00ED27B3">
              <w:t>mo following the onset of exposure to median exposures of 0.010</w:t>
            </w:r>
            <w:r w:rsidR="00FD70DF">
              <w:t>–</w:t>
            </w:r>
            <w:r w:rsidR="00A3414E" w:rsidRPr="00ED27B3">
              <w:t>0.015 mg/m</w:t>
            </w:r>
            <w:r w:rsidR="00A3414E" w:rsidRPr="00ED27B3">
              <w:rPr>
                <w:vertAlign w:val="superscript"/>
              </w:rPr>
              <w:t>3</w:t>
            </w:r>
          </w:p>
          <w:p w14:paraId="55811B08" w14:textId="34B1C666" w:rsidR="006E1203" w:rsidRDefault="00231DA2" w:rsidP="00FB5675">
            <w:pPr>
              <w:pStyle w:val="ListBullet"/>
              <w:spacing w:before="60" w:after="60"/>
              <w:ind w:left="1077" w:hanging="357"/>
              <w:contextualSpacing w:val="0"/>
            </w:pPr>
            <w:r w:rsidRPr="00ED27B3">
              <w:t>Significant excess rates for nasal irritation, mucosal atrophy and ulceration and decreased lung function in workers exposed to mean 8-h</w:t>
            </w:r>
            <w:r w:rsidR="00561636">
              <w:t xml:space="preserve"> </w:t>
            </w:r>
            <w:r w:rsidRPr="00ED27B3">
              <w:t>TWA of 0.002</w:t>
            </w:r>
            <w:r w:rsidR="00FD70DF">
              <w:t>–</w:t>
            </w:r>
            <w:r w:rsidRPr="00ED27B3">
              <w:t>0.020 mg/m</w:t>
            </w:r>
            <w:r w:rsidRPr="00ED27B3">
              <w:rPr>
                <w:vertAlign w:val="superscript"/>
              </w:rPr>
              <w:t>3</w:t>
            </w:r>
          </w:p>
          <w:p w14:paraId="3485A0B8" w14:textId="43D9CFDC" w:rsidR="00A3414E" w:rsidRPr="00ED27B3" w:rsidRDefault="00231DA2" w:rsidP="00FB5675">
            <w:pPr>
              <w:pStyle w:val="ListBullet"/>
              <w:numPr>
                <w:ilvl w:val="0"/>
                <w:numId w:val="2"/>
              </w:numPr>
            </w:pPr>
            <w:r w:rsidRPr="00ED27B3">
              <w:t xml:space="preserve">nasal irritation and signs of mucosal atrophy at levels </w:t>
            </w:r>
            <w:r w:rsidR="00561636">
              <w:t>&lt;</w:t>
            </w:r>
            <w:r w:rsidRPr="00ED27B3">
              <w:t>0.002</w:t>
            </w:r>
            <w:r w:rsidR="00F50308">
              <w:t> </w:t>
            </w:r>
            <w:r w:rsidRPr="00ED27B3">
              <w:t>mg/m</w:t>
            </w:r>
            <w:r w:rsidRPr="00ED27B3">
              <w:rPr>
                <w:vertAlign w:val="superscript"/>
              </w:rPr>
              <w:t>3</w:t>
            </w:r>
            <w:r w:rsidRPr="00ED27B3">
              <w:t xml:space="preserve"> (8-h TWA)</w:t>
            </w:r>
          </w:p>
          <w:p w14:paraId="226BEE09" w14:textId="015881EA" w:rsidR="00F51193" w:rsidRPr="00ED27B3" w:rsidRDefault="00F51193" w:rsidP="00FB5675">
            <w:pPr>
              <w:pStyle w:val="ListBullet"/>
              <w:spacing w:before="60" w:after="60"/>
              <w:ind w:left="1077" w:hanging="357"/>
              <w:contextualSpacing w:val="0"/>
            </w:pPr>
            <w:r w:rsidRPr="00ED27B3">
              <w:t>NOAEL of 0.0002</w:t>
            </w:r>
            <w:r w:rsidR="00FD70DF">
              <w:t>–</w:t>
            </w:r>
            <w:r w:rsidRPr="00ED27B3">
              <w:t>0.0012 mg/m</w:t>
            </w:r>
            <w:r w:rsidRPr="00ED27B3">
              <w:rPr>
                <w:vertAlign w:val="superscript"/>
              </w:rPr>
              <w:t>3</w:t>
            </w:r>
            <w:r w:rsidR="008F47FA">
              <w:rPr>
                <w:vertAlign w:val="superscript"/>
              </w:rPr>
              <w:t xml:space="preserve"> </w:t>
            </w:r>
            <w:r w:rsidR="008F47FA">
              <w:t>for respiratory effects</w:t>
            </w:r>
          </w:p>
          <w:p w14:paraId="0D490E28" w14:textId="3B7C98B8" w:rsidR="00CD05A6" w:rsidRDefault="00CD05A6" w:rsidP="00FB5675">
            <w:pPr>
              <w:pStyle w:val="ListBullet"/>
              <w:spacing w:before="60" w:after="60"/>
              <w:ind w:left="1077" w:hanging="357"/>
              <w:contextualSpacing w:val="0"/>
            </w:pPr>
            <w:r w:rsidRPr="00ED27B3">
              <w:t xml:space="preserve">Water soluble Cr(VI) is readily absorbed </w:t>
            </w:r>
            <w:r w:rsidRPr="00FB5675">
              <w:rPr>
                <w:i/>
              </w:rPr>
              <w:t>via</w:t>
            </w:r>
            <w:r w:rsidRPr="00ED27B3">
              <w:t xml:space="preserve"> skin and detected by increased </w:t>
            </w:r>
            <w:r w:rsidR="006E1203">
              <w:t>Cr</w:t>
            </w:r>
            <w:r w:rsidR="006E1203" w:rsidRPr="00ED27B3">
              <w:t xml:space="preserve"> </w:t>
            </w:r>
            <w:r w:rsidRPr="00ED27B3">
              <w:t>excretion in urine</w:t>
            </w:r>
          </w:p>
          <w:p w14:paraId="6EF0E321" w14:textId="5E2D1663" w:rsidR="001335AC" w:rsidRDefault="00561636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A</w:t>
            </w:r>
            <w:r w:rsidR="001335AC">
              <w:t>cknowledged that</w:t>
            </w:r>
            <w:r w:rsidR="002A1752">
              <w:t xml:space="preserve"> Cr(VI) compounds </w:t>
            </w:r>
            <w:r w:rsidR="001335AC">
              <w:t>cause lung and sinonasal cancers in</w:t>
            </w:r>
            <w:r w:rsidR="002A1752">
              <w:t xml:space="preserve"> human</w:t>
            </w:r>
            <w:r w:rsidR="001335AC">
              <w:t>s</w:t>
            </w:r>
          </w:p>
          <w:p w14:paraId="5B28258F" w14:textId="35FB92DA" w:rsidR="002A1752" w:rsidRDefault="001335AC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Reported an excess risk of lung cancer death estimated at 1</w:t>
            </w:r>
            <w:r w:rsidR="00F50308">
              <w:t>/</w:t>
            </w:r>
            <w:r>
              <w:t>1,000 workers exposed to 0.0002 mg/m</w:t>
            </w:r>
            <w:r>
              <w:rPr>
                <w:vertAlign w:val="superscript"/>
              </w:rPr>
              <w:t>3</w:t>
            </w:r>
          </w:p>
          <w:p w14:paraId="513D1649" w14:textId="46D06783" w:rsidR="00FD70DF" w:rsidRDefault="001335AC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Reported a risk of lung cancer deaths of 2</w:t>
            </w:r>
            <w:r w:rsidR="00F50308">
              <w:t>/</w:t>
            </w:r>
            <w:r>
              <w:t>1,000 workers exposed to 0.001 mg/m</w:t>
            </w:r>
            <w:r w:rsidRPr="001335AC">
              <w:rPr>
                <w:vertAlign w:val="superscript"/>
              </w:rPr>
              <w:t>3</w:t>
            </w:r>
            <w:r>
              <w:t xml:space="preserve"> for a working lifetime</w:t>
            </w:r>
            <w:r w:rsidR="00FD70DF">
              <w:t>.</w:t>
            </w:r>
          </w:p>
          <w:p w14:paraId="4330C10B" w14:textId="7352F991" w:rsidR="00A2596E" w:rsidRPr="00ED27B3" w:rsidRDefault="00A2596E" w:rsidP="00A2596E">
            <w:pPr>
              <w:pStyle w:val="Tabletextprimarysource"/>
            </w:pPr>
            <w:r w:rsidRPr="00ED27B3">
              <w:t>Animal data:</w:t>
            </w:r>
          </w:p>
          <w:p w14:paraId="723D924A" w14:textId="441FE408" w:rsidR="00A2596E" w:rsidRPr="00ED27B3" w:rsidRDefault="00A2596E" w:rsidP="00FB5675">
            <w:pPr>
              <w:pStyle w:val="ListBullet"/>
              <w:spacing w:before="60" w:after="60"/>
              <w:ind w:left="1080" w:hanging="357"/>
              <w:contextualSpacing w:val="0"/>
            </w:pPr>
            <w:r w:rsidRPr="00ED27B3">
              <w:t>LOAEL of 0.096 mg/m</w:t>
            </w:r>
            <w:r w:rsidRPr="00ED27B3">
              <w:rPr>
                <w:vertAlign w:val="superscript"/>
              </w:rPr>
              <w:t xml:space="preserve">3 </w:t>
            </w:r>
            <w:r w:rsidRPr="00ED27B3">
              <w:t>Cr(VI)</w:t>
            </w:r>
            <w:r w:rsidR="00397EE1">
              <w:t xml:space="preserve"> </w:t>
            </w:r>
            <w:r w:rsidRPr="00ED27B3">
              <w:t>for persistent inflammatory changes in the lungs in rats exposed for 30 and 90 d</w:t>
            </w:r>
            <w:r w:rsidR="00397EE1">
              <w:t>; adjusted to 8 h/d, 5 d/wk equivalent</w:t>
            </w:r>
            <w:r w:rsidR="00FD70DF">
              <w:t>:</w:t>
            </w:r>
          </w:p>
          <w:p w14:paraId="582F9382" w14:textId="294472BE" w:rsidR="006E1203" w:rsidRDefault="00FD70DF" w:rsidP="00FB5675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a</w:t>
            </w:r>
            <w:r w:rsidR="00A2596E" w:rsidRPr="00ED27B3">
              <w:t xml:space="preserve"> human equivalent LOAEL of 0.002 mg/m</w:t>
            </w:r>
            <w:r w:rsidR="00A2596E" w:rsidRPr="00ED27B3">
              <w:rPr>
                <w:vertAlign w:val="superscript"/>
              </w:rPr>
              <w:t>3</w:t>
            </w:r>
            <w:r w:rsidR="008F56A6" w:rsidRPr="00ED27B3">
              <w:t xml:space="preserve"> derived using species-specific dosimetry modelling</w:t>
            </w:r>
          </w:p>
          <w:p w14:paraId="3324FBA8" w14:textId="14BAC4B3" w:rsidR="00A2596E" w:rsidRDefault="008F56A6" w:rsidP="00FB5675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 w:rsidRPr="00ED27B3">
              <w:t>further adjusted to obtain a NOAEL of 0.0002 mg/m</w:t>
            </w:r>
            <w:r w:rsidRPr="00ED27B3">
              <w:rPr>
                <w:vertAlign w:val="superscript"/>
              </w:rPr>
              <w:t>3</w:t>
            </w:r>
          </w:p>
          <w:p w14:paraId="24386D12" w14:textId="5C18B3D5" w:rsidR="00F019F8" w:rsidRDefault="00DB1A2F" w:rsidP="00FB5675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Dermal LD</w:t>
            </w:r>
            <w:r w:rsidRPr="00F019F8">
              <w:rPr>
                <w:vertAlign w:val="subscript"/>
              </w:rPr>
              <w:t>50</w:t>
            </w:r>
            <w:r>
              <w:t xml:space="preserve"> of 336</w:t>
            </w:r>
            <w:r w:rsidR="00FD70DF">
              <w:t>–</w:t>
            </w:r>
            <w:r>
              <w:t>763 mg/kg for female</w:t>
            </w:r>
            <w:r w:rsidR="00F019F8">
              <w:t xml:space="preserve"> and male</w:t>
            </w:r>
            <w:r>
              <w:t xml:space="preserve"> rabbits</w:t>
            </w:r>
            <w:r w:rsidR="00FD70DF">
              <w:t>.</w:t>
            </w:r>
            <w:r>
              <w:t xml:space="preserve"> </w:t>
            </w:r>
          </w:p>
          <w:p w14:paraId="16C53D7B" w14:textId="77777777" w:rsidR="00FD70DF" w:rsidRDefault="00FD70DF" w:rsidP="00FB567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565BC503" w14:textId="6187724A" w:rsidR="00397EE1" w:rsidRDefault="00397EE1" w:rsidP="00FB5675">
            <w:pPr>
              <w:pStyle w:val="ListBullet"/>
              <w:numPr>
                <w:ilvl w:val="0"/>
                <w:numId w:val="0"/>
              </w:numPr>
            </w:pPr>
            <w:r>
              <w:t>Genotoxicity data:</w:t>
            </w:r>
          </w:p>
          <w:p w14:paraId="63C4DEEA" w14:textId="456797FD" w:rsidR="00397EE1" w:rsidRDefault="00397EE1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Chromium species resulting from metabolic processing of Cr(VI) are capable of interaction with DNA to produce genotoxic and mutagenic effects</w:t>
            </w:r>
          </w:p>
          <w:p w14:paraId="15187EC0" w14:textId="49A41BE2" w:rsidR="00397EE1" w:rsidRPr="00035E38" w:rsidRDefault="00397EE1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Intracellular reduction of Cr(VI) produce DNA adducts, DNA-strand breaks, DNA-protein crosslinks, oxidized bases, abasic </w:t>
            </w:r>
            <w:r w:rsidRPr="00056766">
              <w:t xml:space="preserve">sites </w:t>
            </w:r>
            <w:r w:rsidR="00091F26" w:rsidRPr="00056766">
              <w:rPr>
                <w:rStyle w:val="e24kjd"/>
                <w:rFonts w:cs="Arial"/>
                <w:szCs w:val="20"/>
              </w:rPr>
              <w:t>(apurinic/apyrimidinic site)</w:t>
            </w:r>
            <w:r w:rsidR="00091F26" w:rsidRPr="00056766">
              <w:t xml:space="preserve"> </w:t>
            </w:r>
            <w:r>
              <w:t>and DNA inter- and intra-strand crosslinks and can lead to dysfunctional DNA replication and repair mechanisms</w:t>
            </w:r>
            <w:r w:rsidR="00F019F8">
              <w:t>.</w:t>
            </w:r>
          </w:p>
        </w:tc>
      </w:tr>
      <w:tr w:rsidR="00C978F0" w:rsidRPr="00DA352E" w14:paraId="59450B8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06A717" w14:textId="085B696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846927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r w:rsidR="00846927">
              <w:t>N</w:t>
            </w:r>
            <w:r w:rsidR="000A791F">
              <w:t>ot assigned</w:t>
            </w:r>
          </w:p>
        </w:tc>
      </w:tr>
      <w:tr w:rsidR="00C978F0" w:rsidRPr="00DA352E" w14:paraId="7C52A5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01EC97" w14:textId="47D56FB6" w:rsidR="00C725DA" w:rsidRDefault="00846927" w:rsidP="00846927">
            <w:pPr>
              <w:pStyle w:val="Tabletextprimarysource"/>
            </w:pPr>
            <w:r>
              <w:t>No recommended MAK due to confirmed carcinogenic properties</w:t>
            </w:r>
            <w:r w:rsidR="00561636">
              <w:t>.</w:t>
            </w:r>
          </w:p>
          <w:p w14:paraId="27B94D07" w14:textId="77777777" w:rsidR="00846927" w:rsidRDefault="00846927" w:rsidP="00227BF3">
            <w:pPr>
              <w:pStyle w:val="ListBullet"/>
              <w:numPr>
                <w:ilvl w:val="0"/>
                <w:numId w:val="0"/>
              </w:numPr>
            </w:pPr>
            <w:r>
              <w:t>Summary of additional data:</w:t>
            </w:r>
          </w:p>
          <w:p w14:paraId="0FC7F07C" w14:textId="6E2F3EE1" w:rsidR="00846927" w:rsidRDefault="00846927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Increased relative risk of mortality from lung cancer in chromate and chrome-plating plants</w:t>
            </w:r>
          </w:p>
          <w:p w14:paraId="686129E9" w14:textId="77777777" w:rsidR="00846927" w:rsidRDefault="00846927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Confirmed carcinogenic effects in animals</w:t>
            </w:r>
          </w:p>
          <w:p w14:paraId="7011D089" w14:textId="77777777" w:rsidR="00846927" w:rsidRDefault="00846927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Genotoxic in numerous studies with bacteria and mammalian cells</w:t>
            </w:r>
          </w:p>
          <w:p w14:paraId="0FB91A7D" w14:textId="48A28CB1" w:rsidR="00846927" w:rsidRDefault="00846927" w:rsidP="00FB5675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Chromium</w:t>
            </w:r>
            <w:r w:rsidR="00FD70DF">
              <w:t>-</w:t>
            </w:r>
            <w:r>
              <w:t>DNA adducts can reduce the accuracy of base pairing in DNA replication and cause gene mutation; increased mutation frequency and genomic instability due to the formation of DNA double strand breaks can be attributed to an incorrect mismatch repair of chromium</w:t>
            </w:r>
            <w:r w:rsidR="00FD70DF">
              <w:t>-</w:t>
            </w:r>
            <w:r>
              <w:t>DNA adduct</w:t>
            </w:r>
            <w:r w:rsidR="00F019F8">
              <w:t>.</w:t>
            </w:r>
          </w:p>
          <w:p w14:paraId="48D707CA" w14:textId="2E1FA992" w:rsidR="00FD70DF" w:rsidRPr="00452F18" w:rsidRDefault="00FD70DF" w:rsidP="00FB567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49B39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A40688" w14:textId="5E773F9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r w:rsidR="00846927">
              <w:t>2017</w:t>
            </w:r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552E73">
                  <w:t>Not assigned</w:t>
                </w:r>
              </w:sdtContent>
            </w:sdt>
          </w:p>
        </w:tc>
      </w:tr>
      <w:tr w:rsidR="00C978F0" w:rsidRPr="00DA352E" w14:paraId="6A9FA00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82277D" w14:textId="570D0D1E" w:rsidR="00B21B4F" w:rsidRDefault="00B21B4F" w:rsidP="00B21B4F">
            <w:pPr>
              <w:pStyle w:val="Tabletextprimarysource"/>
            </w:pPr>
            <w:r>
              <w:t>No TWA recommended due to carcinogenicity</w:t>
            </w:r>
            <w:r w:rsidR="00561636">
              <w:t>.</w:t>
            </w:r>
          </w:p>
          <w:p w14:paraId="5EF18F5A" w14:textId="74277ED7" w:rsidR="00DD668F" w:rsidRDefault="00B21B4F" w:rsidP="00B21B4F">
            <w:pPr>
              <w:pStyle w:val="Tabletextprimarysource"/>
            </w:pPr>
            <w:r>
              <w:t>Based on the available evidence, concluded Cr</w:t>
            </w:r>
            <w:r w:rsidR="00FD70DF">
              <w:t>(</w:t>
            </w:r>
            <w:r>
              <w:t>VI</w:t>
            </w:r>
            <w:r w:rsidR="00FD70DF">
              <w:t>)</w:t>
            </w:r>
            <w:r>
              <w:t xml:space="preserve"> compounds are carcinogens with no threshold</w:t>
            </w:r>
            <w:r w:rsidR="001F15E0">
              <w:t>.</w:t>
            </w:r>
          </w:p>
          <w:p w14:paraId="7A2A0DE9" w14:textId="2788325E" w:rsidR="00B21B4F" w:rsidRDefault="00B21B4F" w:rsidP="00B21B4F">
            <w:pPr>
              <w:pStyle w:val="ListBullet"/>
              <w:numPr>
                <w:ilvl w:val="0"/>
                <w:numId w:val="0"/>
              </w:numPr>
            </w:pPr>
            <w:r>
              <w:t>Derived limit values</w:t>
            </w:r>
            <w:r w:rsidR="00056766">
              <w:t xml:space="preserve"> of</w:t>
            </w:r>
            <w:r>
              <w:t xml:space="preserve"> </w:t>
            </w:r>
            <w:r w:rsidR="00056766">
              <w:t xml:space="preserve">0.025, 0.05 or 0.1 </w:t>
            </w:r>
            <w:r w:rsidR="00056766" w:rsidRPr="00ED27B3">
              <w:t>mg/m</w:t>
            </w:r>
            <w:r w:rsidR="00056766" w:rsidRPr="00ED27B3">
              <w:rPr>
                <w:vertAlign w:val="superscript"/>
              </w:rPr>
              <w:t>3</w:t>
            </w:r>
            <w:r w:rsidR="00056766">
              <w:rPr>
                <w:vertAlign w:val="superscript"/>
              </w:rPr>
              <w:t xml:space="preserve"> </w:t>
            </w:r>
            <w:r>
              <w:t xml:space="preserve">based </w:t>
            </w:r>
            <w:r w:rsidR="00C17256">
              <w:t xml:space="preserve">on </w:t>
            </w:r>
            <w:r>
              <w:t>excess cancer risk</w:t>
            </w:r>
            <w:r w:rsidR="00561636">
              <w:t>.</w:t>
            </w:r>
          </w:p>
          <w:p w14:paraId="01FD39D0" w14:textId="1857C4EA" w:rsidR="00FD70DF" w:rsidRPr="00DA352E" w:rsidRDefault="00FD70DF" w:rsidP="00B21B4F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DA352E" w:rsidRPr="00DA352E" w14:paraId="6EE3703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CB009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3C1C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3C1C5D">
                  <w:t>NA</w:t>
                </w:r>
              </w:sdtContent>
            </w:sdt>
          </w:p>
        </w:tc>
      </w:tr>
      <w:tr w:rsidR="00DA352E" w:rsidRPr="00DA352E" w14:paraId="3A63C86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558889" w14:textId="7F32BCF8" w:rsidR="00DA352E" w:rsidRPr="00DA352E" w:rsidRDefault="005F043F" w:rsidP="003365A5">
            <w:pPr>
              <w:pStyle w:val="Tabletextprimarysource"/>
            </w:pPr>
            <w:r>
              <w:t>No report</w:t>
            </w:r>
            <w:r w:rsidR="006E1203">
              <w:t>.</w:t>
            </w:r>
          </w:p>
        </w:tc>
      </w:tr>
      <w:tr w:rsidR="00DA352E" w:rsidRPr="00DA352E" w14:paraId="6D03661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0C396A" w14:textId="2A856401" w:rsidR="00DA352E" w:rsidRPr="00DA352E" w:rsidRDefault="00DA352E" w:rsidP="009A705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9A7052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9A7052">
                  <w:t xml:space="preserve">TWA: 10 </w:t>
                </w:r>
                <w:r w:rsidR="009A7052">
                  <w:rPr>
                    <w:rFonts w:cs="Arial"/>
                  </w:rPr>
                  <w:t>µg/m</w:t>
                </w:r>
                <w:r w:rsidR="009A7052" w:rsidRPr="00B46B66">
                  <w:rPr>
                    <w:rFonts w:cs="Arial"/>
                    <w:vertAlign w:val="superscript"/>
                  </w:rPr>
                  <w:t>3</w:t>
                </w:r>
                <w:r w:rsidR="009A7052">
                  <w:rPr>
                    <w:rFonts w:cs="Arial"/>
                  </w:rPr>
                  <w:t xml:space="preserve">; STEL: </w:t>
                </w:r>
                <w:r w:rsidR="009A7052">
                  <w:t xml:space="preserve">20 </w:t>
                </w:r>
                <w:r w:rsidR="009A7052">
                  <w:rPr>
                    <w:rFonts w:cs="Arial"/>
                  </w:rPr>
                  <w:t>µg/m</w:t>
                </w:r>
                <w:r w:rsidR="009A7052" w:rsidRPr="00B46B66">
                  <w:rPr>
                    <w:rFonts w:cs="Arial"/>
                    <w:vertAlign w:val="superscript"/>
                  </w:rPr>
                  <w:t>3</w:t>
                </w:r>
                <w:r w:rsidR="009A7052">
                  <w:rPr>
                    <w:rFonts w:cs="Arial"/>
                    <w:vertAlign w:val="superscript"/>
                  </w:rPr>
                  <w:t xml:space="preserve"> </w:t>
                </w:r>
                <w:r w:rsidR="009A7052" w:rsidRPr="00CF4590">
                  <w:rPr>
                    <w:rFonts w:cs="Arial"/>
                  </w:rPr>
                  <w:t>(</w:t>
                </w:r>
                <w:r w:rsidR="009A7052">
                  <w:rPr>
                    <w:rFonts w:cs="Arial"/>
                  </w:rPr>
                  <w:t xml:space="preserve">soluble </w:t>
                </w:r>
                <w:r w:rsidR="00301FD8">
                  <w:rPr>
                    <w:rFonts w:cs="Arial"/>
                  </w:rPr>
                  <w:t>Cr</w:t>
                </w:r>
                <w:r w:rsidR="00A13C44">
                  <w:rPr>
                    <w:rFonts w:cs="Arial"/>
                  </w:rPr>
                  <w:t>[</w:t>
                </w:r>
                <w:r w:rsidR="00301FD8">
                  <w:rPr>
                    <w:rFonts w:cs="Arial"/>
                  </w:rPr>
                  <w:t>VI</w:t>
                </w:r>
                <w:r w:rsidR="00A13C44">
                  <w:rPr>
                    <w:rFonts w:cs="Arial"/>
                  </w:rPr>
                  <w:t>]</w:t>
                </w:r>
                <w:r w:rsidR="00301FD8">
                  <w:rPr>
                    <w:rFonts w:cs="Arial"/>
                  </w:rPr>
                  <w:t xml:space="preserve"> </w:t>
                </w:r>
                <w:r w:rsidR="00F019F8">
                  <w:rPr>
                    <w:rFonts w:cs="Arial"/>
                  </w:rPr>
                  <w:t xml:space="preserve">compounds)  </w:t>
                </w:r>
                <w:r w:rsidR="009A7052">
                  <w:rPr>
                    <w:rFonts w:cs="Arial"/>
                  </w:rPr>
                  <w:t xml:space="preserve">                                                                           </w:t>
                </w:r>
                <w:r w:rsidR="009A7052">
                  <w:t xml:space="preserve">TWA: 50 </w:t>
                </w:r>
                <w:r w:rsidR="009A7052">
                  <w:rPr>
                    <w:rFonts w:cs="Arial"/>
                  </w:rPr>
                  <w:t>µg/m</w:t>
                </w:r>
                <w:r w:rsidR="009A7052" w:rsidRPr="00B46B66">
                  <w:rPr>
                    <w:rFonts w:cs="Arial"/>
                    <w:vertAlign w:val="superscript"/>
                  </w:rPr>
                  <w:t>3</w:t>
                </w:r>
                <w:r w:rsidR="009A7052">
                  <w:rPr>
                    <w:rFonts w:cs="Arial"/>
                  </w:rPr>
                  <w:t xml:space="preserve"> (poorly soluble </w:t>
                </w:r>
                <w:r w:rsidR="00301FD8">
                  <w:rPr>
                    <w:rFonts w:cs="Arial"/>
                  </w:rPr>
                  <w:t>Cr</w:t>
                </w:r>
                <w:r w:rsidR="00A13C44">
                  <w:rPr>
                    <w:rFonts w:cs="Arial"/>
                  </w:rPr>
                  <w:t>[</w:t>
                </w:r>
                <w:r w:rsidR="00301FD8">
                  <w:rPr>
                    <w:rFonts w:cs="Arial"/>
                  </w:rPr>
                  <w:t>VI</w:t>
                </w:r>
                <w:r w:rsidR="00A13C44">
                  <w:rPr>
                    <w:rFonts w:cs="Arial"/>
                  </w:rPr>
                  <w:t>]</w:t>
                </w:r>
                <w:r w:rsidR="009A7052">
                  <w:rPr>
                    <w:rFonts w:cs="Arial"/>
                  </w:rPr>
                  <w:t xml:space="preserve"> compounds</w:t>
                </w:r>
                <w:r w:rsidR="00A13C44">
                  <w:rPr>
                    <w:rFonts w:cs="Arial"/>
                  </w:rPr>
                  <w:t>)</w:t>
                </w:r>
              </w:sdtContent>
            </w:sdt>
          </w:p>
        </w:tc>
      </w:tr>
      <w:tr w:rsidR="00DA352E" w:rsidRPr="00DA352E" w14:paraId="295C35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6D335D" w14:textId="2A508D1E" w:rsidR="00DA352E" w:rsidRDefault="00B21B4F" w:rsidP="003365A5">
            <w:pPr>
              <w:pStyle w:val="Tabletextprimarysource"/>
            </w:pPr>
            <w:r>
              <w:t>Concludes all hexavalent chromium compounds are carcinogenic substances with</w:t>
            </w:r>
            <w:r w:rsidR="009C7C84">
              <w:t xml:space="preserve"> no threshold and </w:t>
            </w:r>
            <w:r>
              <w:t>genotoxic mechanisms</w:t>
            </w:r>
            <w:r w:rsidR="00233741">
              <w:t xml:space="preserve">. </w:t>
            </w:r>
          </w:p>
          <w:p w14:paraId="36710867" w14:textId="47341DEF" w:rsidR="00FD70DF" w:rsidRPr="00DA352E" w:rsidRDefault="00FD70DF" w:rsidP="003365A5">
            <w:pPr>
              <w:pStyle w:val="Tabletextprimarysource"/>
            </w:pPr>
          </w:p>
        </w:tc>
      </w:tr>
    </w:tbl>
    <w:p w14:paraId="516FFBE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4D5A7FB9" w14:textId="77777777" w:rsidTr="00F52EA2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5020760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85C0C7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E55D2C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4D839E3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F52EA2" w:rsidRPr="004C23F4" w14:paraId="65627BBB" w14:textId="77777777" w:rsidTr="00F52EA2">
        <w:trPr>
          <w:cantSplit/>
        </w:trPr>
        <w:tc>
          <w:tcPr>
            <w:tcW w:w="1494" w:type="dxa"/>
          </w:tcPr>
          <w:p w14:paraId="72D7BAA4" w14:textId="77777777" w:rsidR="00F52EA2" w:rsidRPr="004C23F4" w:rsidRDefault="00F52EA2" w:rsidP="00F52EA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5920210F" w14:textId="68CA4C6B" w:rsidR="00F52EA2" w:rsidRPr="00CE617F" w:rsidRDefault="00000000" w:rsidP="00F52EA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99069E149FE540D9862FCBCDBB13904F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F52EA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0A1237A" w14:textId="36CF07CF" w:rsidR="00F52EA2" w:rsidRPr="004C23F4" w:rsidRDefault="00F52EA2" w:rsidP="00F52EA2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1998</w:t>
            </w:r>
          </w:p>
        </w:tc>
        <w:tc>
          <w:tcPr>
            <w:tcW w:w="6448" w:type="dxa"/>
          </w:tcPr>
          <w:p w14:paraId="78715444" w14:textId="6F6B8D7F" w:rsidR="00F52EA2" w:rsidRPr="009C7C84" w:rsidRDefault="00F52EA2" w:rsidP="00F52EA2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Pr="009C7C84">
              <w:rPr>
                <w:rStyle w:val="checkbox"/>
                <w:rFonts w:ascii="Arial" w:hAnsi="Arial" w:cs="Arial"/>
              </w:rPr>
              <w:t>apidly taken up by cells through the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9C7C84">
              <w:rPr>
                <w:rStyle w:val="checkbox"/>
                <w:rFonts w:ascii="Arial" w:hAnsi="Arial" w:cs="Arial"/>
              </w:rPr>
              <w:t>sulphate transport system</w:t>
            </w:r>
            <w:r>
              <w:rPr>
                <w:rStyle w:val="checkbox"/>
                <w:rFonts w:ascii="Arial" w:hAnsi="Arial" w:cs="Arial"/>
              </w:rPr>
              <w:t xml:space="preserve"> where it is quickly reduced to trivalent forms; trivalent forms do not readily cross cell membranes</w:t>
            </w:r>
          </w:p>
          <w:p w14:paraId="58F892F3" w14:textId="77777777" w:rsidR="00F52EA2" w:rsidRDefault="00F52EA2" w:rsidP="00F52EA2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9C7C84">
              <w:rPr>
                <w:rStyle w:val="checkbox"/>
                <w:rFonts w:ascii="Arial" w:hAnsi="Arial" w:cs="Arial"/>
              </w:rPr>
              <w:t xml:space="preserve">arcinogenesis </w:t>
            </w:r>
            <w:r>
              <w:rPr>
                <w:rStyle w:val="checkbox"/>
                <w:rFonts w:ascii="Arial" w:hAnsi="Arial" w:cs="Arial"/>
              </w:rPr>
              <w:t>likely to</w:t>
            </w:r>
            <w:r w:rsidRPr="009C7C84">
              <w:rPr>
                <w:rStyle w:val="checkbox"/>
                <w:rFonts w:ascii="Arial" w:hAnsi="Arial" w:cs="Arial"/>
              </w:rPr>
              <w:t xml:space="preserve"> result from the formation of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9C7C84">
              <w:rPr>
                <w:rStyle w:val="checkbox"/>
                <w:rFonts w:ascii="Arial" w:hAnsi="Arial" w:cs="Arial"/>
              </w:rPr>
              <w:t xml:space="preserve">mutagenic DNA lesions following intracellular reduction to the </w:t>
            </w:r>
            <w:r>
              <w:rPr>
                <w:rStyle w:val="checkbox"/>
                <w:rFonts w:ascii="Arial" w:hAnsi="Arial" w:cs="Arial"/>
              </w:rPr>
              <w:t>Cr(III)</w:t>
            </w:r>
          </w:p>
          <w:p w14:paraId="21158F41" w14:textId="2EE7D3C0" w:rsidR="00F52EA2" w:rsidRDefault="006E1203" w:rsidP="00F52EA2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IUR</w:t>
            </w:r>
            <w:r w:rsidR="00F52EA2">
              <w:rPr>
                <w:rStyle w:val="checkbox"/>
                <w:rFonts w:ascii="Arial" w:hAnsi="Arial" w:cs="Arial"/>
              </w:rPr>
              <w:t xml:space="preserve"> derived from mortality study (1951) and follow up (1975) on a cohort of chromate workers investigating lung cancer association with the work environment</w:t>
            </w:r>
          </w:p>
          <w:p w14:paraId="28113D4F" w14:textId="4826A2B9" w:rsidR="00F52EA2" w:rsidRPr="00F52EA2" w:rsidRDefault="00F52EA2" w:rsidP="00F52EA2">
            <w:pPr>
              <w:pStyle w:val="ListBullet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An additional follow up (1997) reported that l</w:t>
            </w:r>
            <w:r>
              <w:t>ung cancer rates clearly increased by gradient level of exposure to total chromium</w:t>
            </w:r>
          </w:p>
          <w:p w14:paraId="00DACFCC" w14:textId="0B12E9C9" w:rsidR="00F52EA2" w:rsidRPr="009C7C84" w:rsidRDefault="00F52EA2" w:rsidP="00FB5675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The relationship between gradient level of exposure and lung cancer rates is less clear for</w:t>
            </w:r>
            <w:r w:rsidR="006E1203">
              <w:t xml:space="preserve"> Cr(III)</w:t>
            </w:r>
            <w:r>
              <w:t xml:space="preserve"> and </w:t>
            </w:r>
            <w:r w:rsidR="006E1203">
              <w:t>Cr(VI)</w:t>
            </w:r>
            <w:r>
              <w:t>.</w:t>
            </w:r>
          </w:p>
        </w:tc>
      </w:tr>
    </w:tbl>
    <w:p w14:paraId="15FEE8CD" w14:textId="77777777" w:rsidR="007E2A4B" w:rsidRDefault="007E2A4B"/>
    <w:bookmarkEnd w:id="0"/>
    <w:p w14:paraId="6F35B18C" w14:textId="7307E9AF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8"/>
        <w:gridCol w:w="2418"/>
      </w:tblGrid>
      <w:tr w:rsidR="00397EE1" w14:paraId="4610DE27" w14:textId="77777777" w:rsidTr="004D35C5">
        <w:trPr>
          <w:trHeight w:val="454"/>
          <w:tblHeader/>
        </w:trPr>
        <w:tc>
          <w:tcPr>
            <w:tcW w:w="6771" w:type="dxa"/>
            <w:vAlign w:val="center"/>
          </w:tcPr>
          <w:p w14:paraId="58B34DF3" w14:textId="77777777" w:rsidR="00397EE1" w:rsidRDefault="00397EE1" w:rsidP="004D35C5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mutagenic?</w:t>
            </w:r>
          </w:p>
        </w:tc>
        <w:sdt>
          <w:sdtPr>
            <w:id w:val="319705052"/>
            <w:placeholder>
              <w:docPart w:val="1BB77CDF1473404A96658D63383E79AA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71" w:type="dxa"/>
                <w:vAlign w:val="center"/>
              </w:tcPr>
              <w:p w14:paraId="71C24D00" w14:textId="45EDC211" w:rsidR="00397EE1" w:rsidRDefault="00397EE1" w:rsidP="004D35C5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397EE1" w14:paraId="02FE7434" w14:textId="77777777" w:rsidTr="004D35C5">
        <w:trPr>
          <w:trHeight w:val="454"/>
        </w:trPr>
        <w:tc>
          <w:tcPr>
            <w:tcW w:w="6771" w:type="dxa"/>
            <w:vAlign w:val="center"/>
          </w:tcPr>
          <w:p w14:paraId="10276067" w14:textId="77777777" w:rsidR="00397EE1" w:rsidRDefault="00397EE1" w:rsidP="004D35C5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67C6DBF03E0E4CF7A0215FA1C0CC6D92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71" w:type="dxa"/>
                <w:vAlign w:val="center"/>
              </w:tcPr>
              <w:p w14:paraId="51AA07EA" w14:textId="6060B49C" w:rsidR="00397EE1" w:rsidRDefault="00397EE1" w:rsidP="004D35C5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397EE1" w14:paraId="36834362" w14:textId="77777777" w:rsidTr="004D35C5">
        <w:trPr>
          <w:trHeight w:val="454"/>
        </w:trPr>
        <w:sdt>
          <w:sdtPr>
            <w:rPr>
              <w:b/>
            </w:rPr>
            <w:id w:val="1830936485"/>
            <w:placeholder>
              <w:docPart w:val="731AF10304FE4327AB904340D58C1BF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771" w:type="dxa"/>
                <w:vAlign w:val="center"/>
              </w:tcPr>
              <w:p w14:paraId="76BC9A59" w14:textId="71E7F213" w:rsidR="00397EE1" w:rsidRPr="006901A2" w:rsidRDefault="00397EE1" w:rsidP="004D35C5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3C7A2FA9" w14:textId="77777777" w:rsidR="00397EE1" w:rsidRDefault="00397EE1" w:rsidP="004D35C5">
            <w:pPr>
              <w:pStyle w:val="Tablefont"/>
              <w:keepNext/>
              <w:keepLines/>
              <w:spacing w:before="40" w:after="40"/>
            </w:pPr>
          </w:p>
        </w:tc>
      </w:tr>
      <w:tr w:rsidR="00397EE1" w14:paraId="3CE5854A" w14:textId="77777777" w:rsidTr="004D35C5">
        <w:trPr>
          <w:trHeight w:val="454"/>
        </w:trPr>
        <w:tc>
          <w:tcPr>
            <w:tcW w:w="6771" w:type="dxa"/>
            <w:vAlign w:val="center"/>
          </w:tcPr>
          <w:p w14:paraId="64BCCA09" w14:textId="77777777" w:rsidR="00397EE1" w:rsidRDefault="00397EE1" w:rsidP="004D35C5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76D945ED98614793BD5D3D9C686372ED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Content>
            <w:tc>
              <w:tcPr>
                <w:tcW w:w="2471" w:type="dxa"/>
                <w:vAlign w:val="center"/>
              </w:tcPr>
              <w:p w14:paraId="399FA764" w14:textId="35ABC97D" w:rsidR="00397EE1" w:rsidRDefault="009F0063" w:rsidP="004D35C5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397EE1" w14:paraId="03689499" w14:textId="77777777" w:rsidTr="004D35C5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D79C9712863D40EE8BAD3F1853BCC71F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Content>
            <w:tc>
              <w:tcPr>
                <w:tcW w:w="6771" w:type="dxa"/>
                <w:vAlign w:val="center"/>
              </w:tcPr>
              <w:p w14:paraId="4C37392E" w14:textId="0373E87E" w:rsidR="00397EE1" w:rsidRDefault="009F0063" w:rsidP="004D35C5">
                <w:pPr>
                  <w:pStyle w:val="Tablefont"/>
                  <w:keepNext/>
                  <w:keepLines/>
                  <w:spacing w:before="40" w:after="40"/>
                </w:pPr>
                <w:r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25CA7EAC78874966B520890F6152A203"/>
            </w:placeholder>
          </w:sdtPr>
          <w:sdtContent>
            <w:tc>
              <w:tcPr>
                <w:tcW w:w="2471" w:type="dxa"/>
                <w:vAlign w:val="center"/>
              </w:tcPr>
              <w:p w14:paraId="7D99769E" w14:textId="207D9551" w:rsidR="00397EE1" w:rsidRDefault="009F0063" w:rsidP="004D35C5">
                <w:pPr>
                  <w:pStyle w:val="Tablefont"/>
                  <w:keepNext/>
                  <w:keepLines/>
                  <w:spacing w:before="40" w:after="40"/>
                </w:pPr>
                <w:r>
                  <w:t>0.012</w:t>
                </w:r>
              </w:p>
            </w:tc>
          </w:sdtContent>
        </w:sdt>
      </w:tr>
      <w:tr w:rsidR="00397EE1" w14:paraId="564247D4" w14:textId="77777777" w:rsidTr="004D35C5">
        <w:trPr>
          <w:trHeight w:val="454"/>
        </w:trPr>
        <w:tc>
          <w:tcPr>
            <w:tcW w:w="6771" w:type="dxa"/>
            <w:vAlign w:val="center"/>
          </w:tcPr>
          <w:p w14:paraId="5E19552C" w14:textId="77777777" w:rsidR="00397EE1" w:rsidRDefault="00397EE1" w:rsidP="004D35C5">
            <w:pPr>
              <w:pStyle w:val="Tablefont"/>
              <w:keepNext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71" w:type="dxa"/>
            <w:vAlign w:val="center"/>
          </w:tcPr>
          <w:p w14:paraId="0CE55D8B" w14:textId="3AB46F71" w:rsidR="00397EE1" w:rsidRDefault="00AD418D" w:rsidP="004D35C5">
            <w:pPr>
              <w:pStyle w:val="Tablefont"/>
              <w:keepNext/>
              <w:keepLines/>
              <w:spacing w:before="40" w:after="40"/>
            </w:pPr>
            <w:r>
              <w:t>0.007</w:t>
            </w:r>
          </w:p>
        </w:tc>
      </w:tr>
      <w:bookmarkEnd w:id="1"/>
    </w:tbl>
    <w:p w14:paraId="119CE214" w14:textId="77777777" w:rsidR="00397EE1" w:rsidRPr="00397EE1" w:rsidRDefault="00397EE1" w:rsidP="00397EE1">
      <w:pPr>
        <w:rPr>
          <w:lang w:eastAsia="en-AU"/>
        </w:rPr>
      </w:pPr>
    </w:p>
    <w:p w14:paraId="3A904CD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EFE0A54" w14:textId="77777777" w:rsidTr="00757CE9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4CE025F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4E1CB95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8925ADA" w14:textId="77777777" w:rsidTr="00757CE9">
        <w:trPr>
          <w:cantSplit/>
        </w:trPr>
        <w:tc>
          <w:tcPr>
            <w:tcW w:w="3153" w:type="dxa"/>
          </w:tcPr>
          <w:p w14:paraId="32DF114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32A7C08B" w14:textId="160D529C" w:rsidR="00687890" w:rsidRPr="00DD2F9B" w:rsidRDefault="00896CE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69D1E8F" w14:textId="77777777" w:rsidTr="00757CE9">
        <w:trPr>
          <w:cantSplit/>
        </w:trPr>
        <w:tc>
          <w:tcPr>
            <w:tcW w:w="3153" w:type="dxa"/>
          </w:tcPr>
          <w:p w14:paraId="51B44C8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0CE920D4" w14:textId="78ED0C54" w:rsidR="007925F0" w:rsidRPr="00DD2F9B" w:rsidRDefault="00AD418D" w:rsidP="00DD2F9B">
            <w:pPr>
              <w:pStyle w:val="Tablefont"/>
            </w:pPr>
            <w:r w:rsidRPr="00AD418D">
              <w:t>Carcinogenicity – category 1B</w:t>
            </w:r>
            <w:r>
              <w:t xml:space="preserve">; </w:t>
            </w:r>
            <w:r w:rsidRPr="00AD418D">
              <w:t>Skin sensitisation – category 1</w:t>
            </w:r>
            <w:r w:rsidR="009A3205">
              <w:t>.</w:t>
            </w:r>
          </w:p>
        </w:tc>
      </w:tr>
      <w:tr w:rsidR="00AF483F" w:rsidRPr="004C23F4" w14:paraId="3560867C" w14:textId="77777777" w:rsidTr="00757CE9">
        <w:trPr>
          <w:cantSplit/>
        </w:trPr>
        <w:tc>
          <w:tcPr>
            <w:tcW w:w="3153" w:type="dxa"/>
          </w:tcPr>
          <w:p w14:paraId="34AA40F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028B4EF4" w14:textId="3953FEE9" w:rsidR="00AF483F" w:rsidRPr="00DD2F9B" w:rsidRDefault="00444D7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B8A115B" w14:textId="77777777" w:rsidTr="00757CE9">
        <w:trPr>
          <w:cantSplit/>
        </w:trPr>
        <w:tc>
          <w:tcPr>
            <w:tcW w:w="3153" w:type="dxa"/>
          </w:tcPr>
          <w:p w14:paraId="5314247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46C76C14" w14:textId="67FD531A" w:rsidR="00687890" w:rsidRPr="00DD2F9B" w:rsidRDefault="00E022C3" w:rsidP="00913977">
            <w:r>
              <w:t>Carcinogenicity – category 1B</w:t>
            </w:r>
            <w:r w:rsidR="00757CE9">
              <w:t xml:space="preserve">, </w:t>
            </w:r>
            <w:r w:rsidR="00913977">
              <w:t>Skin sensitisation – category 1</w:t>
            </w:r>
            <w:r w:rsidR="00FF2796">
              <w:t>.</w:t>
            </w:r>
          </w:p>
        </w:tc>
      </w:tr>
      <w:tr w:rsidR="00E41A26" w:rsidRPr="004C23F4" w14:paraId="54B612FD" w14:textId="77777777" w:rsidTr="00757CE9">
        <w:trPr>
          <w:cantSplit/>
        </w:trPr>
        <w:tc>
          <w:tcPr>
            <w:tcW w:w="3153" w:type="dxa"/>
          </w:tcPr>
          <w:p w14:paraId="2AC8C4F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73385F89" w14:textId="71C80BC4" w:rsidR="00E41A26" w:rsidRPr="00DD2F9B" w:rsidRDefault="00913977" w:rsidP="00DD2F9B">
            <w:pPr>
              <w:pStyle w:val="Tablefont"/>
            </w:pPr>
            <w:r>
              <w:t>Carcinogenicity – category 1B</w:t>
            </w:r>
            <w:r w:rsidR="009A3205">
              <w:t>.</w:t>
            </w:r>
          </w:p>
        </w:tc>
      </w:tr>
      <w:tr w:rsidR="002E0D61" w:rsidRPr="004C23F4" w14:paraId="2AFB53F1" w14:textId="77777777" w:rsidTr="00757CE9">
        <w:trPr>
          <w:cantSplit/>
        </w:trPr>
        <w:tc>
          <w:tcPr>
            <w:tcW w:w="3153" w:type="dxa"/>
          </w:tcPr>
          <w:p w14:paraId="6803567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6318016B" w14:textId="28BB99BA" w:rsidR="002E0D61" w:rsidRPr="00DD2F9B" w:rsidRDefault="00543F38" w:rsidP="00DD2F9B">
            <w:pPr>
              <w:pStyle w:val="Tablefont"/>
            </w:pPr>
            <w:r>
              <w:t>Carcinogenicity – A1</w:t>
            </w:r>
            <w:r w:rsidR="00757CE9">
              <w:t xml:space="preserve">, </w:t>
            </w:r>
            <w:r>
              <w:t>Skin</w:t>
            </w:r>
            <w:r w:rsidR="00757CE9">
              <w:t xml:space="preserve"> (water-soluble compounds only), RSEN, DSEN</w:t>
            </w:r>
            <w:r>
              <w:t>.</w:t>
            </w:r>
          </w:p>
        </w:tc>
      </w:tr>
      <w:tr w:rsidR="00757CE9" w:rsidRPr="004C23F4" w14:paraId="7C5A40E6" w14:textId="77777777" w:rsidTr="00757CE9">
        <w:trPr>
          <w:cantSplit/>
        </w:trPr>
        <w:tc>
          <w:tcPr>
            <w:tcW w:w="3153" w:type="dxa"/>
          </w:tcPr>
          <w:p w14:paraId="06D017E0" w14:textId="77777777" w:rsidR="00757CE9" w:rsidRPr="004C23F4" w:rsidRDefault="00757CE9" w:rsidP="00757CE9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78309F40" w14:textId="3D8E2BD7" w:rsidR="00757CE9" w:rsidRPr="00DD2F9B" w:rsidRDefault="00E55778" w:rsidP="00757CE9">
            <w:r>
              <w:t>Carcinogenicity – 1</w:t>
            </w:r>
            <w:r w:rsidR="00757CE9">
              <w:t xml:space="preserve">, </w:t>
            </w:r>
            <w:r>
              <w:t>H (skin)</w:t>
            </w:r>
            <w:r w:rsidR="00757CE9">
              <w:t xml:space="preserve">, </w:t>
            </w:r>
            <w:r>
              <w:t>Sh (dermal sensitiser)</w:t>
            </w:r>
            <w:r w:rsidR="009A3205">
              <w:t>.</w:t>
            </w:r>
          </w:p>
        </w:tc>
      </w:tr>
      <w:tr w:rsidR="00757CE9" w:rsidRPr="004C23F4" w14:paraId="50207E60" w14:textId="77777777" w:rsidTr="00757CE9">
        <w:trPr>
          <w:cantSplit/>
        </w:trPr>
        <w:tc>
          <w:tcPr>
            <w:tcW w:w="3153" w:type="dxa"/>
          </w:tcPr>
          <w:p w14:paraId="2D78B210" w14:textId="77777777" w:rsidR="00757CE9" w:rsidRPr="004C23F4" w:rsidRDefault="00757CE9" w:rsidP="00757CE9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0A53E90E" w14:textId="489DEF20" w:rsidR="00757CE9" w:rsidRPr="00CB74A4" w:rsidRDefault="00CB74A4" w:rsidP="00CB74A4">
            <w:r w:rsidRPr="00CB74A4">
              <w:rPr>
                <w:rFonts w:cs="Arial"/>
                <w:szCs w:val="23"/>
                <w:lang w:eastAsia="en-AU"/>
              </w:rPr>
              <w:t>Carcinogenicity – A</w:t>
            </w:r>
            <w:r w:rsidR="00757CE9" w:rsidRPr="00CB74A4">
              <w:rPr>
                <w:rFonts w:cs="Arial"/>
                <w:szCs w:val="23"/>
                <w:lang w:eastAsia="en-AU"/>
              </w:rPr>
              <w:t xml:space="preserve">, </w:t>
            </w:r>
            <w:r>
              <w:t>Sensitisation (respiratory), Sensitisation (dermal)</w:t>
            </w:r>
            <w:r w:rsidR="009A3205">
              <w:t>.</w:t>
            </w:r>
          </w:p>
        </w:tc>
      </w:tr>
      <w:tr w:rsidR="00757CE9" w:rsidRPr="004C23F4" w14:paraId="4D318616" w14:textId="77777777" w:rsidTr="00757CE9">
        <w:trPr>
          <w:cantSplit/>
        </w:trPr>
        <w:tc>
          <w:tcPr>
            <w:tcW w:w="3153" w:type="dxa"/>
          </w:tcPr>
          <w:p w14:paraId="099CFCE0" w14:textId="77777777" w:rsidR="00757CE9" w:rsidRDefault="00757CE9" w:rsidP="00757CE9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669DC23D" w14:textId="74B20944" w:rsidR="00757CE9" w:rsidRPr="00DD2F9B" w:rsidRDefault="00FF2796" w:rsidP="00757CE9">
            <w:pPr>
              <w:pStyle w:val="Tablefont"/>
            </w:pPr>
            <w:r>
              <w:t>—</w:t>
            </w:r>
          </w:p>
        </w:tc>
      </w:tr>
      <w:tr w:rsidR="00757CE9" w:rsidRPr="004C23F4" w14:paraId="51EF79CB" w14:textId="77777777" w:rsidTr="00757CE9">
        <w:trPr>
          <w:cantSplit/>
        </w:trPr>
        <w:tc>
          <w:tcPr>
            <w:tcW w:w="3153" w:type="dxa"/>
          </w:tcPr>
          <w:p w14:paraId="7FF1D15B" w14:textId="77777777" w:rsidR="00757CE9" w:rsidRDefault="00757CE9" w:rsidP="00757CE9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7AF98851" w14:textId="140FCBA7" w:rsidR="00757CE9" w:rsidRPr="00DD2F9B" w:rsidRDefault="004F7F05" w:rsidP="00757CE9">
            <w:r>
              <w:t>Carcinogenicity – Group 1.</w:t>
            </w:r>
          </w:p>
        </w:tc>
      </w:tr>
      <w:tr w:rsidR="00757CE9" w:rsidRPr="004C23F4" w14:paraId="13F79761" w14:textId="77777777" w:rsidTr="00757CE9">
        <w:trPr>
          <w:cantSplit/>
        </w:trPr>
        <w:tc>
          <w:tcPr>
            <w:tcW w:w="3153" w:type="dxa"/>
          </w:tcPr>
          <w:p w14:paraId="6B205003" w14:textId="77777777" w:rsidR="00757CE9" w:rsidRDefault="00757CE9" w:rsidP="00757CE9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51AA792D" w14:textId="399DEA2F" w:rsidR="00757CE9" w:rsidRPr="00DD2F9B" w:rsidRDefault="005C3C88" w:rsidP="00757CE9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C772A8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2A718B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AAF4D1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F6B191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EAFC6C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581"/>
              <w:gridCol w:w="1058"/>
              <w:gridCol w:w="1058"/>
              <w:gridCol w:w="1556"/>
              <w:gridCol w:w="1557"/>
            </w:tblGrid>
            <w:tr w:rsidR="006E1203" w:rsidRPr="00500623" w14:paraId="6FD800C2" w14:textId="77777777" w:rsidTr="006E1203">
              <w:trPr>
                <w:trHeight w:val="346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4A0E41" w14:textId="77777777" w:rsidR="006E1203" w:rsidRPr="00500623" w:rsidRDefault="006E1203" w:rsidP="006E12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11E26D" w14:textId="72B251F1" w:rsidR="006E1203" w:rsidRPr="00FB5675" w:rsidRDefault="006E1203" w:rsidP="006E12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85187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CC9164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F29201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1203" w:rsidRPr="00500623" w14:paraId="4B2B1117" w14:textId="77777777" w:rsidTr="006E1203">
              <w:trPr>
                <w:trHeight w:val="346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A20EDB" w14:textId="77777777" w:rsidR="006E1203" w:rsidRPr="00500623" w:rsidRDefault="006E1203" w:rsidP="006E12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020D57C" w14:textId="77777777" w:rsidR="006E1203" w:rsidRPr="00500623" w:rsidRDefault="006E1203" w:rsidP="006E12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AA9512" w14:textId="77777777" w:rsidR="006E1203" w:rsidRPr="00500623" w:rsidRDefault="006E1203" w:rsidP="006E12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58EA8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DEB74F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1203" w:rsidRPr="00500623" w14:paraId="757F7232" w14:textId="77777777" w:rsidTr="006E1203">
              <w:trPr>
                <w:trHeight w:val="346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3B6C75" w14:textId="77777777" w:rsidR="006E1203" w:rsidRPr="00500623" w:rsidRDefault="006E1203" w:rsidP="006E12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BC9AD2" w14:textId="77777777" w:rsidR="006E1203" w:rsidRPr="00500623" w:rsidRDefault="006E1203" w:rsidP="006E12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8C4DB8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8E671B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1659C9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1203" w:rsidRPr="00500623" w14:paraId="0CC14504" w14:textId="77777777" w:rsidTr="006E1203">
              <w:trPr>
                <w:trHeight w:val="346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4CE3DF" w14:textId="77777777" w:rsidR="006E1203" w:rsidRPr="00500623" w:rsidRDefault="006E1203" w:rsidP="006E12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CEB7A7" w14:textId="77777777" w:rsidR="006E1203" w:rsidRPr="00500623" w:rsidRDefault="006E1203" w:rsidP="006E12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68731C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14D32A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F5AB82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1203" w:rsidRPr="00500623" w14:paraId="063F1D1D" w14:textId="77777777" w:rsidTr="006E1203">
              <w:trPr>
                <w:trHeight w:val="346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815310" w14:textId="77777777" w:rsidR="006E1203" w:rsidRPr="00500623" w:rsidRDefault="006E1203" w:rsidP="006E12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5C77E3" w14:textId="77777777" w:rsidR="006E1203" w:rsidRPr="00500623" w:rsidRDefault="006E1203" w:rsidP="006E12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7008AC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0973B8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A92D64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1203" w:rsidRPr="00500623" w14:paraId="051FAE4D" w14:textId="77777777" w:rsidTr="006E1203">
              <w:trPr>
                <w:trHeight w:val="346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4C9576" w14:textId="77777777" w:rsidR="006E1203" w:rsidRPr="00500623" w:rsidRDefault="006E1203" w:rsidP="006E12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0EA4FD" w14:textId="77777777" w:rsidR="006E1203" w:rsidRPr="00500623" w:rsidRDefault="006E1203" w:rsidP="006E12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DC3E93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95DDF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73375C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E1203" w:rsidRPr="00500623" w14:paraId="6DE09B15" w14:textId="77777777" w:rsidTr="006E1203">
              <w:trPr>
                <w:trHeight w:val="346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6E6656" w14:textId="77777777" w:rsidR="006E1203" w:rsidRPr="00500623" w:rsidRDefault="006E1203" w:rsidP="006E12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58CB15" w14:textId="77777777" w:rsidR="006E1203" w:rsidRPr="00500623" w:rsidRDefault="006E1203" w:rsidP="006E120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73B64C" w14:textId="77777777" w:rsidR="006E1203" w:rsidRPr="00500623" w:rsidRDefault="006E1203" w:rsidP="006E120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25815D" w14:textId="77777777" w:rsidR="006E1203" w:rsidRPr="00500623" w:rsidRDefault="006E1203" w:rsidP="006E120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062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422C75CB" w14:textId="2EA3ED50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86AD9C6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485E4F4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6317452" w14:textId="77777777" w:rsidR="00EB3D1B" w:rsidRDefault="00EB3D1B" w:rsidP="00D87570">
            <w:pPr>
              <w:pStyle w:val="Tablefont"/>
            </w:pPr>
            <w:r w:rsidRPr="0045522C">
              <w:t xml:space="preserve">Is there a </w:t>
            </w:r>
            <w:r w:rsidR="006E5D05" w:rsidRPr="0045522C">
              <w:t>suitable</w:t>
            </w:r>
            <w:r w:rsidRPr="0045522C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22483D24" w14:textId="59B8C581" w:rsidR="00EB3D1B" w:rsidRDefault="00561636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6513BE9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761EA2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1838D5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tc>
          <w:tcPr>
            <w:tcW w:w="5165" w:type="dxa"/>
            <w:vAlign w:val="center"/>
          </w:tcPr>
          <w:p w14:paraId="6ED2C87A" w14:textId="58137FD3" w:rsidR="001B79E5" w:rsidRDefault="00561636" w:rsidP="001B79E5">
            <w:pPr>
              <w:pStyle w:val="Tablefont"/>
            </w:pPr>
            <w:r>
              <w:t>N/A</w:t>
            </w:r>
          </w:p>
        </w:tc>
      </w:tr>
      <w:tr w:rsidR="00A31D99" w:rsidRPr="004C23F4" w14:paraId="69A7D0E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260C17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4EBEB2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EEFBE6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60673E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098548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EEABD99" w14:textId="77777777" w:rsidTr="00EA6243">
        <w:trPr>
          <w:cantSplit/>
        </w:trPr>
        <w:tc>
          <w:tcPr>
            <w:tcW w:w="4077" w:type="dxa"/>
            <w:vAlign w:val="center"/>
          </w:tcPr>
          <w:p w14:paraId="1E6906F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E3DAB8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76A3C6" w14:textId="77777777" w:rsidTr="00EA6243">
        <w:trPr>
          <w:cantSplit/>
        </w:trPr>
        <w:tc>
          <w:tcPr>
            <w:tcW w:w="4077" w:type="dxa"/>
            <w:vAlign w:val="center"/>
          </w:tcPr>
          <w:p w14:paraId="6E78891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12F665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98BA568" w14:textId="77777777" w:rsidTr="00EA6243">
        <w:trPr>
          <w:cantSplit/>
        </w:trPr>
        <w:tc>
          <w:tcPr>
            <w:tcW w:w="4077" w:type="dxa"/>
            <w:vAlign w:val="center"/>
          </w:tcPr>
          <w:p w14:paraId="0C75C04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C5EBD2A" w14:textId="591DCA5E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561636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561636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D558CF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224188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60E38F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AAB8BE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9D5F14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5DCCEE3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9DACC2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F95B16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CC3348D" w14:textId="01D22C22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6F3B7CA" w14:textId="2A131640" w:rsidR="000A791F" w:rsidRDefault="00104DE3" w:rsidP="00104DE3">
      <w:r w:rsidRPr="002022B6">
        <w:t>Deutsche Forschungsgemeinschaft (DFG)</w:t>
      </w:r>
      <w:r>
        <w:t xml:space="preserve"> (2016) </w:t>
      </w:r>
      <w:r w:rsidRPr="00104DE3">
        <w:t>Chromium(VI) compounds (inhalable fraction)</w:t>
      </w:r>
      <w:r>
        <w:t xml:space="preserve"> – MAK value documentation.</w:t>
      </w:r>
    </w:p>
    <w:p w14:paraId="7D0F9AF1" w14:textId="77777777" w:rsidR="00F019F8" w:rsidRDefault="00F019F8" w:rsidP="00F019F8">
      <w:r w:rsidRPr="003C3B22">
        <w:t xml:space="preserve">EU Scientific Committee on Occupational Exposure Limits (SCOEL) (2017) Recommendation from the Scientific Committee on Occupational Exposure Limits for chromium VI compounds. </w:t>
      </w:r>
      <w:r>
        <w:t>SCOEL/REC/386.</w:t>
      </w:r>
    </w:p>
    <w:p w14:paraId="39495337" w14:textId="76A2C9EE" w:rsidR="00751032" w:rsidRDefault="00751032" w:rsidP="00104DE3">
      <w:r w:rsidRPr="00751032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C319955" w14:textId="77777777" w:rsidR="00751032" w:rsidRPr="00F019F8" w:rsidRDefault="00751032" w:rsidP="00751032">
      <w:r w:rsidRPr="002022B6">
        <w:t>Health Council of the Netherlands</w:t>
      </w:r>
      <w:r>
        <w:t xml:space="preserve"> (HCOTN) (2016) </w:t>
      </w:r>
      <w:r w:rsidRPr="002B74AE">
        <w:t>Hexavalent chromium compounds</w:t>
      </w:r>
      <w:r w:rsidRPr="005F7416">
        <w:t xml:space="preserve">. </w:t>
      </w:r>
      <w:r w:rsidRPr="002B74AE">
        <w:t>Health-based recommendation on occupational exposure limits</w:t>
      </w:r>
      <w:r w:rsidRPr="005F7416">
        <w:t xml:space="preserve">. The Hague: Health Council of the Netherlands; publication no. </w:t>
      </w:r>
      <w:r>
        <w:t>2016/13E.</w:t>
      </w:r>
    </w:p>
    <w:p w14:paraId="20C728A7" w14:textId="0B243D99" w:rsidR="00751032" w:rsidRPr="00F019F8" w:rsidRDefault="00751032" w:rsidP="00104DE3">
      <w:r w:rsidRPr="00F019F8">
        <w:t>International Agency for Research on Cancer (IARC) (</w:t>
      </w:r>
      <w:sdt>
        <w:sdtPr>
          <w:id w:val="159357081"/>
          <w:placeholder>
            <w:docPart w:val="CA1102523E614241BDDD47778E1A78CB"/>
          </w:placeholder>
          <w:temporary/>
          <w:showingPlcHdr/>
        </w:sdtPr>
        <w:sdtContent>
          <w:r w:rsidRPr="00F019F8">
            <w:rPr>
              <w:rStyle w:val="PlaceholderText"/>
              <w:color w:val="auto"/>
            </w:rPr>
            <w:t>2012</w:t>
          </w:r>
        </w:sdtContent>
      </w:sdt>
      <w:r w:rsidRPr="00F019F8">
        <w:t xml:space="preserve">) </w:t>
      </w:r>
      <w:sdt>
        <w:sdtPr>
          <w:id w:val="163210222"/>
          <w:placeholder>
            <w:docPart w:val="A9700AA9BE664E7ABDCC6418A8FE1E09"/>
          </w:placeholder>
          <w:temporary/>
          <w:showingPlcHdr/>
        </w:sdtPr>
        <w:sdtContent>
          <w:r w:rsidRPr="00F019F8">
            <w:t>Arsenic, Metals, Fibres and Dust</w:t>
          </w:r>
        </w:sdtContent>
      </w:sdt>
      <w:r w:rsidRPr="00F019F8">
        <w:t>. IARC Monographs on the evaluation of the carcinogenic risk to humans.</w:t>
      </w:r>
    </w:p>
    <w:p w14:paraId="194F07BA" w14:textId="4EA742D7" w:rsidR="00F019F8" w:rsidRDefault="00F019F8" w:rsidP="00F019F8">
      <w:r w:rsidRPr="00751032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7E49A28" w14:textId="454C111A" w:rsidR="00751032" w:rsidRDefault="00F019F8" w:rsidP="00104DE3">
      <w:r>
        <w:t xml:space="preserve">US Environmental Protection Authority (US EPA) (1998)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Hexavalent Chromium.</w:t>
      </w:r>
    </w:p>
    <w:sectPr w:rsidR="00751032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CD521" w14:textId="77777777" w:rsidR="00BC5886" w:rsidRDefault="00BC5886" w:rsidP="00F43AD5">
      <w:pPr>
        <w:spacing w:after="0" w:line="240" w:lineRule="auto"/>
      </w:pPr>
      <w:r>
        <w:separator/>
      </w:r>
    </w:p>
  </w:endnote>
  <w:endnote w:type="continuationSeparator" w:id="0">
    <w:p w14:paraId="7D7097CD" w14:textId="77777777" w:rsidR="00BC5886" w:rsidRDefault="00BC588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517E3" w14:textId="77777777" w:rsidR="00415947" w:rsidRDefault="004159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7AC398C" w14:textId="4E390EF5" w:rsidR="008A36CF" w:rsidRDefault="00FD26E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Chromium (</w:t>
        </w:r>
        <w:r w:rsidR="00227BF3">
          <w:rPr>
            <w:b/>
            <w:sz w:val="18"/>
            <w:szCs w:val="18"/>
          </w:rPr>
          <w:t xml:space="preserve">VI) </w:t>
        </w:r>
        <w:r>
          <w:rPr>
            <w:b/>
            <w:sz w:val="18"/>
            <w:szCs w:val="18"/>
          </w:rPr>
          <w:t>(as Cr)</w:t>
        </w:r>
        <w:r w:rsidR="008A36CF">
          <w:rPr>
            <w:b/>
            <w:sz w:val="18"/>
            <w:szCs w:val="18"/>
          </w:rPr>
          <w:t xml:space="preserve"> (</w:t>
        </w:r>
        <w:r w:rsidR="00227BF3">
          <w:rPr>
            <w:b/>
            <w:sz w:val="18"/>
            <w:szCs w:val="18"/>
          </w:rPr>
          <w:t>CAS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528A161" w14:textId="10DEE55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15947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F342C" w14:textId="77777777" w:rsidR="00415947" w:rsidRDefault="00415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0DFE1" w14:textId="77777777" w:rsidR="00BC5886" w:rsidRDefault="00BC5886" w:rsidP="00F43AD5">
      <w:pPr>
        <w:spacing w:after="0" w:line="240" w:lineRule="auto"/>
      </w:pPr>
      <w:r>
        <w:separator/>
      </w:r>
    </w:p>
  </w:footnote>
  <w:footnote w:type="continuationSeparator" w:id="0">
    <w:p w14:paraId="3A0B21C2" w14:textId="77777777" w:rsidR="00BC5886" w:rsidRDefault="00BC588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989BA" w14:textId="425D9AA8" w:rsidR="00415947" w:rsidRDefault="004159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071D5" w14:textId="1C02FF9E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559F273" wp14:editId="76B717F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D83A0" w14:textId="67083EC9" w:rsidR="00415947" w:rsidRDefault="0041594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BB3D4" w14:textId="5408D11F" w:rsidR="00415947" w:rsidRDefault="0041594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986DE" w14:textId="714B8234" w:rsidR="008A36CF" w:rsidRDefault="00415947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810331" wp14:editId="3464243A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862DF" w14:textId="3A15090B" w:rsidR="00415947" w:rsidRDefault="004159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0AC8D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A9A74DE"/>
    <w:multiLevelType w:val="hybridMultilevel"/>
    <w:tmpl w:val="90E2D5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6288730">
    <w:abstractNumId w:val="0"/>
  </w:num>
  <w:num w:numId="2" w16cid:durableId="753629028">
    <w:abstractNumId w:val="1"/>
  </w:num>
  <w:num w:numId="3" w16cid:durableId="661278114">
    <w:abstractNumId w:val="0"/>
  </w:num>
  <w:num w:numId="4" w16cid:durableId="595602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5E9"/>
    <w:rsid w:val="00013A22"/>
    <w:rsid w:val="00014C3F"/>
    <w:rsid w:val="00017262"/>
    <w:rsid w:val="00017C82"/>
    <w:rsid w:val="00022D78"/>
    <w:rsid w:val="00025BA8"/>
    <w:rsid w:val="00032B88"/>
    <w:rsid w:val="00035E38"/>
    <w:rsid w:val="000410CE"/>
    <w:rsid w:val="00041ADF"/>
    <w:rsid w:val="00046C98"/>
    <w:rsid w:val="00046DF5"/>
    <w:rsid w:val="00052060"/>
    <w:rsid w:val="0005574A"/>
    <w:rsid w:val="00055FE1"/>
    <w:rsid w:val="00056766"/>
    <w:rsid w:val="00056EC2"/>
    <w:rsid w:val="00060B48"/>
    <w:rsid w:val="00067F32"/>
    <w:rsid w:val="00071807"/>
    <w:rsid w:val="0007204E"/>
    <w:rsid w:val="000743C8"/>
    <w:rsid w:val="000803E1"/>
    <w:rsid w:val="00084513"/>
    <w:rsid w:val="00084859"/>
    <w:rsid w:val="00091F26"/>
    <w:rsid w:val="00092D94"/>
    <w:rsid w:val="000A1030"/>
    <w:rsid w:val="000A791F"/>
    <w:rsid w:val="000B0868"/>
    <w:rsid w:val="000B0889"/>
    <w:rsid w:val="000B3E12"/>
    <w:rsid w:val="000B3E78"/>
    <w:rsid w:val="000B7B48"/>
    <w:rsid w:val="000C096D"/>
    <w:rsid w:val="000C139A"/>
    <w:rsid w:val="000C2053"/>
    <w:rsid w:val="000C248C"/>
    <w:rsid w:val="000C4AC5"/>
    <w:rsid w:val="000C6B01"/>
    <w:rsid w:val="000D08DA"/>
    <w:rsid w:val="000D291C"/>
    <w:rsid w:val="000D7EE5"/>
    <w:rsid w:val="000E5A54"/>
    <w:rsid w:val="000E63D3"/>
    <w:rsid w:val="000E67CF"/>
    <w:rsid w:val="00102647"/>
    <w:rsid w:val="0010461E"/>
    <w:rsid w:val="00104DE3"/>
    <w:rsid w:val="00106FAA"/>
    <w:rsid w:val="00113443"/>
    <w:rsid w:val="00122F45"/>
    <w:rsid w:val="001269A7"/>
    <w:rsid w:val="00131092"/>
    <w:rsid w:val="00131927"/>
    <w:rsid w:val="001335AC"/>
    <w:rsid w:val="00140E6A"/>
    <w:rsid w:val="00141E3A"/>
    <w:rsid w:val="00146545"/>
    <w:rsid w:val="00146B75"/>
    <w:rsid w:val="0015266D"/>
    <w:rsid w:val="0015288A"/>
    <w:rsid w:val="0015689F"/>
    <w:rsid w:val="00160F47"/>
    <w:rsid w:val="00166B39"/>
    <w:rsid w:val="00177CA1"/>
    <w:rsid w:val="001801A2"/>
    <w:rsid w:val="00183823"/>
    <w:rsid w:val="00183942"/>
    <w:rsid w:val="001913B5"/>
    <w:rsid w:val="00197346"/>
    <w:rsid w:val="001A009E"/>
    <w:rsid w:val="001A1287"/>
    <w:rsid w:val="001A3859"/>
    <w:rsid w:val="001A3C9D"/>
    <w:rsid w:val="001A43F8"/>
    <w:rsid w:val="001B5987"/>
    <w:rsid w:val="001B79E5"/>
    <w:rsid w:val="001C599B"/>
    <w:rsid w:val="001C5D53"/>
    <w:rsid w:val="001D417C"/>
    <w:rsid w:val="001D56F0"/>
    <w:rsid w:val="001D663B"/>
    <w:rsid w:val="001D7AD9"/>
    <w:rsid w:val="001D7B41"/>
    <w:rsid w:val="001E46DA"/>
    <w:rsid w:val="001E46EA"/>
    <w:rsid w:val="001E71C4"/>
    <w:rsid w:val="001E7D80"/>
    <w:rsid w:val="001F15E0"/>
    <w:rsid w:val="001F4B6C"/>
    <w:rsid w:val="001F62CB"/>
    <w:rsid w:val="001F6ED0"/>
    <w:rsid w:val="001F72E6"/>
    <w:rsid w:val="001F73C5"/>
    <w:rsid w:val="002019B1"/>
    <w:rsid w:val="002046A6"/>
    <w:rsid w:val="00204956"/>
    <w:rsid w:val="00213640"/>
    <w:rsid w:val="00221547"/>
    <w:rsid w:val="002216FC"/>
    <w:rsid w:val="00222533"/>
    <w:rsid w:val="00222F30"/>
    <w:rsid w:val="00224EE2"/>
    <w:rsid w:val="00227BF3"/>
    <w:rsid w:val="00227EC7"/>
    <w:rsid w:val="00231DA2"/>
    <w:rsid w:val="00232C53"/>
    <w:rsid w:val="00233741"/>
    <w:rsid w:val="00244AD1"/>
    <w:rsid w:val="00244B2E"/>
    <w:rsid w:val="002463BC"/>
    <w:rsid w:val="002465CE"/>
    <w:rsid w:val="00253620"/>
    <w:rsid w:val="0025734A"/>
    <w:rsid w:val="00263255"/>
    <w:rsid w:val="00276494"/>
    <w:rsid w:val="00277B0C"/>
    <w:rsid w:val="002909B3"/>
    <w:rsid w:val="00294B4A"/>
    <w:rsid w:val="002A1752"/>
    <w:rsid w:val="002B1A2C"/>
    <w:rsid w:val="002B74AE"/>
    <w:rsid w:val="002C34F2"/>
    <w:rsid w:val="002C58FF"/>
    <w:rsid w:val="002C7AFE"/>
    <w:rsid w:val="002D05D2"/>
    <w:rsid w:val="002D7794"/>
    <w:rsid w:val="002E0D61"/>
    <w:rsid w:val="002E4C7B"/>
    <w:rsid w:val="00301FD8"/>
    <w:rsid w:val="0030740C"/>
    <w:rsid w:val="00315833"/>
    <w:rsid w:val="00315B7A"/>
    <w:rsid w:val="003215EE"/>
    <w:rsid w:val="00321721"/>
    <w:rsid w:val="003218DC"/>
    <w:rsid w:val="00322336"/>
    <w:rsid w:val="003224BF"/>
    <w:rsid w:val="00323B1C"/>
    <w:rsid w:val="003241A8"/>
    <w:rsid w:val="003253F0"/>
    <w:rsid w:val="00332BD6"/>
    <w:rsid w:val="003337DA"/>
    <w:rsid w:val="00334EFB"/>
    <w:rsid w:val="00335CDE"/>
    <w:rsid w:val="003365A5"/>
    <w:rsid w:val="00341F65"/>
    <w:rsid w:val="00347192"/>
    <w:rsid w:val="0034744C"/>
    <w:rsid w:val="00351FE0"/>
    <w:rsid w:val="00352615"/>
    <w:rsid w:val="0035412B"/>
    <w:rsid w:val="003567A8"/>
    <w:rsid w:val="00362895"/>
    <w:rsid w:val="00370A2C"/>
    <w:rsid w:val="00370C95"/>
    <w:rsid w:val="00370DBF"/>
    <w:rsid w:val="00371D76"/>
    <w:rsid w:val="00374B3C"/>
    <w:rsid w:val="00386093"/>
    <w:rsid w:val="003904A4"/>
    <w:rsid w:val="00391841"/>
    <w:rsid w:val="00391B6D"/>
    <w:rsid w:val="00394922"/>
    <w:rsid w:val="00397EE1"/>
    <w:rsid w:val="003A0E32"/>
    <w:rsid w:val="003A2B94"/>
    <w:rsid w:val="003A4A40"/>
    <w:rsid w:val="003B117C"/>
    <w:rsid w:val="003B387D"/>
    <w:rsid w:val="003C0D58"/>
    <w:rsid w:val="003C1C5D"/>
    <w:rsid w:val="003C48F7"/>
    <w:rsid w:val="003C719E"/>
    <w:rsid w:val="003D4FA3"/>
    <w:rsid w:val="003E0807"/>
    <w:rsid w:val="003E51FB"/>
    <w:rsid w:val="003E6B39"/>
    <w:rsid w:val="003F07E1"/>
    <w:rsid w:val="003F6004"/>
    <w:rsid w:val="004030BC"/>
    <w:rsid w:val="00403F7D"/>
    <w:rsid w:val="00406785"/>
    <w:rsid w:val="004079B4"/>
    <w:rsid w:val="00415947"/>
    <w:rsid w:val="00417A56"/>
    <w:rsid w:val="00420957"/>
    <w:rsid w:val="00422A10"/>
    <w:rsid w:val="004241F3"/>
    <w:rsid w:val="00430179"/>
    <w:rsid w:val="00431598"/>
    <w:rsid w:val="004414B5"/>
    <w:rsid w:val="00444482"/>
    <w:rsid w:val="00444B42"/>
    <w:rsid w:val="00444D7C"/>
    <w:rsid w:val="00445E44"/>
    <w:rsid w:val="004509E2"/>
    <w:rsid w:val="004515EE"/>
    <w:rsid w:val="004529F0"/>
    <w:rsid w:val="00452F18"/>
    <w:rsid w:val="0045522C"/>
    <w:rsid w:val="004556C5"/>
    <w:rsid w:val="00460A03"/>
    <w:rsid w:val="00462A98"/>
    <w:rsid w:val="00465F66"/>
    <w:rsid w:val="00472A11"/>
    <w:rsid w:val="00472AAD"/>
    <w:rsid w:val="00472F43"/>
    <w:rsid w:val="00474E33"/>
    <w:rsid w:val="00476803"/>
    <w:rsid w:val="00484CEA"/>
    <w:rsid w:val="00485BFD"/>
    <w:rsid w:val="004867A2"/>
    <w:rsid w:val="00486B76"/>
    <w:rsid w:val="004873F2"/>
    <w:rsid w:val="00490D4C"/>
    <w:rsid w:val="00493A35"/>
    <w:rsid w:val="0049527A"/>
    <w:rsid w:val="004966BF"/>
    <w:rsid w:val="00497984"/>
    <w:rsid w:val="00497C64"/>
    <w:rsid w:val="004A5088"/>
    <w:rsid w:val="004C1E3F"/>
    <w:rsid w:val="004C23F4"/>
    <w:rsid w:val="004C3475"/>
    <w:rsid w:val="004C58B6"/>
    <w:rsid w:val="004D16A3"/>
    <w:rsid w:val="004D4AA1"/>
    <w:rsid w:val="004D6D68"/>
    <w:rsid w:val="004E0A67"/>
    <w:rsid w:val="004E5EDD"/>
    <w:rsid w:val="004E6536"/>
    <w:rsid w:val="004F2C98"/>
    <w:rsid w:val="004F3653"/>
    <w:rsid w:val="004F448A"/>
    <w:rsid w:val="004F493D"/>
    <w:rsid w:val="004F65E8"/>
    <w:rsid w:val="004F7F05"/>
    <w:rsid w:val="0050005E"/>
    <w:rsid w:val="00500623"/>
    <w:rsid w:val="00502B88"/>
    <w:rsid w:val="00510C8D"/>
    <w:rsid w:val="005142C4"/>
    <w:rsid w:val="0051509C"/>
    <w:rsid w:val="005272E2"/>
    <w:rsid w:val="0053108F"/>
    <w:rsid w:val="00532B56"/>
    <w:rsid w:val="00534B10"/>
    <w:rsid w:val="00543F38"/>
    <w:rsid w:val="005446A2"/>
    <w:rsid w:val="00544D2F"/>
    <w:rsid w:val="00551BD8"/>
    <w:rsid w:val="00552E73"/>
    <w:rsid w:val="00556FD8"/>
    <w:rsid w:val="00561636"/>
    <w:rsid w:val="00581055"/>
    <w:rsid w:val="00584C02"/>
    <w:rsid w:val="00591E38"/>
    <w:rsid w:val="005A0CAE"/>
    <w:rsid w:val="005A0E95"/>
    <w:rsid w:val="005A19C5"/>
    <w:rsid w:val="005A3034"/>
    <w:rsid w:val="005A4466"/>
    <w:rsid w:val="005A462D"/>
    <w:rsid w:val="005B253B"/>
    <w:rsid w:val="005B3AAE"/>
    <w:rsid w:val="005B771D"/>
    <w:rsid w:val="005C3C88"/>
    <w:rsid w:val="005C5D16"/>
    <w:rsid w:val="005D3193"/>
    <w:rsid w:val="005D4A6E"/>
    <w:rsid w:val="005E1A84"/>
    <w:rsid w:val="005E6979"/>
    <w:rsid w:val="005E75CB"/>
    <w:rsid w:val="005F043F"/>
    <w:rsid w:val="005F1611"/>
    <w:rsid w:val="005F5A03"/>
    <w:rsid w:val="006013C1"/>
    <w:rsid w:val="00603330"/>
    <w:rsid w:val="0060669E"/>
    <w:rsid w:val="00610F2E"/>
    <w:rsid w:val="00611399"/>
    <w:rsid w:val="0061307C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2557"/>
    <w:rsid w:val="006939B9"/>
    <w:rsid w:val="00695B72"/>
    <w:rsid w:val="006A04CF"/>
    <w:rsid w:val="006B160A"/>
    <w:rsid w:val="006B4E6C"/>
    <w:rsid w:val="006B50B6"/>
    <w:rsid w:val="006D79EA"/>
    <w:rsid w:val="006D7A3B"/>
    <w:rsid w:val="006E1203"/>
    <w:rsid w:val="006E388B"/>
    <w:rsid w:val="006E5D05"/>
    <w:rsid w:val="006F5C17"/>
    <w:rsid w:val="006F70A6"/>
    <w:rsid w:val="00701053"/>
    <w:rsid w:val="00701507"/>
    <w:rsid w:val="007067B8"/>
    <w:rsid w:val="00714021"/>
    <w:rsid w:val="00716A0F"/>
    <w:rsid w:val="00717D45"/>
    <w:rsid w:val="0072033B"/>
    <w:rsid w:val="007208F7"/>
    <w:rsid w:val="007218AF"/>
    <w:rsid w:val="007307F7"/>
    <w:rsid w:val="007365D1"/>
    <w:rsid w:val="00740E0E"/>
    <w:rsid w:val="00750212"/>
    <w:rsid w:val="00751032"/>
    <w:rsid w:val="00754779"/>
    <w:rsid w:val="007552D5"/>
    <w:rsid w:val="0075716D"/>
    <w:rsid w:val="00757673"/>
    <w:rsid w:val="00757CE9"/>
    <w:rsid w:val="00765F14"/>
    <w:rsid w:val="00770E31"/>
    <w:rsid w:val="00772D34"/>
    <w:rsid w:val="007770F1"/>
    <w:rsid w:val="00781717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764D"/>
    <w:rsid w:val="007E063C"/>
    <w:rsid w:val="007E2A4B"/>
    <w:rsid w:val="007E307D"/>
    <w:rsid w:val="007E454B"/>
    <w:rsid w:val="007E6A4E"/>
    <w:rsid w:val="007E6C94"/>
    <w:rsid w:val="007F1005"/>
    <w:rsid w:val="007F25E0"/>
    <w:rsid w:val="007F5328"/>
    <w:rsid w:val="007F57E0"/>
    <w:rsid w:val="00804F5A"/>
    <w:rsid w:val="00810C6D"/>
    <w:rsid w:val="00812887"/>
    <w:rsid w:val="00826F21"/>
    <w:rsid w:val="00834CC8"/>
    <w:rsid w:val="00835E00"/>
    <w:rsid w:val="00837113"/>
    <w:rsid w:val="00841468"/>
    <w:rsid w:val="008414E4"/>
    <w:rsid w:val="00843E21"/>
    <w:rsid w:val="0084508E"/>
    <w:rsid w:val="00846927"/>
    <w:rsid w:val="00846C3D"/>
    <w:rsid w:val="00857A8A"/>
    <w:rsid w:val="00862D57"/>
    <w:rsid w:val="008630EE"/>
    <w:rsid w:val="00864D13"/>
    <w:rsid w:val="0086664A"/>
    <w:rsid w:val="00871CD5"/>
    <w:rsid w:val="008745A2"/>
    <w:rsid w:val="008768A8"/>
    <w:rsid w:val="0088798F"/>
    <w:rsid w:val="00887E4B"/>
    <w:rsid w:val="008915C8"/>
    <w:rsid w:val="00896CE6"/>
    <w:rsid w:val="008A36CF"/>
    <w:rsid w:val="008A3BC4"/>
    <w:rsid w:val="008B1F59"/>
    <w:rsid w:val="008B246C"/>
    <w:rsid w:val="008B403C"/>
    <w:rsid w:val="008B7983"/>
    <w:rsid w:val="008C2511"/>
    <w:rsid w:val="008D026D"/>
    <w:rsid w:val="008D23AB"/>
    <w:rsid w:val="008D4B8B"/>
    <w:rsid w:val="008D5A78"/>
    <w:rsid w:val="008E7B64"/>
    <w:rsid w:val="008F47FA"/>
    <w:rsid w:val="008F56A6"/>
    <w:rsid w:val="008F5DCD"/>
    <w:rsid w:val="008F5DEE"/>
    <w:rsid w:val="00900951"/>
    <w:rsid w:val="009118A6"/>
    <w:rsid w:val="00913977"/>
    <w:rsid w:val="00916909"/>
    <w:rsid w:val="00916EC0"/>
    <w:rsid w:val="00920467"/>
    <w:rsid w:val="00921DE7"/>
    <w:rsid w:val="0092488C"/>
    <w:rsid w:val="00924CD9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6C1A"/>
    <w:rsid w:val="0095260E"/>
    <w:rsid w:val="009578DD"/>
    <w:rsid w:val="00961124"/>
    <w:rsid w:val="009621B6"/>
    <w:rsid w:val="00974F2D"/>
    <w:rsid w:val="00977524"/>
    <w:rsid w:val="00977E88"/>
    <w:rsid w:val="0098341C"/>
    <w:rsid w:val="00984920"/>
    <w:rsid w:val="0099303A"/>
    <w:rsid w:val="009971C2"/>
    <w:rsid w:val="009A1254"/>
    <w:rsid w:val="009A3205"/>
    <w:rsid w:val="009A4DDF"/>
    <w:rsid w:val="009A7052"/>
    <w:rsid w:val="009B2FF2"/>
    <w:rsid w:val="009B380C"/>
    <w:rsid w:val="009B4843"/>
    <w:rsid w:val="009B6543"/>
    <w:rsid w:val="009C199D"/>
    <w:rsid w:val="009C278F"/>
    <w:rsid w:val="009C2B94"/>
    <w:rsid w:val="009C5874"/>
    <w:rsid w:val="009C7C84"/>
    <w:rsid w:val="009D3B5A"/>
    <w:rsid w:val="009E0C05"/>
    <w:rsid w:val="009E0D1C"/>
    <w:rsid w:val="009E2214"/>
    <w:rsid w:val="009E355A"/>
    <w:rsid w:val="009E4318"/>
    <w:rsid w:val="009E63E2"/>
    <w:rsid w:val="009F0063"/>
    <w:rsid w:val="009F04D2"/>
    <w:rsid w:val="009F05CF"/>
    <w:rsid w:val="009F0F3A"/>
    <w:rsid w:val="00A01D0C"/>
    <w:rsid w:val="00A0643F"/>
    <w:rsid w:val="00A067EE"/>
    <w:rsid w:val="00A0723B"/>
    <w:rsid w:val="00A10FCE"/>
    <w:rsid w:val="00A13C44"/>
    <w:rsid w:val="00A16D91"/>
    <w:rsid w:val="00A174CC"/>
    <w:rsid w:val="00A2073D"/>
    <w:rsid w:val="00A20751"/>
    <w:rsid w:val="00A2596E"/>
    <w:rsid w:val="00A27E2D"/>
    <w:rsid w:val="00A31D99"/>
    <w:rsid w:val="00A3414E"/>
    <w:rsid w:val="00A34E3F"/>
    <w:rsid w:val="00A357BA"/>
    <w:rsid w:val="00A35ADC"/>
    <w:rsid w:val="00A402A3"/>
    <w:rsid w:val="00A53681"/>
    <w:rsid w:val="00A633D4"/>
    <w:rsid w:val="00A6461A"/>
    <w:rsid w:val="00A64D47"/>
    <w:rsid w:val="00A8260A"/>
    <w:rsid w:val="00A84504"/>
    <w:rsid w:val="00A847B8"/>
    <w:rsid w:val="00A85C01"/>
    <w:rsid w:val="00A8672F"/>
    <w:rsid w:val="00A86A6F"/>
    <w:rsid w:val="00A93057"/>
    <w:rsid w:val="00A968B0"/>
    <w:rsid w:val="00AA3CC6"/>
    <w:rsid w:val="00AB2086"/>
    <w:rsid w:val="00AB2672"/>
    <w:rsid w:val="00AB2817"/>
    <w:rsid w:val="00AB43C4"/>
    <w:rsid w:val="00AC32E7"/>
    <w:rsid w:val="00AC3A9F"/>
    <w:rsid w:val="00AC6A5C"/>
    <w:rsid w:val="00AC6D2F"/>
    <w:rsid w:val="00AD418D"/>
    <w:rsid w:val="00AE2745"/>
    <w:rsid w:val="00AE2F64"/>
    <w:rsid w:val="00AE67A3"/>
    <w:rsid w:val="00AF42CB"/>
    <w:rsid w:val="00AF483F"/>
    <w:rsid w:val="00AF5E07"/>
    <w:rsid w:val="00AF5F06"/>
    <w:rsid w:val="00B00907"/>
    <w:rsid w:val="00B00A25"/>
    <w:rsid w:val="00B1422A"/>
    <w:rsid w:val="00B1765C"/>
    <w:rsid w:val="00B213C4"/>
    <w:rsid w:val="00B21B4F"/>
    <w:rsid w:val="00B36C0C"/>
    <w:rsid w:val="00B40C60"/>
    <w:rsid w:val="00B439D4"/>
    <w:rsid w:val="00B44637"/>
    <w:rsid w:val="00B450D0"/>
    <w:rsid w:val="00B47199"/>
    <w:rsid w:val="00B479A9"/>
    <w:rsid w:val="00B52EDF"/>
    <w:rsid w:val="00B6623F"/>
    <w:rsid w:val="00B71188"/>
    <w:rsid w:val="00B76A41"/>
    <w:rsid w:val="00B76D2B"/>
    <w:rsid w:val="00B82550"/>
    <w:rsid w:val="00B848E7"/>
    <w:rsid w:val="00B87D4C"/>
    <w:rsid w:val="00B93646"/>
    <w:rsid w:val="00B967EA"/>
    <w:rsid w:val="00B97504"/>
    <w:rsid w:val="00BA0B38"/>
    <w:rsid w:val="00BA1DBB"/>
    <w:rsid w:val="00BA4510"/>
    <w:rsid w:val="00BA529A"/>
    <w:rsid w:val="00BB154E"/>
    <w:rsid w:val="00BB612A"/>
    <w:rsid w:val="00BC5886"/>
    <w:rsid w:val="00BD499F"/>
    <w:rsid w:val="00BD56DE"/>
    <w:rsid w:val="00BE2107"/>
    <w:rsid w:val="00BE7AF7"/>
    <w:rsid w:val="00BF2406"/>
    <w:rsid w:val="00BF6577"/>
    <w:rsid w:val="00C03FE9"/>
    <w:rsid w:val="00C0619A"/>
    <w:rsid w:val="00C06E43"/>
    <w:rsid w:val="00C16315"/>
    <w:rsid w:val="00C16C30"/>
    <w:rsid w:val="00C17256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25DA"/>
    <w:rsid w:val="00C74833"/>
    <w:rsid w:val="00C850A0"/>
    <w:rsid w:val="00C85A86"/>
    <w:rsid w:val="00C91DA2"/>
    <w:rsid w:val="00C978F0"/>
    <w:rsid w:val="00CA58FE"/>
    <w:rsid w:val="00CB1CB1"/>
    <w:rsid w:val="00CB6BC1"/>
    <w:rsid w:val="00CB6CB8"/>
    <w:rsid w:val="00CB74A4"/>
    <w:rsid w:val="00CB7EDD"/>
    <w:rsid w:val="00CC1A68"/>
    <w:rsid w:val="00CC2123"/>
    <w:rsid w:val="00CC7A00"/>
    <w:rsid w:val="00CD05A6"/>
    <w:rsid w:val="00CD2BFD"/>
    <w:rsid w:val="00CD773B"/>
    <w:rsid w:val="00CE5AD6"/>
    <w:rsid w:val="00CE617F"/>
    <w:rsid w:val="00CE78EF"/>
    <w:rsid w:val="00D048F7"/>
    <w:rsid w:val="00D04BEE"/>
    <w:rsid w:val="00D0517E"/>
    <w:rsid w:val="00D06AA9"/>
    <w:rsid w:val="00D140FC"/>
    <w:rsid w:val="00D21D8C"/>
    <w:rsid w:val="00D31357"/>
    <w:rsid w:val="00D31803"/>
    <w:rsid w:val="00D33220"/>
    <w:rsid w:val="00D334D1"/>
    <w:rsid w:val="00D44C89"/>
    <w:rsid w:val="00D475FB"/>
    <w:rsid w:val="00D516CD"/>
    <w:rsid w:val="00D633CC"/>
    <w:rsid w:val="00D668E6"/>
    <w:rsid w:val="00D70670"/>
    <w:rsid w:val="00D74D80"/>
    <w:rsid w:val="00D76624"/>
    <w:rsid w:val="00D8650F"/>
    <w:rsid w:val="00D87570"/>
    <w:rsid w:val="00D91CB9"/>
    <w:rsid w:val="00D97989"/>
    <w:rsid w:val="00D97D8D"/>
    <w:rsid w:val="00DA0E4B"/>
    <w:rsid w:val="00DA352E"/>
    <w:rsid w:val="00DA3897"/>
    <w:rsid w:val="00DA69E1"/>
    <w:rsid w:val="00DB1A2F"/>
    <w:rsid w:val="00DC480D"/>
    <w:rsid w:val="00DC7694"/>
    <w:rsid w:val="00DD1BF6"/>
    <w:rsid w:val="00DD2F9B"/>
    <w:rsid w:val="00DD668F"/>
    <w:rsid w:val="00DD7A1A"/>
    <w:rsid w:val="00DE0875"/>
    <w:rsid w:val="00DE2513"/>
    <w:rsid w:val="00DE26E8"/>
    <w:rsid w:val="00DF116C"/>
    <w:rsid w:val="00DF6F36"/>
    <w:rsid w:val="00E0084C"/>
    <w:rsid w:val="00E022C3"/>
    <w:rsid w:val="00E025AB"/>
    <w:rsid w:val="00E02B23"/>
    <w:rsid w:val="00E0391A"/>
    <w:rsid w:val="00E06F40"/>
    <w:rsid w:val="00E07CE8"/>
    <w:rsid w:val="00E1318A"/>
    <w:rsid w:val="00E217EA"/>
    <w:rsid w:val="00E26A07"/>
    <w:rsid w:val="00E32595"/>
    <w:rsid w:val="00E37CFD"/>
    <w:rsid w:val="00E41A26"/>
    <w:rsid w:val="00E4323C"/>
    <w:rsid w:val="00E46BCB"/>
    <w:rsid w:val="00E51CAF"/>
    <w:rsid w:val="00E55778"/>
    <w:rsid w:val="00E60F04"/>
    <w:rsid w:val="00E62AAC"/>
    <w:rsid w:val="00E67C2F"/>
    <w:rsid w:val="00E67EF5"/>
    <w:rsid w:val="00E804EA"/>
    <w:rsid w:val="00E80A71"/>
    <w:rsid w:val="00E82337"/>
    <w:rsid w:val="00E83762"/>
    <w:rsid w:val="00E92499"/>
    <w:rsid w:val="00E9486C"/>
    <w:rsid w:val="00E949AF"/>
    <w:rsid w:val="00E95EB7"/>
    <w:rsid w:val="00E96077"/>
    <w:rsid w:val="00EA0A06"/>
    <w:rsid w:val="00EA6243"/>
    <w:rsid w:val="00EA74AB"/>
    <w:rsid w:val="00EB1130"/>
    <w:rsid w:val="00EB1E99"/>
    <w:rsid w:val="00EB3D1B"/>
    <w:rsid w:val="00ED1D89"/>
    <w:rsid w:val="00ED2580"/>
    <w:rsid w:val="00ED27B3"/>
    <w:rsid w:val="00ED30DA"/>
    <w:rsid w:val="00ED66BC"/>
    <w:rsid w:val="00ED7550"/>
    <w:rsid w:val="00EE4894"/>
    <w:rsid w:val="00EF233A"/>
    <w:rsid w:val="00EF303E"/>
    <w:rsid w:val="00EF32FC"/>
    <w:rsid w:val="00EF3A40"/>
    <w:rsid w:val="00EF517B"/>
    <w:rsid w:val="00EF7F78"/>
    <w:rsid w:val="00F019F8"/>
    <w:rsid w:val="00F01B08"/>
    <w:rsid w:val="00F01C4D"/>
    <w:rsid w:val="00F053FA"/>
    <w:rsid w:val="00F10C97"/>
    <w:rsid w:val="00F116D0"/>
    <w:rsid w:val="00F11C71"/>
    <w:rsid w:val="00F16019"/>
    <w:rsid w:val="00F17A20"/>
    <w:rsid w:val="00F20E68"/>
    <w:rsid w:val="00F22093"/>
    <w:rsid w:val="00F236DF"/>
    <w:rsid w:val="00F43AD5"/>
    <w:rsid w:val="00F4402E"/>
    <w:rsid w:val="00F50308"/>
    <w:rsid w:val="00F51193"/>
    <w:rsid w:val="00F52EA2"/>
    <w:rsid w:val="00F56DD0"/>
    <w:rsid w:val="00F6491C"/>
    <w:rsid w:val="00F652A7"/>
    <w:rsid w:val="00F67BBB"/>
    <w:rsid w:val="00F8238F"/>
    <w:rsid w:val="00F8241D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5675"/>
    <w:rsid w:val="00FB755A"/>
    <w:rsid w:val="00FC26BF"/>
    <w:rsid w:val="00FC60A2"/>
    <w:rsid w:val="00FC6CB4"/>
    <w:rsid w:val="00FD1871"/>
    <w:rsid w:val="00FD23E3"/>
    <w:rsid w:val="00FD26E2"/>
    <w:rsid w:val="00FD3110"/>
    <w:rsid w:val="00FD63BA"/>
    <w:rsid w:val="00FD70DF"/>
    <w:rsid w:val="00FD751F"/>
    <w:rsid w:val="00FE2F6E"/>
    <w:rsid w:val="00FE4C50"/>
    <w:rsid w:val="00FF279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81547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22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233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233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336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3F6004"/>
    <w:pPr>
      <w:numPr>
        <w:numId w:val="1"/>
      </w:numPr>
      <w:contextualSpacing/>
    </w:pPr>
  </w:style>
  <w:style w:type="paragraph" w:customStyle="1" w:styleId="Default">
    <w:name w:val="Default"/>
    <w:rsid w:val="00757CE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e24kjd">
    <w:name w:val="e24kjd"/>
    <w:basedOn w:val="DefaultParagraphFont"/>
    <w:rsid w:val="00091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BB77CDF1473404A96658D63383E7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D0F89-0C80-4264-8E28-9CA499B12097}"/>
      </w:docPartPr>
      <w:docPartBody>
        <w:p w:rsidR="007621B2" w:rsidRDefault="00776CEB" w:rsidP="00776CEB">
          <w:pPr>
            <w:pStyle w:val="1BB77CDF1473404A96658D63383E79AA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67C6DBF03E0E4CF7A0215FA1C0CC6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E613CD-2ED1-490C-A835-38DE3B024CD4}"/>
      </w:docPartPr>
      <w:docPartBody>
        <w:p w:rsidR="007621B2" w:rsidRDefault="00776CEB" w:rsidP="00776CEB">
          <w:pPr>
            <w:pStyle w:val="67C6DBF03E0E4CF7A0215FA1C0CC6D92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31AF10304FE4327AB904340D58C1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7DFC5-09F0-4ACF-A926-21E0DADDEB11}"/>
      </w:docPartPr>
      <w:docPartBody>
        <w:p w:rsidR="007621B2" w:rsidRDefault="00776CEB" w:rsidP="00776CEB">
          <w:pPr>
            <w:pStyle w:val="731AF10304FE4327AB904340D58C1BF5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76D945ED98614793BD5D3D9C68637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32935-0FD1-4D5D-A54E-14D0110D48BC}"/>
      </w:docPartPr>
      <w:docPartBody>
        <w:p w:rsidR="007621B2" w:rsidRDefault="00776CEB" w:rsidP="00776CEB">
          <w:pPr>
            <w:pStyle w:val="76D945ED98614793BD5D3D9C686372ED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D79C9712863D40EE8BAD3F1853BCC7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5C7EB-80D8-4E61-86A2-0A94290B9A5A}"/>
      </w:docPartPr>
      <w:docPartBody>
        <w:p w:rsidR="007621B2" w:rsidRDefault="00776CEB" w:rsidP="00776CEB">
          <w:pPr>
            <w:pStyle w:val="D79C9712863D40EE8BAD3F1853BCC71F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25CA7EAC78874966B520890F6152A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39576-4EB5-4AD9-A193-574A1DA9D2A1}"/>
      </w:docPartPr>
      <w:docPartBody>
        <w:p w:rsidR="007621B2" w:rsidRDefault="00776CEB" w:rsidP="00776CEB">
          <w:pPr>
            <w:pStyle w:val="25CA7EAC78874966B520890F6152A203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99069E149FE540D9862FCBCDBB139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6B094-ADF7-4FBC-8DC6-4600D2DC0AA4}"/>
      </w:docPartPr>
      <w:docPartBody>
        <w:p w:rsidR="007621B2" w:rsidRDefault="00776CEB" w:rsidP="00776CEB">
          <w:pPr>
            <w:pStyle w:val="99069E149FE540D9862FCBCDBB13904F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A1102523E614241BDDD47778E1A78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00ECA-41FD-4480-B213-F718DE7B587A}"/>
      </w:docPartPr>
      <w:docPartBody>
        <w:p w:rsidR="003B0303" w:rsidRDefault="007621B2" w:rsidP="007621B2">
          <w:pPr>
            <w:pStyle w:val="CA1102523E614241BDDD47778E1A78CB"/>
          </w:pPr>
          <w:r w:rsidRPr="00F02F8D">
            <w:rPr>
              <w:rStyle w:val="PlaceholderText"/>
              <w:rFonts w:eastAsiaTheme="minorHAnsi"/>
              <w:color w:val="00B050"/>
            </w:rPr>
            <w:t>201</w:t>
          </w:r>
          <w:r>
            <w:rPr>
              <w:rStyle w:val="PlaceholderText"/>
              <w:rFonts w:eastAsiaTheme="minorHAnsi"/>
              <w:color w:val="00B050"/>
            </w:rPr>
            <w:t>2</w:t>
          </w:r>
        </w:p>
      </w:docPartBody>
    </w:docPart>
    <w:docPart>
      <w:docPartPr>
        <w:name w:val="A9700AA9BE664E7ABDCC6418A8FE1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78B55-E5AF-460A-9BF0-C29A92D52E5F}"/>
      </w:docPartPr>
      <w:docPartBody>
        <w:p w:rsidR="003B0303" w:rsidRDefault="007621B2" w:rsidP="007621B2">
          <w:pPr>
            <w:pStyle w:val="A9700AA9BE664E7ABDCC6418A8FE1E09"/>
          </w:pPr>
          <w:r w:rsidRPr="0071660C">
            <w:rPr>
              <w:color w:val="00B050"/>
            </w:rPr>
            <w:t>Arsenic, Metals, Fibres and Dust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B0303"/>
    <w:rsid w:val="00563F56"/>
    <w:rsid w:val="007621B2"/>
    <w:rsid w:val="00776CEB"/>
    <w:rsid w:val="007C51EF"/>
    <w:rsid w:val="008F0BF5"/>
    <w:rsid w:val="00C0619A"/>
    <w:rsid w:val="00D21A9F"/>
    <w:rsid w:val="00F4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21B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F426C563814E402488AC06CC39354A11">
    <w:name w:val="F426C563814E402488AC06CC39354A1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BB77CDF1473404A96658D63383E79AA">
    <w:name w:val="1BB77CDF1473404A96658D63383E79AA"/>
    <w:rsid w:val="00776CEB"/>
  </w:style>
  <w:style w:type="paragraph" w:customStyle="1" w:styleId="67C6DBF03E0E4CF7A0215FA1C0CC6D92">
    <w:name w:val="67C6DBF03E0E4CF7A0215FA1C0CC6D92"/>
    <w:rsid w:val="00776CEB"/>
  </w:style>
  <w:style w:type="paragraph" w:customStyle="1" w:styleId="731AF10304FE4327AB904340D58C1BF5">
    <w:name w:val="731AF10304FE4327AB904340D58C1BF5"/>
    <w:rsid w:val="00776CEB"/>
  </w:style>
  <w:style w:type="paragraph" w:customStyle="1" w:styleId="76D945ED98614793BD5D3D9C686372ED">
    <w:name w:val="76D945ED98614793BD5D3D9C686372ED"/>
    <w:rsid w:val="00776CEB"/>
  </w:style>
  <w:style w:type="paragraph" w:customStyle="1" w:styleId="D79C9712863D40EE8BAD3F1853BCC71F">
    <w:name w:val="D79C9712863D40EE8BAD3F1853BCC71F"/>
    <w:rsid w:val="00776CEB"/>
  </w:style>
  <w:style w:type="paragraph" w:customStyle="1" w:styleId="25CA7EAC78874966B520890F6152A203">
    <w:name w:val="25CA7EAC78874966B520890F6152A203"/>
    <w:rsid w:val="00776CEB"/>
  </w:style>
  <w:style w:type="paragraph" w:customStyle="1" w:styleId="99069E149FE540D9862FCBCDBB13904F">
    <w:name w:val="99069E149FE540D9862FCBCDBB13904F"/>
    <w:rsid w:val="00776CEB"/>
  </w:style>
  <w:style w:type="paragraph" w:customStyle="1" w:styleId="CA1102523E614241BDDD47778E1A78CB">
    <w:name w:val="CA1102523E614241BDDD47778E1A78CB"/>
    <w:rsid w:val="007621B2"/>
    <w:rPr>
      <w:lang w:val="en-US" w:eastAsia="en-US"/>
    </w:rPr>
  </w:style>
  <w:style w:type="paragraph" w:customStyle="1" w:styleId="A9700AA9BE664E7ABDCC6418A8FE1E09">
    <w:name w:val="A9700AA9BE664E7ABDCC6418A8FE1E09"/>
    <w:rsid w:val="007621B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0F965-26AC-485C-865B-CDA7B0E02C70}"/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3DCD94-B42F-43A1-8C90-3FEFDA93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5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98</cp:revision>
  <cp:lastPrinted>2019-10-10T05:06:00Z</cp:lastPrinted>
  <dcterms:created xsi:type="dcterms:W3CDTF">2019-08-06T23:18:00Z</dcterms:created>
  <dcterms:modified xsi:type="dcterms:W3CDTF">2025-12-19T00:28:00Z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2025-12-19T00:28:21Z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541e1c13-3877-40bb-810b-ef8657352b9a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