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2A670" w14:textId="460C04FA" w:rsidR="00BD499F" w:rsidRPr="004C23F4" w:rsidRDefault="00886C4B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9919AF" w:rsidRPr="00CF013A">
            <w:rPr>
              <w:rFonts w:ascii="Arial" w:hAnsi="Arial" w:cs="Arial"/>
            </w:rPr>
            <w:t>2,4-D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2"/>
        <w:gridCol w:w="5054"/>
      </w:tblGrid>
      <w:tr w:rsidR="00F43AD5" w:rsidRPr="004C23F4" w14:paraId="06D13D15" w14:textId="77777777" w:rsidTr="007F3ED7">
        <w:trPr>
          <w:cantSplit/>
          <w:tblHeader/>
        </w:trPr>
        <w:tc>
          <w:tcPr>
            <w:tcW w:w="3972" w:type="dxa"/>
          </w:tcPr>
          <w:p w14:paraId="5617C11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4" w:type="dxa"/>
          </w:tcPr>
          <w:p w14:paraId="6857AE93" w14:textId="5E84167C" w:rsidR="00F43AD5" w:rsidRPr="00717D45" w:rsidRDefault="00CF013A" w:rsidP="00B76A41">
            <w:pPr>
              <w:pStyle w:val="Tablefont"/>
            </w:pPr>
            <w:r w:rsidRPr="00CF013A">
              <w:t>94-75-7</w:t>
            </w:r>
          </w:p>
        </w:tc>
      </w:tr>
      <w:tr w:rsidR="00F43AD5" w:rsidRPr="004C23F4" w14:paraId="640F5635" w14:textId="77777777" w:rsidTr="007F3ED7">
        <w:trPr>
          <w:cantSplit/>
        </w:trPr>
        <w:tc>
          <w:tcPr>
            <w:tcW w:w="3972" w:type="dxa"/>
          </w:tcPr>
          <w:p w14:paraId="242115E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4" w:type="dxa"/>
          </w:tcPr>
          <w:p w14:paraId="24517557" w14:textId="706B70C6" w:rsidR="00F43AD5" w:rsidRPr="00717D45" w:rsidRDefault="00CF013A" w:rsidP="00B76A41">
            <w:pPr>
              <w:pStyle w:val="Tablefont"/>
            </w:pPr>
            <w:r>
              <w:t>2,4-Dichlorophenoxyacetic acid, hedonal, Weed</w:t>
            </w:r>
            <w:r w:rsidR="009919AF">
              <w:noBreakHyphen/>
            </w:r>
            <w:r>
              <w:t>B</w:t>
            </w:r>
            <w:r w:rsidR="009919AF">
              <w:noBreakHyphen/>
            </w:r>
            <w:r>
              <w:t>Gon</w:t>
            </w:r>
          </w:p>
        </w:tc>
      </w:tr>
      <w:tr w:rsidR="00F43AD5" w:rsidRPr="004C23F4" w14:paraId="0045BB4E" w14:textId="77777777" w:rsidTr="007F3ED7">
        <w:trPr>
          <w:cantSplit/>
        </w:trPr>
        <w:tc>
          <w:tcPr>
            <w:tcW w:w="3972" w:type="dxa"/>
          </w:tcPr>
          <w:p w14:paraId="3B6B13A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4" w:type="dxa"/>
          </w:tcPr>
          <w:p w14:paraId="15DDFD29" w14:textId="087B09E4" w:rsidR="00F43AD5" w:rsidRPr="00717D45" w:rsidRDefault="00CF013A" w:rsidP="00B76A41">
            <w:pPr>
              <w:pStyle w:val="Tablefont"/>
            </w:pPr>
            <w:r>
              <w:t>C</w:t>
            </w:r>
            <w:r w:rsidRPr="00CF013A">
              <w:rPr>
                <w:vertAlign w:val="subscript"/>
              </w:rPr>
              <w:t>8</w:t>
            </w:r>
            <w:r>
              <w:t>H</w:t>
            </w:r>
            <w:r w:rsidRPr="00CF013A">
              <w:rPr>
                <w:vertAlign w:val="subscript"/>
              </w:rPr>
              <w:t>6</w:t>
            </w:r>
            <w:r>
              <w:t>Cl</w:t>
            </w:r>
            <w:r w:rsidRPr="00CF013A">
              <w:rPr>
                <w:vertAlign w:val="subscript"/>
              </w:rPr>
              <w:t>2</w:t>
            </w:r>
            <w:r>
              <w:t>O</w:t>
            </w:r>
            <w:r w:rsidRPr="00CF013A">
              <w:rPr>
                <w:vertAlign w:val="subscript"/>
              </w:rPr>
              <w:t>3</w:t>
            </w:r>
          </w:p>
        </w:tc>
      </w:tr>
    </w:tbl>
    <w:p w14:paraId="16B77097" w14:textId="1D9ACB6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969B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828"/>
        <w:gridCol w:w="5029"/>
      </w:tblGrid>
      <w:tr w:rsidR="002C7AFE" w:rsidRPr="004C23F4" w14:paraId="64AC097B" w14:textId="77777777" w:rsidTr="009919AF">
        <w:trPr>
          <w:cantSplit/>
          <w:tblHeader/>
        </w:trPr>
        <w:tc>
          <w:tcPr>
            <w:tcW w:w="3828" w:type="dxa"/>
            <w:vAlign w:val="center"/>
          </w:tcPr>
          <w:p w14:paraId="16671B0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0C84FB5E" w14:textId="2F2E7BA3" w:rsidR="002C7AFE" w:rsidRPr="007F3ED7" w:rsidRDefault="00814CE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mg/m</w:t>
            </w:r>
            <w:r w:rsidRPr="00814CE2">
              <w:rPr>
                <w:b/>
                <w:vertAlign w:val="superscript"/>
              </w:rPr>
              <w:t>3</w:t>
            </w:r>
            <w:r w:rsidR="007F3ED7">
              <w:rPr>
                <w:b/>
              </w:rPr>
              <w:t xml:space="preserve"> (1.11 ppm)</w:t>
            </w:r>
          </w:p>
        </w:tc>
      </w:tr>
      <w:tr w:rsidR="002C7AFE" w:rsidRPr="004C23F4" w14:paraId="79B89458" w14:textId="77777777" w:rsidTr="009919AF">
        <w:trPr>
          <w:cantSplit/>
        </w:trPr>
        <w:tc>
          <w:tcPr>
            <w:tcW w:w="3828" w:type="dxa"/>
            <w:vAlign w:val="center"/>
          </w:tcPr>
          <w:p w14:paraId="36F4A6B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62ABF3E5" w14:textId="5D33494D" w:rsidR="002C7AFE" w:rsidRPr="00EB3D1B" w:rsidRDefault="008969B0" w:rsidP="00017C82">
            <w:pPr>
              <w:pStyle w:val="Tablefont"/>
              <w:rPr>
                <w:b/>
              </w:rPr>
            </w:pPr>
            <w:r w:rsidRPr="00CF013A">
              <w:t>—</w:t>
            </w:r>
          </w:p>
        </w:tc>
      </w:tr>
      <w:tr w:rsidR="002C7AFE" w:rsidRPr="004C23F4" w14:paraId="12FD32A0" w14:textId="77777777" w:rsidTr="009919AF">
        <w:trPr>
          <w:cantSplit/>
        </w:trPr>
        <w:tc>
          <w:tcPr>
            <w:tcW w:w="3828" w:type="dxa"/>
            <w:vAlign w:val="center"/>
          </w:tcPr>
          <w:p w14:paraId="391FF35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19C76F15" w14:textId="21D74732" w:rsidR="002C7AFE" w:rsidRPr="00EB3D1B" w:rsidRDefault="008969B0" w:rsidP="00017C82">
            <w:pPr>
              <w:pStyle w:val="Tablefont"/>
              <w:rPr>
                <w:b/>
              </w:rPr>
            </w:pPr>
            <w:r w:rsidRPr="00CF013A">
              <w:t>—</w:t>
            </w:r>
          </w:p>
        </w:tc>
      </w:tr>
      <w:tr w:rsidR="002C7AFE" w:rsidRPr="004C23F4" w14:paraId="3CC471C5" w14:textId="77777777" w:rsidTr="009919AF">
        <w:trPr>
          <w:cantSplit/>
        </w:trPr>
        <w:tc>
          <w:tcPr>
            <w:tcW w:w="3828" w:type="dxa"/>
          </w:tcPr>
          <w:p w14:paraId="168BEE3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113F1990" w14:textId="635AEBEF" w:rsidR="002C7AFE" w:rsidRPr="00EB3D1B" w:rsidRDefault="00A540D7" w:rsidP="008A36CF">
            <w:pPr>
              <w:pStyle w:val="Tablefont"/>
              <w:rPr>
                <w:b/>
              </w:rPr>
            </w:pPr>
            <w:r w:rsidRPr="00C20350">
              <w:rPr>
                <w:b/>
              </w:rPr>
              <w:t>—</w:t>
            </w:r>
          </w:p>
        </w:tc>
      </w:tr>
      <w:tr w:rsidR="002C7AFE" w:rsidRPr="004C23F4" w14:paraId="7C769451" w14:textId="77777777" w:rsidTr="009919AF">
        <w:trPr>
          <w:cantSplit/>
        </w:trPr>
        <w:tc>
          <w:tcPr>
            <w:tcW w:w="3828" w:type="dxa"/>
            <w:vAlign w:val="center"/>
          </w:tcPr>
          <w:p w14:paraId="574D5ED8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4E3C5ADC" w14:textId="67748FB8" w:rsidR="002C7AFE" w:rsidRPr="00EB3D1B" w:rsidRDefault="00CF013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mg/m</w:t>
            </w:r>
            <w:r w:rsidRPr="00CF013A">
              <w:rPr>
                <w:b/>
                <w:vertAlign w:val="superscript"/>
              </w:rPr>
              <w:t>3</w:t>
            </w:r>
          </w:p>
        </w:tc>
      </w:tr>
      <w:tr w:rsidR="009727C0" w:rsidRPr="004C23F4" w14:paraId="64FF059B" w14:textId="77777777" w:rsidTr="005D153B">
        <w:trPr>
          <w:cantSplit/>
        </w:trPr>
        <w:tc>
          <w:tcPr>
            <w:tcW w:w="8857" w:type="dxa"/>
            <w:gridSpan w:val="2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  <w:tblCaption w:val="Sampling and analysis "/>
              <w:tblDescription w:val="The recommended value is quantifiable through available sampling and analysis techniques"/>
            </w:tblPr>
            <w:tblGrid>
              <w:gridCol w:w="3734"/>
              <w:gridCol w:w="4907"/>
            </w:tblGrid>
            <w:tr w:rsidR="00B84209" w14:paraId="77A2B744" w14:textId="77777777" w:rsidTr="00C25DE0">
              <w:trPr>
                <w:cantSplit/>
                <w:tblHeader/>
              </w:trPr>
              <w:tc>
                <w:tcPr>
                  <w:tcW w:w="3828" w:type="dxa"/>
                  <w:hideMark/>
                </w:tcPr>
                <w:p w14:paraId="7C107617" w14:textId="77777777" w:rsidR="00B84209" w:rsidRDefault="00B84209" w:rsidP="00B84209">
                  <w:pPr>
                    <w:pStyle w:val="Tablerowright"/>
                  </w:pPr>
                  <w:r>
                    <w:t>Sampling and analysis:</w:t>
                  </w:r>
                </w:p>
              </w:tc>
              <w:tc>
                <w:tcPr>
                  <w:tcW w:w="5029" w:type="dxa"/>
                  <w:hideMark/>
                </w:tcPr>
                <w:p w14:paraId="1E8F39A2" w14:textId="77777777" w:rsidR="00B84209" w:rsidRDefault="00B84209" w:rsidP="00B84209">
                  <w:pPr>
                    <w:pStyle w:val="Tablefont"/>
                    <w:rPr>
                      <w:b/>
                    </w:rPr>
                  </w:pPr>
                  <w:r>
                    <w:t>The recommended value is quantifiable through available sampling and analysis techniques.</w:t>
                  </w:r>
                </w:p>
              </w:tc>
            </w:tr>
          </w:tbl>
          <w:p w14:paraId="614D13D7" w14:textId="75F23004" w:rsidR="009727C0" w:rsidRDefault="009727C0" w:rsidP="00017C82">
            <w:pPr>
              <w:pStyle w:val="Tablefont"/>
              <w:rPr>
                <w:b/>
              </w:rPr>
            </w:pPr>
          </w:p>
        </w:tc>
      </w:tr>
    </w:tbl>
    <w:p w14:paraId="351C8C35" w14:textId="77777777" w:rsidR="00CB1CB1" w:rsidRPr="00D2301C" w:rsidRDefault="00F10C97" w:rsidP="003365A5">
      <w:pPr>
        <w:pStyle w:val="Heading2"/>
        <w:rPr>
          <w:color w:val="auto"/>
        </w:rPr>
      </w:pPr>
      <w:r w:rsidRPr="00D2301C">
        <w:rPr>
          <w:color w:val="auto"/>
        </w:rPr>
        <w:t>Recommendation and basis for workplace exposure standard</w:t>
      </w:r>
    </w:p>
    <w:p w14:paraId="5CEA5257" w14:textId="269ABF99" w:rsidR="000C7289" w:rsidRPr="00D2301C" w:rsidRDefault="000C7289" w:rsidP="000C139A">
      <w:pPr>
        <w:rPr>
          <w:rFonts w:eastAsia="Calibri" w:cs="Times New Roman"/>
        </w:rPr>
      </w:pPr>
      <w:r w:rsidRPr="00D2301C">
        <w:rPr>
          <w:rFonts w:eastAsia="Calibri" w:cs="Times New Roman"/>
        </w:rPr>
        <w:t xml:space="preserve">A TWA of </w:t>
      </w:r>
      <w:r w:rsidRPr="00D2301C">
        <w:rPr>
          <w:rFonts w:cs="Arial"/>
        </w:rPr>
        <w:t>10 mg/m</w:t>
      </w:r>
      <w:r w:rsidRPr="00D2301C">
        <w:rPr>
          <w:rFonts w:cs="Arial"/>
          <w:vertAlign w:val="superscript"/>
        </w:rPr>
        <w:t>3</w:t>
      </w:r>
      <w:r w:rsidR="007838A7" w:rsidRPr="00D2301C">
        <w:rPr>
          <w:rFonts w:cs="Arial"/>
        </w:rPr>
        <w:t xml:space="preserve"> (1.11 ppm</w:t>
      </w:r>
      <w:r w:rsidRPr="00D2301C">
        <w:rPr>
          <w:rFonts w:cs="Arial"/>
        </w:rPr>
        <w:t xml:space="preserve">) is </w:t>
      </w:r>
      <w:r w:rsidR="001C3A95">
        <w:rPr>
          <w:rFonts w:cs="Arial"/>
        </w:rPr>
        <w:t>recommended</w:t>
      </w:r>
      <w:r w:rsidR="001C3A95" w:rsidRPr="00D2301C">
        <w:rPr>
          <w:rFonts w:cs="Arial"/>
        </w:rPr>
        <w:t xml:space="preserve"> </w:t>
      </w:r>
      <w:r w:rsidRPr="00D2301C">
        <w:rPr>
          <w:rFonts w:eastAsia="Calibri" w:cs="Times New Roman"/>
        </w:rPr>
        <w:t xml:space="preserve">to protect for </w:t>
      </w:r>
      <w:r w:rsidRPr="00D2301C">
        <w:rPr>
          <w:rFonts w:cs="Arial"/>
        </w:rPr>
        <w:t>effects in the kidney and thyroid</w:t>
      </w:r>
      <w:r w:rsidRPr="00D2301C">
        <w:rPr>
          <w:rFonts w:eastAsia="Calibri" w:cs="Times New Roman"/>
        </w:rPr>
        <w:t xml:space="preserve"> in exposed workers. </w:t>
      </w:r>
    </w:p>
    <w:p w14:paraId="41A01FBD" w14:textId="77777777" w:rsidR="00C7155E" w:rsidRPr="00D2301C" w:rsidRDefault="00F10C97" w:rsidP="003365A5">
      <w:pPr>
        <w:pStyle w:val="Heading2"/>
        <w:rPr>
          <w:color w:val="auto"/>
        </w:rPr>
      </w:pPr>
      <w:r w:rsidRPr="00D2301C">
        <w:rPr>
          <w:color w:val="auto"/>
        </w:rPr>
        <w:t>Discussion and conclusions</w:t>
      </w:r>
    </w:p>
    <w:p w14:paraId="4B5A47D5" w14:textId="77777777" w:rsidR="00B540F9" w:rsidRDefault="004A0BC1" w:rsidP="004A0BC1">
      <w:pPr>
        <w:rPr>
          <w:rFonts w:cs="Arial"/>
        </w:rPr>
      </w:pPr>
      <w:r w:rsidRPr="00D2301C">
        <w:rPr>
          <w:rFonts w:cs="Arial"/>
        </w:rPr>
        <w:t xml:space="preserve">2,4-D is widely applied as </w:t>
      </w:r>
      <w:proofErr w:type="gramStart"/>
      <w:r w:rsidRPr="00D2301C">
        <w:rPr>
          <w:rFonts w:cs="Arial"/>
        </w:rPr>
        <w:t>a</w:t>
      </w:r>
      <w:proofErr w:type="gramEnd"/>
      <w:r w:rsidRPr="00D2301C">
        <w:rPr>
          <w:rFonts w:cs="Arial"/>
        </w:rPr>
        <w:t xml:space="preserve"> herbicide, fungicide and growth regulator (ACGIH, 201</w:t>
      </w:r>
      <w:r w:rsidR="00092E20">
        <w:rPr>
          <w:rFonts w:cs="Arial"/>
        </w:rPr>
        <w:t>8</w:t>
      </w:r>
      <w:r w:rsidRPr="00D2301C">
        <w:rPr>
          <w:rFonts w:cs="Arial"/>
        </w:rPr>
        <w:t xml:space="preserve">; DFG, 1994). </w:t>
      </w:r>
    </w:p>
    <w:p w14:paraId="36EE5F77" w14:textId="6733EDE0" w:rsidR="006639B4" w:rsidRDefault="00AD103A" w:rsidP="004A0BC1">
      <w:pPr>
        <w:rPr>
          <w:rFonts w:cs="Arial"/>
        </w:rPr>
      </w:pPr>
      <w:r>
        <w:rPr>
          <w:rFonts w:cs="Arial"/>
        </w:rPr>
        <w:t>Thyroid effects and damage to the kidneys are considered the critical effects</w:t>
      </w:r>
      <w:r w:rsidR="00B540F9">
        <w:rPr>
          <w:rFonts w:cs="Arial"/>
        </w:rPr>
        <w:t xml:space="preserve">. </w:t>
      </w:r>
      <w:r w:rsidR="00ED3861" w:rsidRPr="00D2301C">
        <w:rPr>
          <w:rFonts w:cs="Arial"/>
        </w:rPr>
        <w:t>S</w:t>
      </w:r>
      <w:r w:rsidR="00390111" w:rsidRPr="00D2301C">
        <w:rPr>
          <w:rFonts w:cs="Arial"/>
        </w:rPr>
        <w:t>everal case studies</w:t>
      </w:r>
      <w:r w:rsidR="00ED3861" w:rsidRPr="00D2301C">
        <w:rPr>
          <w:rFonts w:cs="Arial"/>
        </w:rPr>
        <w:t xml:space="preserve"> report </w:t>
      </w:r>
      <w:r w:rsidR="00390111" w:rsidRPr="00D2301C">
        <w:rPr>
          <w:rFonts w:cs="Arial"/>
        </w:rPr>
        <w:t xml:space="preserve">acute intoxications </w:t>
      </w:r>
      <w:r w:rsidR="00ED3861" w:rsidRPr="00D2301C">
        <w:rPr>
          <w:rFonts w:cs="Arial"/>
        </w:rPr>
        <w:t xml:space="preserve">in humans </w:t>
      </w:r>
      <w:r w:rsidR="007F3ED7">
        <w:rPr>
          <w:rFonts w:cs="Arial"/>
        </w:rPr>
        <w:t>and an</w:t>
      </w:r>
      <w:r w:rsidR="00390111" w:rsidRPr="00D2301C">
        <w:rPr>
          <w:rFonts w:cs="Arial"/>
        </w:rPr>
        <w:t xml:space="preserve"> association </w:t>
      </w:r>
      <w:r w:rsidR="00ED3861" w:rsidRPr="00D2301C">
        <w:rPr>
          <w:rFonts w:cs="Arial"/>
        </w:rPr>
        <w:t>with incidences of</w:t>
      </w:r>
      <w:r w:rsidR="00390111" w:rsidRPr="00D2301C">
        <w:rPr>
          <w:rFonts w:cs="Arial"/>
        </w:rPr>
        <w:t xml:space="preserve"> Hodgkin’s disease, non</w:t>
      </w:r>
      <w:r w:rsidR="00D214C8">
        <w:rPr>
          <w:rFonts w:cs="Arial"/>
        </w:rPr>
        <w:noBreakHyphen/>
      </w:r>
      <w:r w:rsidR="00390111" w:rsidRPr="00D2301C">
        <w:rPr>
          <w:rFonts w:cs="Arial"/>
        </w:rPr>
        <w:t xml:space="preserve">Hodgkin’s lymphoma and soft tissue sarcoma. </w:t>
      </w:r>
      <w:r w:rsidR="00ED3861" w:rsidRPr="00D2301C">
        <w:rPr>
          <w:rFonts w:cs="Arial"/>
        </w:rPr>
        <w:t>However, t</w:t>
      </w:r>
      <w:r w:rsidR="00390111" w:rsidRPr="00D2301C">
        <w:rPr>
          <w:rFonts w:cs="Arial"/>
        </w:rPr>
        <w:t xml:space="preserve">hese studies </w:t>
      </w:r>
      <w:r w:rsidR="00ED3861" w:rsidRPr="00D2301C">
        <w:rPr>
          <w:rFonts w:cs="Arial"/>
        </w:rPr>
        <w:t xml:space="preserve">do </w:t>
      </w:r>
      <w:r w:rsidR="00390111" w:rsidRPr="00D2301C">
        <w:rPr>
          <w:rFonts w:cs="Arial"/>
        </w:rPr>
        <w:t xml:space="preserve">not </w:t>
      </w:r>
      <w:r w:rsidR="00ED3861" w:rsidRPr="00D2301C">
        <w:rPr>
          <w:rFonts w:cs="Arial"/>
        </w:rPr>
        <w:t xml:space="preserve">support </w:t>
      </w:r>
      <w:r w:rsidR="00B540F9">
        <w:rPr>
          <w:rFonts w:cs="Arial"/>
        </w:rPr>
        <w:t>a recommendation for a TWA</w:t>
      </w:r>
      <w:r w:rsidR="00ED3861" w:rsidRPr="00D2301C">
        <w:rPr>
          <w:rFonts w:cs="Arial"/>
        </w:rPr>
        <w:t xml:space="preserve"> </w:t>
      </w:r>
      <w:r w:rsidR="00390111" w:rsidRPr="00D2301C">
        <w:rPr>
          <w:rFonts w:cs="Arial"/>
        </w:rPr>
        <w:t xml:space="preserve">due to the difficulty in determining if toxic effects from 2,4-D </w:t>
      </w:r>
      <w:r w:rsidR="0075052A">
        <w:rPr>
          <w:rFonts w:cs="Arial"/>
        </w:rPr>
        <w:t xml:space="preserve">act </w:t>
      </w:r>
      <w:r w:rsidR="00390111" w:rsidRPr="00D2301C">
        <w:rPr>
          <w:rFonts w:cs="Arial"/>
        </w:rPr>
        <w:t xml:space="preserve">alone or </w:t>
      </w:r>
      <w:r w:rsidR="00B540F9">
        <w:rPr>
          <w:rFonts w:cs="Arial"/>
        </w:rPr>
        <w:t xml:space="preserve">if the effects are driven </w:t>
      </w:r>
      <w:r w:rsidR="0075052A">
        <w:rPr>
          <w:rFonts w:cs="Arial"/>
        </w:rPr>
        <w:t xml:space="preserve">by </w:t>
      </w:r>
      <w:r w:rsidR="00390111" w:rsidRPr="00D2301C">
        <w:rPr>
          <w:rFonts w:cs="Arial"/>
        </w:rPr>
        <w:t xml:space="preserve">other chemical agents </w:t>
      </w:r>
      <w:r w:rsidR="00B540F9">
        <w:rPr>
          <w:rFonts w:cs="Arial"/>
        </w:rPr>
        <w:t xml:space="preserve">(such as dioxins) </w:t>
      </w:r>
      <w:r w:rsidR="00390111" w:rsidRPr="00D2301C">
        <w:rPr>
          <w:rFonts w:cs="Arial"/>
        </w:rPr>
        <w:t xml:space="preserve">in </w:t>
      </w:r>
      <w:r w:rsidR="00B540F9">
        <w:rPr>
          <w:rFonts w:cs="Arial"/>
        </w:rPr>
        <w:t xml:space="preserve">the </w:t>
      </w:r>
      <w:r w:rsidR="00390111" w:rsidRPr="00D2301C">
        <w:rPr>
          <w:rFonts w:cs="Arial"/>
        </w:rPr>
        <w:t>mixtures tested.</w:t>
      </w:r>
      <w:r w:rsidR="003F0978" w:rsidRPr="003F0978">
        <w:rPr>
          <w:rFonts w:cs="Arial"/>
        </w:rPr>
        <w:t xml:space="preserve"> </w:t>
      </w:r>
      <w:r w:rsidR="00F573A4">
        <w:rPr>
          <w:rFonts w:cs="Arial"/>
        </w:rPr>
        <w:t>No stu</w:t>
      </w:r>
      <w:r w:rsidR="007F3ED7">
        <w:rPr>
          <w:rFonts w:cs="Arial"/>
        </w:rPr>
        <w:t>dies with inhalation exposure a</w:t>
      </w:r>
      <w:r w:rsidR="00F573A4">
        <w:rPr>
          <w:rFonts w:cs="Arial"/>
        </w:rPr>
        <w:t xml:space="preserve">re identified. </w:t>
      </w:r>
      <w:r w:rsidR="003F0978">
        <w:rPr>
          <w:rFonts w:cs="Arial"/>
        </w:rPr>
        <w:t>Two studies, one in rats and one in mice, identified a</w:t>
      </w:r>
      <w:r w:rsidR="003F0978" w:rsidRPr="00D2301C">
        <w:rPr>
          <w:rFonts w:cs="Arial"/>
        </w:rPr>
        <w:t xml:space="preserve"> chronic NO</w:t>
      </w:r>
      <w:r w:rsidR="00B540F9">
        <w:rPr>
          <w:rFonts w:cs="Arial"/>
        </w:rPr>
        <w:t>A</w:t>
      </w:r>
      <w:r w:rsidR="003F0978" w:rsidRPr="00D2301C">
        <w:rPr>
          <w:rFonts w:cs="Arial"/>
        </w:rPr>
        <w:t>EL</w:t>
      </w:r>
      <w:r w:rsidR="003F0978">
        <w:rPr>
          <w:rFonts w:cs="Arial"/>
        </w:rPr>
        <w:t xml:space="preserve"> of 5 mg/kg</w:t>
      </w:r>
      <w:r w:rsidR="00B540F9">
        <w:rPr>
          <w:rFonts w:cs="Arial"/>
        </w:rPr>
        <w:t>/day</w:t>
      </w:r>
      <w:r w:rsidR="003F0978">
        <w:rPr>
          <w:rFonts w:cs="Arial"/>
        </w:rPr>
        <w:t xml:space="preserve"> </w:t>
      </w:r>
      <w:r w:rsidR="003F0978" w:rsidRPr="00D2301C">
        <w:rPr>
          <w:rFonts w:cs="Arial"/>
        </w:rPr>
        <w:t xml:space="preserve">based on increased kidney and thyroid </w:t>
      </w:r>
      <w:r w:rsidR="003F0978">
        <w:rPr>
          <w:rFonts w:cs="Arial"/>
        </w:rPr>
        <w:t>weights (ACGIH, 2018).</w:t>
      </w:r>
    </w:p>
    <w:p w14:paraId="17A2A14F" w14:textId="54EA3143" w:rsidR="003F0978" w:rsidRPr="003F0978" w:rsidRDefault="00267F1A" w:rsidP="004A0BC1">
      <w:pPr>
        <w:rPr>
          <w:rFonts w:cs="Arial"/>
        </w:rPr>
      </w:pPr>
      <w:r>
        <w:t xml:space="preserve">The </w:t>
      </w:r>
      <w:r w:rsidR="009F5126" w:rsidRPr="00F25F93">
        <w:t>current</w:t>
      </w:r>
      <w:r w:rsidR="009F5126">
        <w:t xml:space="preserve"> </w:t>
      </w:r>
      <w:r w:rsidR="00F25F93">
        <w:t xml:space="preserve">TWA of </w:t>
      </w:r>
      <w:r w:rsidR="00F25F93" w:rsidRPr="00D2301C">
        <w:rPr>
          <w:rFonts w:cs="Arial"/>
        </w:rPr>
        <w:t>10 mg/m</w:t>
      </w:r>
      <w:r w:rsidR="00F25F93" w:rsidRPr="00D2301C">
        <w:rPr>
          <w:rFonts w:cs="Arial"/>
          <w:vertAlign w:val="superscript"/>
        </w:rPr>
        <w:t>3</w:t>
      </w:r>
      <w:r w:rsidR="00F25F93">
        <w:rPr>
          <w:rFonts w:cs="Arial"/>
          <w:vertAlign w:val="superscript"/>
        </w:rPr>
        <w:t xml:space="preserve"> </w:t>
      </w:r>
      <w:r w:rsidR="00F25F93">
        <w:rPr>
          <w:rFonts w:cs="Arial"/>
        </w:rPr>
        <w:t xml:space="preserve">is </w:t>
      </w:r>
      <w:r w:rsidR="007F3ED7">
        <w:rPr>
          <w:rFonts w:cs="Arial"/>
        </w:rPr>
        <w:t xml:space="preserve">recommended to be </w:t>
      </w:r>
      <w:r w:rsidR="00F25F93">
        <w:t xml:space="preserve">retained. This value </w:t>
      </w:r>
      <w:r>
        <w:t xml:space="preserve">has been adopted directly from the ACGIH (2018) </w:t>
      </w:r>
      <w:r w:rsidR="00F573A4">
        <w:t>on the weight of evidence in animals</w:t>
      </w:r>
      <w:r w:rsidR="00F25F93">
        <w:t>.</w:t>
      </w:r>
      <w:r w:rsidR="00F573A4">
        <w:t xml:space="preserve"> The</w:t>
      </w:r>
      <w:r w:rsidR="001C3A95">
        <w:t xml:space="preserve"> TWA is considered protective of the critical effects in exposed workers.</w:t>
      </w:r>
    </w:p>
    <w:p w14:paraId="71D12ED8" w14:textId="77777777" w:rsidR="004529F0" w:rsidRPr="00D2301C" w:rsidRDefault="004529F0" w:rsidP="004529F0">
      <w:pPr>
        <w:pStyle w:val="Heading2"/>
        <w:rPr>
          <w:color w:val="auto"/>
        </w:rPr>
      </w:pPr>
      <w:r w:rsidRPr="00D2301C">
        <w:rPr>
          <w:color w:val="auto"/>
        </w:rPr>
        <w:t>Recommendation for notations</w:t>
      </w:r>
    </w:p>
    <w:p w14:paraId="33849354" w14:textId="6BDDF1C9" w:rsidR="00CF013A" w:rsidRPr="00D2301C" w:rsidRDefault="00CF013A" w:rsidP="00CF013A">
      <w:pPr>
        <w:rPr>
          <w:rFonts w:cs="Arial"/>
        </w:rPr>
      </w:pPr>
      <w:r w:rsidRPr="00D2301C">
        <w:rPr>
          <w:rFonts w:cs="Arial"/>
        </w:rPr>
        <w:t>Not classified as a carcinogen according to the Globally Harmonized System of Classification and Labelling o</w:t>
      </w:r>
      <w:r w:rsidR="00D214C8">
        <w:rPr>
          <w:rFonts w:cs="Arial"/>
        </w:rPr>
        <w:t>f</w:t>
      </w:r>
      <w:r w:rsidRPr="00D2301C">
        <w:rPr>
          <w:rFonts w:cs="Arial"/>
        </w:rPr>
        <w:t xml:space="preserve"> Chemicals (GHS). </w:t>
      </w:r>
    </w:p>
    <w:p w14:paraId="0014BCE9" w14:textId="07386742" w:rsidR="00CF013A" w:rsidRPr="00CF013A" w:rsidRDefault="00CF013A" w:rsidP="00CF013A">
      <w:pPr>
        <w:rPr>
          <w:rFonts w:cs="Arial"/>
        </w:rPr>
      </w:pPr>
      <w:r w:rsidRPr="00D2301C">
        <w:rPr>
          <w:rFonts w:cs="Arial"/>
        </w:rPr>
        <w:t xml:space="preserve">Not classified as a skin </w:t>
      </w:r>
      <w:r w:rsidR="000C7289" w:rsidRPr="00D2301C">
        <w:rPr>
          <w:rFonts w:cs="Arial"/>
        </w:rPr>
        <w:t xml:space="preserve">sensitiser </w:t>
      </w:r>
      <w:r w:rsidRPr="00D2301C">
        <w:rPr>
          <w:rFonts w:cs="Arial"/>
        </w:rPr>
        <w:t>or respiratory sensitiser according to the GHS</w:t>
      </w:r>
      <w:r w:rsidRPr="00CF013A">
        <w:rPr>
          <w:rFonts w:cs="Arial"/>
        </w:rPr>
        <w:t>.</w:t>
      </w:r>
    </w:p>
    <w:p w14:paraId="54A65DC8" w14:textId="0E331B00" w:rsidR="0025734A" w:rsidRPr="004C23F4" w:rsidRDefault="00B540F9" w:rsidP="00CF013A">
      <w:pPr>
        <w:rPr>
          <w:rFonts w:cs="Arial"/>
        </w:rPr>
      </w:pPr>
      <w:r>
        <w:rPr>
          <w:rFonts w:cs="Arial"/>
        </w:rPr>
        <w:t>A skin notation is recommended based on systemic effects in humans after dermal exposure</w:t>
      </w:r>
      <w:r w:rsidR="00CF013A" w:rsidRPr="00CF013A">
        <w:rPr>
          <w:rFonts w:cs="Arial"/>
        </w:rPr>
        <w:t>.</w:t>
      </w:r>
    </w:p>
    <w:p w14:paraId="74B7500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786C8A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8CBB47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3CB1E5E" w14:textId="77777777" w:rsidTr="00C25DE0">
        <w:trPr>
          <w:gridAfter w:val="1"/>
          <w:wAfter w:w="360" w:type="dxa"/>
          <w:tblHeader/>
        </w:trPr>
        <w:tc>
          <w:tcPr>
            <w:tcW w:w="0" w:type="pct"/>
            <w:shd w:val="clear" w:color="auto" w:fill="BFBFBF" w:themeFill="background1" w:themeFillShade="BF"/>
          </w:tcPr>
          <w:p w14:paraId="49D6E2E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56F3893" w14:textId="77777777" w:rsidTr="009F5126">
        <w:tc>
          <w:tcPr>
            <w:tcW w:w="0" w:type="pct"/>
            <w:gridSpan w:val="2"/>
            <w:shd w:val="clear" w:color="auto" w:fill="F2F2F2" w:themeFill="background1" w:themeFillShade="F2"/>
          </w:tcPr>
          <w:p w14:paraId="3258D850" w14:textId="47259B0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F013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F013A">
                  <w:t>TWA: 10 mg/m</w:t>
                </w:r>
                <w:r w:rsidR="00CF013A" w:rsidRPr="00CF013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ADBC7D3" w14:textId="77777777" w:rsidTr="009F5126">
        <w:trPr>
          <w:gridAfter w:val="1"/>
          <w:wAfter w:w="360" w:type="dxa"/>
        </w:trPr>
        <w:tc>
          <w:tcPr>
            <w:tcW w:w="0" w:type="pct"/>
          </w:tcPr>
          <w:p w14:paraId="66DA2C20" w14:textId="31EAB3D5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A17F654" w14:textId="77777777" w:rsidTr="009F5126">
        <w:trPr>
          <w:gridAfter w:val="1"/>
          <w:wAfter w:w="360" w:type="dxa"/>
        </w:trPr>
        <w:tc>
          <w:tcPr>
            <w:tcW w:w="0" w:type="pct"/>
            <w:shd w:val="clear" w:color="auto" w:fill="F2F2F2" w:themeFill="background1" w:themeFillShade="F2"/>
          </w:tcPr>
          <w:p w14:paraId="3C8DE1B0" w14:textId="3F9B03A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F013A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F013A">
                  <w:t>TLV-TWA: 10 mg/m</w:t>
                </w:r>
                <w:r w:rsidR="00CF013A" w:rsidRPr="00CF013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FA8BEC6" w14:textId="77777777" w:rsidTr="009F5126">
        <w:trPr>
          <w:gridAfter w:val="1"/>
          <w:wAfter w:w="360" w:type="dxa"/>
        </w:trPr>
        <w:tc>
          <w:tcPr>
            <w:tcW w:w="0" w:type="pct"/>
          </w:tcPr>
          <w:p w14:paraId="5D05F9C9" w14:textId="5CCDB30D" w:rsidR="00B540F9" w:rsidRDefault="007F3ED7" w:rsidP="003365A5">
            <w:pPr>
              <w:pStyle w:val="Tabletextprimarysource"/>
            </w:pPr>
            <w:r>
              <w:t xml:space="preserve">TLV-TWA </w:t>
            </w:r>
            <w:r w:rsidR="00EC4C6D">
              <w:t>recommended to protect against</w:t>
            </w:r>
            <w:r w:rsidR="00CE348E">
              <w:t xml:space="preserve"> effects in </w:t>
            </w:r>
            <w:r w:rsidR="00EC4C6D">
              <w:t>thyroid and kidney</w:t>
            </w:r>
            <w:r>
              <w:t xml:space="preserve"> and is</w:t>
            </w:r>
            <w:r w:rsidR="00EC4C6D">
              <w:t xml:space="preserve"> derived from chronic feeding studies in rats and mice and based on NOELs of 5 mg/kg</w:t>
            </w:r>
            <w:r w:rsidR="007B1DC2">
              <w:t>/d</w:t>
            </w:r>
            <w:r w:rsidR="00EC4C6D">
              <w:t xml:space="preserve">. </w:t>
            </w:r>
          </w:p>
          <w:p w14:paraId="73578674" w14:textId="0A8F197B" w:rsidR="00C978F0" w:rsidRDefault="00210499" w:rsidP="003365A5">
            <w:pPr>
              <w:pStyle w:val="Tabletextprimarysource"/>
            </w:pPr>
            <w:r>
              <w:t>No increases in mortality from non-Hodgkin’s lymphoma or soft tissue sarcoma; no significant increase in mortality incidence from chronic non-cancer disease; e</w:t>
            </w:r>
            <w:r w:rsidR="008F7855">
              <w:t xml:space="preserve">pidemiological studies in workers exposed to airborne particulates </w:t>
            </w:r>
          </w:p>
          <w:p w14:paraId="7E4D6DE0" w14:textId="66DEFED5" w:rsidR="008F7855" w:rsidRDefault="008F7855" w:rsidP="003365A5">
            <w:pPr>
              <w:pStyle w:val="Tabletextprimarysource"/>
            </w:pPr>
            <w:r>
              <w:t>Summary of data:</w:t>
            </w:r>
          </w:p>
          <w:p w14:paraId="1B762BFB" w14:textId="77777777" w:rsidR="008F7855" w:rsidRDefault="008F7855" w:rsidP="00D2301C">
            <w:pPr>
              <w:pStyle w:val="Tabletextprimarysource"/>
            </w:pPr>
            <w:r>
              <w:t>Human data</w:t>
            </w:r>
          </w:p>
          <w:p w14:paraId="12FDCAF7" w14:textId="13E30E71" w:rsidR="00765030" w:rsidRDefault="005A7C9A" w:rsidP="00732844">
            <w:pPr>
              <w:pStyle w:val="Tabletextprimarysource"/>
              <w:numPr>
                <w:ilvl w:val="1"/>
                <w:numId w:val="5"/>
              </w:numPr>
              <w:ind w:left="714" w:hanging="357"/>
            </w:pPr>
            <w:r>
              <w:t>L</w:t>
            </w:r>
            <w:r w:rsidR="00765030">
              <w:t xml:space="preserve">imited evidence of carcinogenicity </w:t>
            </w:r>
          </w:p>
          <w:p w14:paraId="0183FA14" w14:textId="77A3B84D" w:rsidR="00765030" w:rsidRDefault="005A7C9A" w:rsidP="00732844">
            <w:pPr>
              <w:pStyle w:val="Tabletextprimarysource"/>
              <w:numPr>
                <w:ilvl w:val="1"/>
                <w:numId w:val="5"/>
              </w:numPr>
              <w:ind w:left="714" w:hanging="357"/>
            </w:pPr>
            <w:r>
              <w:t>Burning sensation</w:t>
            </w:r>
            <w:r w:rsidR="00765030">
              <w:t xml:space="preserve"> in throat and chest, weakness, loss of appetite and weight and sl</w:t>
            </w:r>
            <w:r>
              <w:t>i</w:t>
            </w:r>
            <w:r w:rsidR="00765030">
              <w:t>ght albuminuria</w:t>
            </w:r>
            <w:r>
              <w:t xml:space="preserve"> from field exposure </w:t>
            </w:r>
          </w:p>
          <w:p w14:paraId="6B8B5268" w14:textId="01B8E253" w:rsidR="00765030" w:rsidRDefault="00B65069" w:rsidP="00732844">
            <w:pPr>
              <w:pStyle w:val="Tabletextprimarysource"/>
              <w:numPr>
                <w:ilvl w:val="1"/>
                <w:numId w:val="5"/>
              </w:numPr>
              <w:ind w:left="714" w:hanging="357"/>
            </w:pPr>
            <w:r>
              <w:t>C</w:t>
            </w:r>
            <w:r w:rsidR="00765030">
              <w:t xml:space="preserve">hlorinated dioxins found in 2,4-D products responsible for </w:t>
            </w:r>
            <w:r w:rsidR="003307A5">
              <w:t>increased risk in</w:t>
            </w:r>
            <w:r w:rsidR="00765030">
              <w:t xml:space="preserve"> mortality from neoplasms, non-Hodgkin’s lymphoma and lung cancer</w:t>
            </w:r>
          </w:p>
          <w:p w14:paraId="0463DD69" w14:textId="3FA185F1" w:rsidR="00B540F9" w:rsidRDefault="00B6110F" w:rsidP="00732844">
            <w:pPr>
              <w:pStyle w:val="Tabletextprimarysource"/>
              <w:numPr>
                <w:ilvl w:val="1"/>
                <w:numId w:val="5"/>
              </w:numPr>
              <w:ind w:left="714" w:hanging="357"/>
            </w:pPr>
            <w:r>
              <w:t>69 cases</w:t>
            </w:r>
            <w:r w:rsidR="005A7C9A">
              <w:t xml:space="preserve"> </w:t>
            </w:r>
            <w:r w:rsidR="00F573A4">
              <w:t xml:space="preserve">of </w:t>
            </w:r>
            <w:r w:rsidR="005A7C9A">
              <w:t>ingestion</w:t>
            </w:r>
            <w:r w:rsidR="00F573A4">
              <w:t xml:space="preserve"> reported in literature up to 2003; 23 of which were fatal at average dose &gt;300 mg/kg</w:t>
            </w:r>
          </w:p>
          <w:p w14:paraId="179891C1" w14:textId="15D51A63" w:rsidR="00FE343D" w:rsidRDefault="00B540F9" w:rsidP="007F3ED7">
            <w:pPr>
              <w:pStyle w:val="Tabletextprimarysource"/>
              <w:numPr>
                <w:ilvl w:val="1"/>
                <w:numId w:val="5"/>
              </w:numPr>
              <w:ind w:left="714" w:hanging="357"/>
            </w:pPr>
            <w:r>
              <w:t>GIT</w:t>
            </w:r>
            <w:r w:rsidR="00FE343D">
              <w:t xml:space="preserve"> irritation</w:t>
            </w:r>
            <w:r w:rsidR="003307A5">
              <w:t xml:space="preserve"> and </w:t>
            </w:r>
            <w:r w:rsidR="00FE343D">
              <w:t xml:space="preserve">sensory-motor peripheral neuropathy </w:t>
            </w:r>
            <w:r w:rsidR="005A7C9A">
              <w:t xml:space="preserve">in </w:t>
            </w:r>
            <w:r w:rsidR="00FE343D">
              <w:t xml:space="preserve">substantial dermal exposure. </w:t>
            </w:r>
            <w:r w:rsidR="000C7289">
              <w:t>E</w:t>
            </w:r>
            <w:r w:rsidR="00FE343D">
              <w:t xml:space="preserve">ffects likely due to exposure to </w:t>
            </w:r>
            <w:r w:rsidR="00083EDE">
              <w:t xml:space="preserve">combined </w:t>
            </w:r>
            <w:r w:rsidR="00FE343D">
              <w:t>unidentified co-exposure agents</w:t>
            </w:r>
          </w:p>
          <w:p w14:paraId="614BF3E5" w14:textId="77777777" w:rsidR="00B540F9" w:rsidRDefault="00F413AD" w:rsidP="00732844">
            <w:pPr>
              <w:pStyle w:val="Tabletextprimarysource"/>
              <w:numPr>
                <w:ilvl w:val="1"/>
                <w:numId w:val="5"/>
              </w:numPr>
              <w:ind w:left="714" w:hanging="357"/>
            </w:pPr>
            <w:r>
              <w:t xml:space="preserve">Headache, pains </w:t>
            </w:r>
            <w:r w:rsidR="00732844">
              <w:t>to the</w:t>
            </w:r>
            <w:r>
              <w:t xml:space="preserve"> cardiac</w:t>
            </w:r>
            <w:r w:rsidR="00C2302C">
              <w:t xml:space="preserve"> region, weakness, hypertension, tachycardia</w:t>
            </w:r>
            <w:r w:rsidR="00FE343D">
              <w:t>, excessive perspiration</w:t>
            </w:r>
            <w:r w:rsidR="00C2302C">
              <w:t xml:space="preserve"> and hepatomegaly </w:t>
            </w:r>
            <w:r w:rsidR="00AD6DC1">
              <w:t>in exposed woman</w:t>
            </w:r>
          </w:p>
          <w:p w14:paraId="497E2EC2" w14:textId="3F558D9D" w:rsidR="006B6F3B" w:rsidRDefault="00B540F9" w:rsidP="00B540F9">
            <w:pPr>
              <w:pStyle w:val="Tabletextprimarysource"/>
              <w:numPr>
                <w:ilvl w:val="0"/>
                <w:numId w:val="9"/>
              </w:numPr>
              <w:ind w:left="1094" w:hanging="357"/>
            </w:pPr>
            <w:r>
              <w:t>p</w:t>
            </w:r>
            <w:r w:rsidR="006B6F3B">
              <w:t>ost exposure symptoms (3.5 y)</w:t>
            </w:r>
            <w:r w:rsidR="00C2302C">
              <w:t xml:space="preserve"> </w:t>
            </w:r>
            <w:r w:rsidR="006B6F3B">
              <w:t xml:space="preserve">included nausea, emesis, vegetative vascular paroxysm, stable hypertension, toxic encephalopathy, diffuse hepatomegaly and portal hypertension </w:t>
            </w:r>
          </w:p>
          <w:p w14:paraId="6096FCED" w14:textId="797D02FD" w:rsidR="00B540F9" w:rsidRDefault="000C7289" w:rsidP="00732844">
            <w:pPr>
              <w:pStyle w:val="Tabletextprimarysource"/>
              <w:numPr>
                <w:ilvl w:val="1"/>
                <w:numId w:val="5"/>
              </w:numPr>
              <w:ind w:left="714" w:hanging="357"/>
            </w:pPr>
            <w:r>
              <w:t>A</w:t>
            </w:r>
            <w:r w:rsidR="006B6F3B">
              <w:t xml:space="preserve">cute poisoning </w:t>
            </w:r>
            <w:r>
              <w:t xml:space="preserve">symptoms </w:t>
            </w:r>
            <w:r w:rsidR="006B6F3B">
              <w:t xml:space="preserve">including fatigue, period headache and vertigo, numbness, pain in leg, partial amnesia reported in a group </w:t>
            </w:r>
            <w:r w:rsidR="00AD6DC1">
              <w:t>of 11 female worker</w:t>
            </w:r>
            <w:r w:rsidR="00FC457C">
              <w:t>s</w:t>
            </w:r>
            <w:r w:rsidR="00AD6DC1">
              <w:t>, 35</w:t>
            </w:r>
            <w:r w:rsidR="0081499C">
              <w:t>–</w:t>
            </w:r>
            <w:r w:rsidR="00AD6DC1">
              <w:t>52 years</w:t>
            </w:r>
            <w:r w:rsidR="00B540F9">
              <w:t xml:space="preserve"> </w:t>
            </w:r>
            <w:r w:rsidR="009E6D85">
              <w:t>of age</w:t>
            </w:r>
            <w:r w:rsidR="007838A7">
              <w:t>:</w:t>
            </w:r>
          </w:p>
          <w:p w14:paraId="7478943D" w14:textId="7EA98665" w:rsidR="00D214C8" w:rsidRDefault="00B540F9" w:rsidP="00434A08">
            <w:pPr>
              <w:pStyle w:val="Tabletextprimarysource"/>
              <w:numPr>
                <w:ilvl w:val="0"/>
                <w:numId w:val="9"/>
              </w:numPr>
              <w:ind w:left="1094" w:hanging="357"/>
            </w:pPr>
            <w:r>
              <w:t>p</w:t>
            </w:r>
            <w:r w:rsidR="007F289B">
              <w:t xml:space="preserve">ost-exposure </w:t>
            </w:r>
            <w:r w:rsidR="00AD6DC1">
              <w:t>(followed for 2 yr</w:t>
            </w:r>
            <w:r w:rsidR="007F289B">
              <w:t>) symptoms included</w:t>
            </w:r>
            <w:r>
              <w:t xml:space="preserve"> </w:t>
            </w:r>
            <w:r w:rsidR="000C7289">
              <w:t xml:space="preserve">persisting </w:t>
            </w:r>
            <w:r w:rsidR="007F289B">
              <w:t xml:space="preserve">oligomenorrhea </w:t>
            </w:r>
            <w:r w:rsidR="000C7289">
              <w:t>with</w:t>
            </w:r>
            <w:r w:rsidR="007F289B">
              <w:t xml:space="preserve"> development of chronic toxic hepatitis, </w:t>
            </w:r>
            <w:proofErr w:type="spellStart"/>
            <w:r w:rsidR="007F289B">
              <w:t>encephalopolyneuritis</w:t>
            </w:r>
            <w:proofErr w:type="spellEnd"/>
            <w:r w:rsidR="007F289B">
              <w:t xml:space="preserve">, </w:t>
            </w:r>
            <w:r w:rsidR="009F5126">
              <w:t>myocardial</w:t>
            </w:r>
            <w:r w:rsidR="007F289B">
              <w:t>-dystrophy and vascular dystonia and chronic conjunctivitis</w:t>
            </w:r>
            <w:r w:rsidR="000C7289">
              <w:t xml:space="preserve"> in 2 women</w:t>
            </w:r>
            <w:r w:rsidR="00D214C8">
              <w:t xml:space="preserve"> </w:t>
            </w:r>
          </w:p>
          <w:p w14:paraId="5D6A2497" w14:textId="2F7403A6" w:rsidR="00D214C8" w:rsidRDefault="00D214C8" w:rsidP="00732844">
            <w:pPr>
              <w:pStyle w:val="Tabletextprimarysource"/>
              <w:numPr>
                <w:ilvl w:val="0"/>
                <w:numId w:val="9"/>
              </w:numPr>
              <w:ind w:left="1094" w:hanging="357"/>
            </w:pPr>
            <w:r>
              <w:t>a</w:t>
            </w:r>
            <w:r w:rsidR="007F289B">
              <w:t>ll patients had statistically significant decreases in some oxidative enzymes of the peripheral blood leukocytes</w:t>
            </w:r>
            <w:r w:rsidR="00765030">
              <w:t>.</w:t>
            </w:r>
          </w:p>
          <w:p w14:paraId="7291EE72" w14:textId="1E1D198E" w:rsidR="00C146D5" w:rsidRDefault="00C146D5" w:rsidP="00732844">
            <w:pPr>
              <w:pStyle w:val="Tabletextprimarysource"/>
            </w:pPr>
            <w:r>
              <w:t>Animal Studies</w:t>
            </w:r>
          </w:p>
          <w:p w14:paraId="6569A2D3" w14:textId="14F5A1B6" w:rsidR="00C146D5" w:rsidRDefault="00F7351D" w:rsidP="0073284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LC</w:t>
            </w:r>
            <w:r w:rsidRPr="00AD6DC1">
              <w:rPr>
                <w:vertAlign w:val="subscript"/>
              </w:rPr>
              <w:t>50</w:t>
            </w:r>
            <w:r>
              <w:t xml:space="preserve"> </w:t>
            </w:r>
            <w:r w:rsidR="009F5126">
              <w:t xml:space="preserve">- </w:t>
            </w:r>
            <w:r w:rsidR="00D768D3">
              <w:t xml:space="preserve">rats </w:t>
            </w:r>
            <w:r w:rsidR="00DD3479">
              <w:t>(</w:t>
            </w:r>
            <w:r w:rsidR="00D768D3">
              <w:t xml:space="preserve">no deaths </w:t>
            </w:r>
            <w:r w:rsidR="009F5126">
              <w:t xml:space="preserve">at </w:t>
            </w:r>
            <w:r w:rsidR="00DD3479">
              <w:rPr>
                <w:rFonts w:cs="Arial"/>
              </w:rPr>
              <w:t>≤</w:t>
            </w:r>
            <w:r w:rsidR="00D768D3">
              <w:t>1.79 mg/L</w:t>
            </w:r>
            <w:r w:rsidR="00DB7FA2">
              <w:t>)</w:t>
            </w:r>
          </w:p>
          <w:p w14:paraId="434F713B" w14:textId="7997792C" w:rsidR="00D768D3" w:rsidRDefault="00DD3479" w:rsidP="0073284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 xml:space="preserve">Oral </w:t>
            </w:r>
            <w:r w:rsidR="00D768D3">
              <w:t>LD</w:t>
            </w:r>
            <w:r w:rsidR="00D768D3" w:rsidRPr="00D2301C">
              <w:rPr>
                <w:vertAlign w:val="subscript"/>
              </w:rPr>
              <w:t>50</w:t>
            </w:r>
            <w:r w:rsidR="00422E5C">
              <w:t xml:space="preserve">: </w:t>
            </w:r>
            <w:r w:rsidR="00D768D3">
              <w:t>320</w:t>
            </w:r>
            <w:r w:rsidR="009240E4">
              <w:t>–</w:t>
            </w:r>
            <w:r w:rsidR="00D768D3">
              <w:t xml:space="preserve">726 mg/kg </w:t>
            </w:r>
            <w:r w:rsidR="00422E5C">
              <w:t>(rats</w:t>
            </w:r>
            <w:r>
              <w:t>, m</w:t>
            </w:r>
            <w:r w:rsidR="00D768D3">
              <w:t>ale</w:t>
            </w:r>
            <w:r>
              <w:t>s</w:t>
            </w:r>
            <w:r w:rsidR="00D2301C">
              <w:t xml:space="preserve"> </w:t>
            </w:r>
            <w:r w:rsidR="00D768D3">
              <w:t>more sensitive</w:t>
            </w:r>
            <w:r>
              <w:t>)</w:t>
            </w:r>
            <w:r w:rsidR="00D768D3">
              <w:t>. LD</w:t>
            </w:r>
            <w:r w:rsidR="00D768D3" w:rsidRPr="00D2301C">
              <w:rPr>
                <w:vertAlign w:val="subscript"/>
              </w:rPr>
              <w:t>50</w:t>
            </w:r>
            <w:r w:rsidR="00422E5C">
              <w:t xml:space="preserve">: </w:t>
            </w:r>
            <w:r w:rsidR="00D768D3">
              <w:t xml:space="preserve">100 mg/kg </w:t>
            </w:r>
            <w:r w:rsidR="00422E5C">
              <w:t xml:space="preserve">(dog), </w:t>
            </w:r>
            <w:r w:rsidR="00D931E7">
              <w:br/>
            </w:r>
            <w:r w:rsidR="00D768D3">
              <w:t>318</w:t>
            </w:r>
            <w:r w:rsidR="00D931E7">
              <w:t>–</w:t>
            </w:r>
            <w:r w:rsidR="00D768D3">
              <w:t>346 mg/kg</w:t>
            </w:r>
            <w:r w:rsidR="00422E5C">
              <w:t xml:space="preserve"> (</w:t>
            </w:r>
            <w:r w:rsidR="00D768D3">
              <w:t>mouse</w:t>
            </w:r>
            <w:r w:rsidR="00422E5C">
              <w:t>)</w:t>
            </w:r>
            <w:r w:rsidR="00D768D3">
              <w:t xml:space="preserve"> and 800 mg/kg </w:t>
            </w:r>
            <w:r w:rsidR="00422E5C">
              <w:t>(</w:t>
            </w:r>
            <w:r w:rsidR="00D768D3">
              <w:t>rabbit</w:t>
            </w:r>
            <w:r w:rsidR="007F3ED7">
              <w:t>)</w:t>
            </w:r>
          </w:p>
          <w:p w14:paraId="44243FF4" w14:textId="530C8001" w:rsidR="007F3ED7" w:rsidRDefault="00AD6DC1" w:rsidP="0073284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D</w:t>
            </w:r>
            <w:r w:rsidR="00D768D3">
              <w:t>ermal LD</w:t>
            </w:r>
            <w:r w:rsidR="00D768D3" w:rsidRPr="00D2301C">
              <w:rPr>
                <w:vertAlign w:val="subscript"/>
              </w:rPr>
              <w:t>50</w:t>
            </w:r>
            <w:r w:rsidR="00422E5C">
              <w:t>: 1</w:t>
            </w:r>
            <w:r w:rsidR="00BA3B46">
              <w:t>,</w:t>
            </w:r>
            <w:r w:rsidR="00422E5C">
              <w:t>500 mg/kg (rats)</w:t>
            </w:r>
            <w:r w:rsidR="00DD3479">
              <w:t>;</w:t>
            </w:r>
            <w:r w:rsidR="00422E5C">
              <w:t xml:space="preserve"> 1</w:t>
            </w:r>
            <w:r w:rsidR="009240E4">
              <w:t>,</w:t>
            </w:r>
            <w:r w:rsidR="00422E5C">
              <w:t xml:space="preserve">400 mg/kg and </w:t>
            </w:r>
            <w:r w:rsidR="00DD3479">
              <w:t>&gt;</w:t>
            </w:r>
            <w:r w:rsidR="00422E5C">
              <w:t>2</w:t>
            </w:r>
            <w:r w:rsidR="009240E4">
              <w:t>,</w:t>
            </w:r>
            <w:r w:rsidR="007F3ED7">
              <w:t>000 mg/kg (rabbits).</w:t>
            </w:r>
          </w:p>
          <w:p w14:paraId="6AF55093" w14:textId="77777777" w:rsidR="007F3ED7" w:rsidRDefault="00422E5C" w:rsidP="0073284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Severe eye irritant for p</w:t>
            </w:r>
            <w:r w:rsidR="007F3ED7">
              <w:t>arent acid but not ester forms</w:t>
            </w:r>
          </w:p>
          <w:p w14:paraId="7F9ADFBA" w14:textId="1467BE1E" w:rsidR="00D768D3" w:rsidRDefault="00422E5C" w:rsidP="0073284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 xml:space="preserve">Not </w:t>
            </w:r>
            <w:r w:rsidR="00D931E7">
              <w:t xml:space="preserve">a </w:t>
            </w:r>
            <w:r>
              <w:t>skin sensiti</w:t>
            </w:r>
            <w:r w:rsidR="00DD3479">
              <w:t>s</w:t>
            </w:r>
            <w:r>
              <w:t>er</w:t>
            </w:r>
          </w:p>
          <w:p w14:paraId="6A4E8DE1" w14:textId="43D0A43E" w:rsidR="00C403CA" w:rsidRDefault="00C403CA" w:rsidP="0073284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No sub-chronic repeat</w:t>
            </w:r>
            <w:r w:rsidR="00437D9C">
              <w:t>ed</w:t>
            </w:r>
            <w:r>
              <w:t xml:space="preserve">-dose inhalation exposure data available </w:t>
            </w:r>
          </w:p>
          <w:p w14:paraId="3639A82E" w14:textId="2E4984AE" w:rsidR="00A30472" w:rsidRDefault="00A30472" w:rsidP="0073284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lastRenderedPageBreak/>
              <w:t>We</w:t>
            </w:r>
            <w:r w:rsidR="00DB7FA2">
              <w:t>ight of evidence from 2</w:t>
            </w:r>
            <w:r w:rsidR="00976DB7">
              <w:t xml:space="preserve"> </w:t>
            </w:r>
            <w:r w:rsidR="00DB7FA2">
              <w:t>y</w:t>
            </w:r>
            <w:r>
              <w:t xml:space="preserve"> feeding studies in rats and mice was used to identify chronic exposure NOELs of 5 mg/kg</w:t>
            </w:r>
            <w:r w:rsidR="00C166AA">
              <w:t>/d</w:t>
            </w:r>
            <w:r>
              <w:t xml:space="preserve"> in both species</w:t>
            </w:r>
            <w:r w:rsidR="00C166AA">
              <w:t xml:space="preserve"> used to derive the inhalational </w:t>
            </w:r>
            <w:proofErr w:type="gramStart"/>
            <w:r w:rsidR="00C166AA">
              <w:t>TWA</w:t>
            </w:r>
            <w:r>
              <w:t>;</w:t>
            </w:r>
            <w:proofErr w:type="gramEnd"/>
            <w:r>
              <w:t xml:space="preserve"> based on:</w:t>
            </w:r>
          </w:p>
          <w:p w14:paraId="4A006BF6" w14:textId="1D3EF297" w:rsidR="00A30472" w:rsidRDefault="00A30472" w:rsidP="00732844">
            <w:pPr>
              <w:pStyle w:val="ListBullet"/>
              <w:numPr>
                <w:ilvl w:val="1"/>
                <w:numId w:val="7"/>
              </w:numPr>
              <w:spacing w:before="60" w:after="60"/>
              <w:ind w:left="1094" w:hanging="357"/>
              <w:contextualSpacing w:val="0"/>
            </w:pPr>
            <w:r>
              <w:t>increased absolute and relative thyroid weights in rats at 15 mg/kg</w:t>
            </w:r>
            <w:r w:rsidR="00047CA2">
              <w:t>/d</w:t>
            </w:r>
            <w:r>
              <w:t xml:space="preserve"> (but not at 45</w:t>
            </w:r>
            <w:r w:rsidR="0081499C">
              <w:t> </w:t>
            </w:r>
            <w:r>
              <w:t>mg/kg</w:t>
            </w:r>
            <w:r w:rsidR="00047CA2">
              <w:t>/d</w:t>
            </w:r>
            <w:proofErr w:type="gramStart"/>
            <w:r>
              <w:t>);</w:t>
            </w:r>
            <w:proofErr w:type="gramEnd"/>
          </w:p>
          <w:p w14:paraId="52D105FF" w14:textId="394F72D2" w:rsidR="00A30472" w:rsidRDefault="00A30472" w:rsidP="00732844">
            <w:pPr>
              <w:pStyle w:val="ListBullet"/>
              <w:numPr>
                <w:ilvl w:val="1"/>
                <w:numId w:val="7"/>
              </w:numPr>
              <w:spacing w:before="60" w:after="60"/>
              <w:ind w:left="1094" w:hanging="357"/>
              <w:contextualSpacing w:val="0"/>
            </w:pPr>
            <w:r>
              <w:t>non</w:t>
            </w:r>
            <w:r w:rsidR="00C166AA">
              <w:t xml:space="preserve"> statistically </w:t>
            </w:r>
            <w:r>
              <w:t>significant increase in kidney weights</w:t>
            </w:r>
            <w:r w:rsidR="00C166AA">
              <w:t xml:space="preserve"> </w:t>
            </w:r>
            <w:r>
              <w:t xml:space="preserve">and </w:t>
            </w:r>
            <w:r w:rsidR="00C166AA">
              <w:t>proximal renal</w:t>
            </w:r>
            <w:r>
              <w:t xml:space="preserve"> </w:t>
            </w:r>
            <w:r w:rsidR="00C166AA">
              <w:t xml:space="preserve">tubule </w:t>
            </w:r>
            <w:r>
              <w:t xml:space="preserve">effects at </w:t>
            </w:r>
            <w:r w:rsidR="00C166AA">
              <w:t>15 </w:t>
            </w:r>
            <w:r>
              <w:t>mg/kg</w:t>
            </w:r>
            <w:r w:rsidR="00047CA2">
              <w:t>/d</w:t>
            </w:r>
            <w:r>
              <w:t xml:space="preserve"> in both species</w:t>
            </w:r>
          </w:p>
          <w:p w14:paraId="7229EE29" w14:textId="5BE913B8" w:rsidR="00DC1748" w:rsidRDefault="000A1FF8" w:rsidP="0073284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No oncogenic effect noted at</w:t>
            </w:r>
            <w:r w:rsidR="00DC1748">
              <w:t xml:space="preserve"> NOEL of 1 mg/kg</w:t>
            </w:r>
            <w:r w:rsidR="00047CA2">
              <w:t>/d</w:t>
            </w:r>
            <w:r w:rsidR="00C00F52">
              <w:t>; LOEL 15 mg/kg/</w:t>
            </w:r>
            <w:r w:rsidR="007F3ED7">
              <w:t xml:space="preserve">d; based on kidney effects; 104 </w:t>
            </w:r>
            <w:proofErr w:type="spellStart"/>
            <w:r w:rsidR="00C00F52">
              <w:t>wk</w:t>
            </w:r>
            <w:proofErr w:type="spellEnd"/>
            <w:r w:rsidR="00C00F52">
              <w:t xml:space="preserve"> diet </w:t>
            </w:r>
            <w:r w:rsidR="00C166AA">
              <w:t xml:space="preserve">in another </w:t>
            </w:r>
            <w:r w:rsidR="00C00F52">
              <w:t>study</w:t>
            </w:r>
          </w:p>
          <w:p w14:paraId="6A39308A" w14:textId="43729525" w:rsidR="00DC1748" w:rsidRDefault="00DC1748" w:rsidP="0073284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No signs of neurotoxic effects in rats. Pregnant rabbits exhibited clinical signs of neurotoxicity</w:t>
            </w:r>
          </w:p>
          <w:p w14:paraId="7C8C86E6" w14:textId="6E91FE7D" w:rsidR="00DC1748" w:rsidRDefault="00DC1748" w:rsidP="00732844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>
              <w:t>Not considered genotoxic although cytogenic effects reported</w:t>
            </w:r>
            <w:r w:rsidR="00D931E7">
              <w:t>:</w:t>
            </w:r>
            <w:r>
              <w:t xml:space="preserve"> </w:t>
            </w:r>
          </w:p>
          <w:p w14:paraId="38098FEC" w14:textId="77777777" w:rsidR="007F3ED7" w:rsidRDefault="00D931E7" w:rsidP="00732844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</w:t>
            </w:r>
            <w:r w:rsidR="00DC1748">
              <w:t xml:space="preserve">o developmental toxicity </w:t>
            </w:r>
            <w:r w:rsidR="007F3ED7">
              <w:t>observed</w:t>
            </w:r>
          </w:p>
          <w:p w14:paraId="436900D1" w14:textId="177877E5" w:rsidR="00DC1748" w:rsidRDefault="007F3ED7" w:rsidP="00732844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r</w:t>
            </w:r>
            <w:r w:rsidR="00353532">
              <w:t>eproductive NOAEL: 17 mg/kg</w:t>
            </w:r>
            <w:r w:rsidR="00285659">
              <w:t>/d (male rats)</w:t>
            </w:r>
            <w:r w:rsidR="00353532">
              <w:t xml:space="preserve"> and 21</w:t>
            </w:r>
            <w:r w:rsidR="00285659">
              <w:t xml:space="preserve"> mg/kg/d (female rats)</w:t>
            </w:r>
            <w:r w:rsidR="00353532">
              <w:t xml:space="preserve"> and 75</w:t>
            </w:r>
            <w:r>
              <w:t> </w:t>
            </w:r>
            <w:r w:rsidR="00353532">
              <w:t>mg/kg in rabbits</w:t>
            </w:r>
            <w:r w:rsidR="00D214C8">
              <w:t>.</w:t>
            </w:r>
          </w:p>
          <w:p w14:paraId="58B5F7BA" w14:textId="77777777" w:rsidR="00D214C8" w:rsidRDefault="00D214C8" w:rsidP="00DB7FA2">
            <w:pPr>
              <w:pStyle w:val="Tabletextprimarysource"/>
            </w:pPr>
          </w:p>
          <w:p w14:paraId="79E29F7A" w14:textId="095E3681" w:rsidR="00D931E7" w:rsidRDefault="00A30472" w:rsidP="00DB7FA2">
            <w:pPr>
              <w:pStyle w:val="Tabletextprimarysource"/>
            </w:pPr>
            <w:r>
              <w:t>Exposure of a 70 kg worker inhaling 10 m</w:t>
            </w:r>
            <w:r>
              <w:rPr>
                <w:vertAlign w:val="superscript"/>
              </w:rPr>
              <w:t>3</w:t>
            </w:r>
            <w:r w:rsidR="00DB7FA2">
              <w:t xml:space="preserve"> per </w:t>
            </w:r>
            <w:r w:rsidR="007F3ED7">
              <w:t xml:space="preserve">8 </w:t>
            </w:r>
            <w:r w:rsidR="00DB7FA2">
              <w:t>h</w:t>
            </w:r>
            <w:r>
              <w:t xml:space="preserve"> shift to the TLV-TWA of 10 mg/m</w:t>
            </w:r>
            <w:r>
              <w:rPr>
                <w:vertAlign w:val="superscript"/>
              </w:rPr>
              <w:t>3</w:t>
            </w:r>
            <w:r>
              <w:t xml:space="preserve"> results </w:t>
            </w:r>
            <w:r w:rsidR="00DB7FA2">
              <w:t xml:space="preserve">in </w:t>
            </w:r>
            <w:r>
              <w:t xml:space="preserve">dose of </w:t>
            </w:r>
            <w:r w:rsidR="0035243C">
              <w:rPr>
                <w:rFonts w:cs="Arial"/>
              </w:rPr>
              <w:t>≈</w:t>
            </w:r>
            <w:r>
              <w:t>1.5 mg/kg/d; assuming 100% absorption</w:t>
            </w:r>
            <w:r w:rsidR="52E93C05">
              <w:t xml:space="preserve"> (no further explanation provided)</w:t>
            </w:r>
            <w:r w:rsidR="00DB7FA2">
              <w:t>.</w:t>
            </w:r>
          </w:p>
          <w:p w14:paraId="0244FBEB" w14:textId="77777777" w:rsidR="00264AFA" w:rsidRDefault="005F67D8" w:rsidP="00DB7FA2">
            <w:pPr>
              <w:pStyle w:val="Tabletextprimarysource"/>
            </w:pPr>
            <w:r>
              <w:t>Skin notation not recommended due to insufficient data to suggest systemic effects from skin absorption.</w:t>
            </w:r>
          </w:p>
          <w:p w14:paraId="7451C2BD" w14:textId="125841CF" w:rsidR="00A30472" w:rsidRPr="00A30472" w:rsidRDefault="00A30472" w:rsidP="00DB7FA2">
            <w:pPr>
              <w:pStyle w:val="Tabletextprimarysource"/>
            </w:pPr>
          </w:p>
        </w:tc>
      </w:tr>
      <w:tr w:rsidR="00C978F0" w:rsidRPr="00DA352E" w14:paraId="5ECCABE5" w14:textId="77777777" w:rsidTr="009F5126">
        <w:trPr>
          <w:gridAfter w:val="1"/>
          <w:wAfter w:w="360" w:type="dxa"/>
        </w:trPr>
        <w:tc>
          <w:tcPr>
            <w:tcW w:w="0" w:type="pct"/>
            <w:shd w:val="clear" w:color="auto" w:fill="F2F2F2" w:themeFill="background1" w:themeFillShade="F2"/>
          </w:tcPr>
          <w:p w14:paraId="07ABA459" w14:textId="4AEC78F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F013A">
                  <w:t>1994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F013A">
                  <w:t>MAK: 1 mg/m</w:t>
                </w:r>
                <w:r w:rsidR="00CF013A" w:rsidRPr="00CF013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9250AD9" w14:textId="77777777" w:rsidTr="009F5126">
        <w:trPr>
          <w:gridAfter w:val="1"/>
          <w:wAfter w:w="360" w:type="dxa"/>
        </w:trPr>
        <w:tc>
          <w:tcPr>
            <w:tcW w:w="4992" w:type="pct"/>
          </w:tcPr>
          <w:p w14:paraId="743153EF" w14:textId="0A593999" w:rsidR="00D214C8" w:rsidRDefault="003E0EC4" w:rsidP="003365A5">
            <w:pPr>
              <w:pStyle w:val="Tabletextprimarysource"/>
            </w:pPr>
            <w:r>
              <w:t>MAK of 1 mg/m</w:t>
            </w:r>
            <w:r w:rsidRPr="003E0EC4">
              <w:rPr>
                <w:vertAlign w:val="superscript"/>
              </w:rPr>
              <w:t>3</w:t>
            </w:r>
            <w:r>
              <w:t xml:space="preserve"> to protect </w:t>
            </w:r>
            <w:r w:rsidR="00B60ECD">
              <w:t xml:space="preserve">against malignant </w:t>
            </w:r>
            <w:r w:rsidR="009345D3">
              <w:t xml:space="preserve">lymphomas </w:t>
            </w:r>
            <w:r w:rsidR="00AA1652">
              <w:t>and</w:t>
            </w:r>
            <w:r w:rsidR="00281D03">
              <w:t xml:space="preserve"> reproductive toxic effects</w:t>
            </w:r>
            <w:r w:rsidR="00AA1652">
              <w:t xml:space="preserve">. </w:t>
            </w:r>
            <w:r w:rsidR="00A540D7">
              <w:t>D</w:t>
            </w:r>
            <w:r w:rsidR="00AA1652">
              <w:t>erived from NO</w:t>
            </w:r>
            <w:r w:rsidR="000A1FF8">
              <w:t xml:space="preserve">EL of 0.3 mg/kg </w:t>
            </w:r>
            <w:r w:rsidR="00AA1652">
              <w:t xml:space="preserve">of the most sensitive species (dog) </w:t>
            </w:r>
            <w:r w:rsidR="00B60ECD">
              <w:t>and need for further clarification due to the p</w:t>
            </w:r>
            <w:r w:rsidR="00DB7FA2">
              <w:t xml:space="preserve">resence of impurities, limited </w:t>
            </w:r>
            <w:r w:rsidR="00B60ECD">
              <w:t>case studies and uncertainties</w:t>
            </w:r>
            <w:r w:rsidR="00107CC3">
              <w:t xml:space="preserve"> associated with extrapolations from a NOAEL derived from oral administration to inhalation.</w:t>
            </w:r>
          </w:p>
          <w:p w14:paraId="6CEB478E" w14:textId="1C0354B6" w:rsidR="00C978F0" w:rsidRPr="003E0EC4" w:rsidRDefault="00C978F0" w:rsidP="003365A5">
            <w:pPr>
              <w:pStyle w:val="Tabletextprimarysource"/>
            </w:pPr>
          </w:p>
        </w:tc>
      </w:tr>
      <w:tr w:rsidR="00C978F0" w:rsidRPr="00DA352E" w14:paraId="406076F0" w14:textId="77777777" w:rsidTr="009F5126">
        <w:trPr>
          <w:gridAfter w:val="1"/>
          <w:wAfter w:w="360" w:type="dxa"/>
        </w:trPr>
        <w:tc>
          <w:tcPr>
            <w:tcW w:w="0" w:type="pct"/>
            <w:shd w:val="clear" w:color="auto" w:fill="F2F2F2" w:themeFill="background1" w:themeFillShade="F2"/>
          </w:tcPr>
          <w:p w14:paraId="3D1DEED7" w14:textId="6F34B95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F013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F013A">
                  <w:t>NA</w:t>
                </w:r>
                <w:proofErr w:type="spellEnd"/>
              </w:sdtContent>
            </w:sdt>
          </w:p>
        </w:tc>
      </w:tr>
      <w:tr w:rsidR="00C978F0" w:rsidRPr="00DA352E" w14:paraId="051B0EB4" w14:textId="77777777" w:rsidTr="009F5126">
        <w:trPr>
          <w:gridAfter w:val="1"/>
          <w:wAfter w:w="360" w:type="dxa"/>
        </w:trPr>
        <w:tc>
          <w:tcPr>
            <w:tcW w:w="0" w:type="pct"/>
          </w:tcPr>
          <w:p w14:paraId="4FBF9DF1" w14:textId="2C1DB587" w:rsidR="00C978F0" w:rsidRPr="00DA352E" w:rsidRDefault="00CF013A" w:rsidP="003365A5">
            <w:pPr>
              <w:pStyle w:val="Tabletextprimarysource"/>
            </w:pPr>
            <w:r>
              <w:t>No report</w:t>
            </w:r>
            <w:r w:rsidR="00A540D7">
              <w:t>.</w:t>
            </w:r>
          </w:p>
        </w:tc>
      </w:tr>
      <w:tr w:rsidR="00DA352E" w:rsidRPr="00DA352E" w14:paraId="4C76B081" w14:textId="77777777" w:rsidTr="009F5126">
        <w:trPr>
          <w:gridAfter w:val="1"/>
          <w:wAfter w:w="360" w:type="dxa"/>
        </w:trPr>
        <w:tc>
          <w:tcPr>
            <w:tcW w:w="0" w:type="pct"/>
            <w:shd w:val="clear" w:color="auto" w:fill="F2F2F2" w:themeFill="background1" w:themeFillShade="F2"/>
          </w:tcPr>
          <w:p w14:paraId="7A0FD54C" w14:textId="0CB0BA4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F013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F013A">
                  <w:t>NA</w:t>
                </w:r>
                <w:proofErr w:type="spellEnd"/>
              </w:sdtContent>
            </w:sdt>
          </w:p>
        </w:tc>
      </w:tr>
      <w:tr w:rsidR="00DA352E" w:rsidRPr="00DA352E" w14:paraId="39088BD1" w14:textId="77777777" w:rsidTr="009F5126">
        <w:trPr>
          <w:gridAfter w:val="1"/>
          <w:wAfter w:w="360" w:type="dxa"/>
        </w:trPr>
        <w:tc>
          <w:tcPr>
            <w:tcW w:w="0" w:type="pct"/>
          </w:tcPr>
          <w:p w14:paraId="005E3449" w14:textId="4ED4636E" w:rsidR="00DA352E" w:rsidRPr="00DA352E" w:rsidRDefault="00CF013A" w:rsidP="003365A5">
            <w:pPr>
              <w:pStyle w:val="Tabletextprimarysource"/>
            </w:pPr>
            <w:r>
              <w:t>No report</w:t>
            </w:r>
            <w:r w:rsidR="00A540D7">
              <w:t>.</w:t>
            </w:r>
          </w:p>
        </w:tc>
      </w:tr>
      <w:tr w:rsidR="00DA352E" w:rsidRPr="00DA352E" w14:paraId="5436BDE6" w14:textId="77777777" w:rsidTr="009F5126">
        <w:trPr>
          <w:gridAfter w:val="1"/>
          <w:wAfter w:w="360" w:type="dxa"/>
        </w:trPr>
        <w:tc>
          <w:tcPr>
            <w:tcW w:w="0" w:type="pct"/>
            <w:shd w:val="clear" w:color="auto" w:fill="F2F2F2" w:themeFill="background1" w:themeFillShade="F2"/>
          </w:tcPr>
          <w:p w14:paraId="17E8ACB8" w14:textId="7C4FDFB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A4DC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FA4DC0">
                  <w:t>NA</w:t>
                </w:r>
                <w:proofErr w:type="spellEnd"/>
              </w:sdtContent>
            </w:sdt>
          </w:p>
        </w:tc>
      </w:tr>
      <w:tr w:rsidR="00DA352E" w:rsidRPr="00DA352E" w14:paraId="0D3D41B6" w14:textId="77777777" w:rsidTr="009F5126">
        <w:trPr>
          <w:gridAfter w:val="1"/>
          <w:wAfter w:w="360" w:type="dxa"/>
        </w:trPr>
        <w:tc>
          <w:tcPr>
            <w:tcW w:w="0" w:type="pct"/>
          </w:tcPr>
          <w:p w14:paraId="531FFD17" w14:textId="79A327C2" w:rsidR="00DA352E" w:rsidRPr="00DA352E" w:rsidRDefault="00FA4DC0" w:rsidP="003365A5">
            <w:pPr>
              <w:pStyle w:val="Tabletextprimarysource"/>
            </w:pPr>
            <w:r>
              <w:t>No report</w:t>
            </w:r>
            <w:r w:rsidR="00A540D7">
              <w:t>.</w:t>
            </w:r>
          </w:p>
        </w:tc>
      </w:tr>
    </w:tbl>
    <w:p w14:paraId="020E9B3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2"/>
        <w:gridCol w:w="661"/>
        <w:gridCol w:w="6452"/>
      </w:tblGrid>
      <w:tr w:rsidR="004966BF" w:rsidRPr="00263255" w14:paraId="28304F2C" w14:textId="77777777" w:rsidTr="00285659">
        <w:trPr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05664EE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40ECA77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1E0702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2A3AADF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285659" w:rsidRPr="004C23F4" w14:paraId="231789EB" w14:textId="77777777" w:rsidTr="00285659">
        <w:trPr>
          <w:cantSplit/>
        </w:trPr>
        <w:tc>
          <w:tcPr>
            <w:tcW w:w="1491" w:type="dxa"/>
          </w:tcPr>
          <w:p w14:paraId="60BC9D38" w14:textId="77777777" w:rsidR="00285659" w:rsidRPr="004C23F4" w:rsidRDefault="00285659" w:rsidP="00285659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3EE8659B" w14:textId="0A9D126B" w:rsidR="00285659" w:rsidRPr="00CE617F" w:rsidRDefault="00886C4B" w:rsidP="00285659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67330A52F5744CF590D4F471A144A5B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8565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48EB33D" w14:textId="54BC2805" w:rsidR="00285659" w:rsidRPr="004C23F4" w:rsidRDefault="00285659" w:rsidP="00285659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1987 </w:t>
            </w:r>
          </w:p>
        </w:tc>
        <w:tc>
          <w:tcPr>
            <w:tcW w:w="6452" w:type="dxa"/>
          </w:tcPr>
          <w:p w14:paraId="7C557AD0" w14:textId="561B5A9D" w:rsidR="00BE0A60" w:rsidRDefault="00BE0A60" w:rsidP="00732844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="00285659">
              <w:rPr>
                <w:rStyle w:val="checkbox"/>
                <w:rFonts w:ascii="Arial" w:hAnsi="Arial" w:cs="Arial"/>
              </w:rPr>
              <w:t>Inhalatio</w:t>
            </w:r>
            <w:r>
              <w:rPr>
                <w:rStyle w:val="checkbox"/>
                <w:rFonts w:ascii="Arial" w:hAnsi="Arial" w:cs="Arial"/>
              </w:rPr>
              <w:t xml:space="preserve">n </w:t>
            </w:r>
            <w:proofErr w:type="spellStart"/>
            <w:r>
              <w:rPr>
                <w:rStyle w:val="checkbox"/>
                <w:rFonts w:ascii="Arial" w:hAnsi="Arial" w:cs="Arial"/>
              </w:rPr>
              <w:t>RfC</w:t>
            </w:r>
            <w:proofErr w:type="spellEnd"/>
          </w:p>
          <w:p w14:paraId="4D30E35B" w14:textId="5A2E6E4D" w:rsidR="00D931E7" w:rsidRDefault="00B540F9" w:rsidP="00732844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Oral </w:t>
            </w:r>
            <w:proofErr w:type="spellStart"/>
            <w:r w:rsidR="00285659">
              <w:rPr>
                <w:rStyle w:val="checkbox"/>
                <w:rFonts w:ascii="Arial" w:hAnsi="Arial" w:cs="Arial"/>
              </w:rPr>
              <w:t>RfD</w:t>
            </w:r>
            <w:proofErr w:type="spellEnd"/>
            <w:r w:rsidR="00285659">
              <w:rPr>
                <w:rStyle w:val="checkbox"/>
                <w:rFonts w:ascii="Arial" w:hAnsi="Arial" w:cs="Arial"/>
              </w:rPr>
              <w:t xml:space="preserve"> of 1.0E-02</w:t>
            </w:r>
            <w:r w:rsidR="00BE0A60">
              <w:rPr>
                <w:rStyle w:val="checkbox"/>
                <w:rFonts w:ascii="Arial" w:hAnsi="Arial" w:cs="Arial"/>
              </w:rPr>
              <w:t xml:space="preserve"> for protection against hepatic and renal toxicity; derived on</w:t>
            </w:r>
            <w:r w:rsidR="00D931E7">
              <w:rPr>
                <w:rStyle w:val="checkbox"/>
                <w:rFonts w:ascii="Arial" w:hAnsi="Arial" w:cs="Arial"/>
              </w:rPr>
              <w:t>:</w:t>
            </w:r>
            <w:r w:rsidR="00BE0A60">
              <w:rPr>
                <w:rStyle w:val="checkbox"/>
                <w:rFonts w:ascii="Arial" w:hAnsi="Arial" w:cs="Arial"/>
              </w:rPr>
              <w:t xml:space="preserve"> </w:t>
            </w:r>
          </w:p>
          <w:p w14:paraId="786B2E45" w14:textId="3E8B6AA2" w:rsidR="00D931E7" w:rsidRDefault="00285659" w:rsidP="00732844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</w:t>
            </w:r>
            <w:r w:rsidR="00D931E7">
              <w:rPr>
                <w:rStyle w:val="checkbox"/>
                <w:rFonts w:ascii="Arial" w:hAnsi="Arial" w:cs="Arial"/>
              </w:rPr>
              <w:t xml:space="preserve"> </w:t>
            </w:r>
            <w:r w:rsidRPr="00D931E7">
              <w:rPr>
                <w:rStyle w:val="checkbox"/>
                <w:rFonts w:ascii="Arial" w:hAnsi="Arial" w:cs="Arial"/>
              </w:rPr>
              <w:t>1.0 mg/kg/d</w:t>
            </w:r>
          </w:p>
          <w:p w14:paraId="217F1363" w14:textId="3A5948BA" w:rsidR="00285659" w:rsidRPr="00D931E7" w:rsidRDefault="00285659" w:rsidP="00732844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 w:rsidRPr="00D931E7">
              <w:rPr>
                <w:rStyle w:val="checkbox"/>
                <w:rFonts w:ascii="Arial" w:hAnsi="Arial" w:cs="Arial"/>
              </w:rPr>
              <w:t>LOAEL 5.0 mg/kg/d for h</w:t>
            </w:r>
            <w:r w:rsidR="00A540D7" w:rsidRPr="00D931E7">
              <w:rPr>
                <w:rStyle w:val="checkbox"/>
                <w:rFonts w:ascii="Arial" w:hAnsi="Arial" w:cs="Arial"/>
              </w:rPr>
              <w:t>a</w:t>
            </w:r>
            <w:r w:rsidRPr="00D931E7">
              <w:rPr>
                <w:rStyle w:val="checkbox"/>
                <w:rFonts w:ascii="Arial" w:hAnsi="Arial" w:cs="Arial"/>
              </w:rPr>
              <w:t>ematologic, hepatic and renal toxicity (rat, 90-d</w:t>
            </w:r>
            <w:r w:rsidR="009345D3" w:rsidRPr="00D931E7">
              <w:rPr>
                <w:rStyle w:val="checkbox"/>
                <w:rFonts w:ascii="Arial" w:hAnsi="Arial" w:cs="Arial"/>
              </w:rPr>
              <w:t xml:space="preserve"> </w:t>
            </w:r>
            <w:r w:rsidRPr="00D931E7">
              <w:rPr>
                <w:rStyle w:val="checkbox"/>
                <w:rFonts w:ascii="Arial" w:hAnsi="Arial" w:cs="Arial"/>
              </w:rPr>
              <w:t>bioassay</w:t>
            </w:r>
            <w:r w:rsidR="009345D3" w:rsidRPr="00D931E7">
              <w:rPr>
                <w:rStyle w:val="checkbox"/>
                <w:rFonts w:ascii="Arial" w:hAnsi="Arial" w:cs="Arial"/>
              </w:rPr>
              <w:t xml:space="preserve"> from a </w:t>
            </w:r>
            <w:proofErr w:type="gramStart"/>
            <w:r w:rsidRPr="00D931E7">
              <w:rPr>
                <w:rStyle w:val="checkbox"/>
                <w:rFonts w:ascii="Arial" w:hAnsi="Arial" w:cs="Arial"/>
              </w:rPr>
              <w:t>2</w:t>
            </w:r>
            <w:r w:rsidR="00B540F9">
              <w:rPr>
                <w:rStyle w:val="checkbox"/>
                <w:rFonts w:ascii="Arial" w:hAnsi="Arial" w:cs="Arial"/>
              </w:rPr>
              <w:t xml:space="preserve"> </w:t>
            </w:r>
            <w:r w:rsidR="009345D3" w:rsidRPr="00D931E7">
              <w:rPr>
                <w:rStyle w:val="checkbox"/>
                <w:rFonts w:ascii="Arial" w:hAnsi="Arial" w:cs="Arial"/>
              </w:rPr>
              <w:t>y</w:t>
            </w:r>
            <w:proofErr w:type="gramEnd"/>
            <w:r w:rsidRPr="00D931E7">
              <w:rPr>
                <w:rStyle w:val="checkbox"/>
                <w:rFonts w:ascii="Arial" w:hAnsi="Arial" w:cs="Arial"/>
              </w:rPr>
              <w:t xml:space="preserve"> oral bioassay)</w:t>
            </w:r>
            <w:r w:rsidR="0081499C" w:rsidRPr="00D931E7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2157CB30" w14:textId="77777777" w:rsidR="007E2A4B" w:rsidRDefault="007E2A4B"/>
    <w:bookmarkEnd w:id="0"/>
    <w:p w14:paraId="401AB7B2" w14:textId="77777777" w:rsidR="007E2A4B" w:rsidRDefault="007E2A4B" w:rsidP="00B540F9">
      <w:pPr>
        <w:pStyle w:val="Heading3"/>
        <w:keepNext w:val="0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8"/>
        <w:gridCol w:w="2418"/>
      </w:tblGrid>
      <w:tr w:rsidR="002E0D61" w14:paraId="5F51F4B3" w14:textId="77777777" w:rsidTr="00D2301C">
        <w:trPr>
          <w:trHeight w:val="454"/>
          <w:tblHeader/>
        </w:trPr>
        <w:tc>
          <w:tcPr>
            <w:tcW w:w="6608" w:type="dxa"/>
            <w:vAlign w:val="center"/>
          </w:tcPr>
          <w:p w14:paraId="5C05F789" w14:textId="77777777" w:rsidR="002E0D61" w:rsidRDefault="00B1422A" w:rsidP="00B540F9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8" w:type="dxa"/>
                <w:vAlign w:val="center"/>
              </w:tcPr>
              <w:p w14:paraId="6BF634BC" w14:textId="32BA4028" w:rsidR="002E0D61" w:rsidRDefault="000A1FF8" w:rsidP="00B540F9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BAC2B71" w14:textId="77777777" w:rsidTr="00D2301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8" w:type="dxa"/>
                <w:vAlign w:val="center"/>
              </w:tcPr>
              <w:p w14:paraId="2BDF294D" w14:textId="551E26EA" w:rsidR="008A36CF" w:rsidRPr="006901A2" w:rsidRDefault="00A540D7" w:rsidP="00B540F9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8" w:type="dxa"/>
            <w:vAlign w:val="center"/>
          </w:tcPr>
          <w:p w14:paraId="2B404537" w14:textId="77777777" w:rsidR="008A36CF" w:rsidRDefault="008A36CF" w:rsidP="00B540F9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17B48A3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6AECA8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4260DD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2EC84C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3703F1B" w14:textId="77777777" w:rsidTr="00812887">
        <w:trPr>
          <w:cantSplit/>
        </w:trPr>
        <w:tc>
          <w:tcPr>
            <w:tcW w:w="3227" w:type="dxa"/>
          </w:tcPr>
          <w:p w14:paraId="7A9D00D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4357FAE" w14:textId="24CCD36C" w:rsidR="00687890" w:rsidRPr="00DD2F9B" w:rsidRDefault="00DB7FA2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1019DD16" w14:textId="77777777" w:rsidTr="00812887">
        <w:trPr>
          <w:cantSplit/>
        </w:trPr>
        <w:tc>
          <w:tcPr>
            <w:tcW w:w="3227" w:type="dxa"/>
          </w:tcPr>
          <w:p w14:paraId="4431C34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41C634A" w14:textId="2945AF15" w:rsidR="007925F0" w:rsidRPr="00DD2F9B" w:rsidRDefault="00FA4DC0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8DDCD6C" w14:textId="77777777" w:rsidTr="00812887">
        <w:trPr>
          <w:cantSplit/>
        </w:trPr>
        <w:tc>
          <w:tcPr>
            <w:tcW w:w="3227" w:type="dxa"/>
          </w:tcPr>
          <w:p w14:paraId="4B43483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F3755A7" w14:textId="3ED1A222" w:rsidR="00AF483F" w:rsidRPr="00DD2F9B" w:rsidRDefault="00FA4DC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0C83729" w14:textId="77777777" w:rsidTr="00812887">
        <w:trPr>
          <w:cantSplit/>
        </w:trPr>
        <w:tc>
          <w:tcPr>
            <w:tcW w:w="3227" w:type="dxa"/>
          </w:tcPr>
          <w:p w14:paraId="301E757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B8DFA4E" w14:textId="7CEEFD3F" w:rsidR="00687890" w:rsidRPr="00DD2F9B" w:rsidRDefault="00FA4DC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9EE6C51" w14:textId="77777777" w:rsidTr="00812887">
        <w:trPr>
          <w:cantSplit/>
        </w:trPr>
        <w:tc>
          <w:tcPr>
            <w:tcW w:w="3227" w:type="dxa"/>
          </w:tcPr>
          <w:p w14:paraId="0BF8FBE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9E4CF37" w14:textId="690AA9F4" w:rsidR="00E41A26" w:rsidRPr="00DD2F9B" w:rsidRDefault="00FA4DC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79ECC56" w14:textId="77777777" w:rsidTr="00812887">
        <w:trPr>
          <w:cantSplit/>
        </w:trPr>
        <w:tc>
          <w:tcPr>
            <w:tcW w:w="3227" w:type="dxa"/>
          </w:tcPr>
          <w:p w14:paraId="1ABE122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8CB3AE3" w14:textId="7A615A88" w:rsidR="002E0D61" w:rsidRPr="00DD2F9B" w:rsidRDefault="00FA4DC0" w:rsidP="00DD2F9B">
            <w:pPr>
              <w:pStyle w:val="Tablefont"/>
            </w:pPr>
            <w:r w:rsidRPr="00FA4DC0">
              <w:t>Carcinogenicity – A4</w:t>
            </w:r>
          </w:p>
        </w:tc>
      </w:tr>
      <w:tr w:rsidR="002E0D61" w:rsidRPr="004C23F4" w14:paraId="613E3B89" w14:textId="77777777" w:rsidTr="00812887">
        <w:trPr>
          <w:cantSplit/>
        </w:trPr>
        <w:tc>
          <w:tcPr>
            <w:tcW w:w="3227" w:type="dxa"/>
          </w:tcPr>
          <w:p w14:paraId="2211F01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53444C0" w14:textId="5CDFDA59" w:rsidR="002E0D61" w:rsidRPr="00DD2F9B" w:rsidRDefault="00FA4DC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4774476" w14:textId="77777777" w:rsidTr="00812887">
        <w:trPr>
          <w:cantSplit/>
        </w:trPr>
        <w:tc>
          <w:tcPr>
            <w:tcW w:w="3227" w:type="dxa"/>
          </w:tcPr>
          <w:p w14:paraId="2B7EE30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DD8E288" w14:textId="04592505" w:rsidR="002E0D61" w:rsidRPr="00DD2F9B" w:rsidRDefault="00FA4DC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B41F069" w14:textId="77777777" w:rsidTr="00812887">
        <w:trPr>
          <w:cantSplit/>
        </w:trPr>
        <w:tc>
          <w:tcPr>
            <w:tcW w:w="3227" w:type="dxa"/>
          </w:tcPr>
          <w:p w14:paraId="2E8A408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8DA56D5" w14:textId="3B431C30" w:rsidR="002E0D61" w:rsidRPr="00DD2F9B" w:rsidRDefault="00FA4DC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C5068F4" w14:textId="77777777" w:rsidTr="00812887">
        <w:trPr>
          <w:cantSplit/>
        </w:trPr>
        <w:tc>
          <w:tcPr>
            <w:tcW w:w="3227" w:type="dxa"/>
          </w:tcPr>
          <w:p w14:paraId="6BB0CD7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8C79948" w14:textId="74086931" w:rsidR="00386093" w:rsidRPr="00DD2F9B" w:rsidRDefault="00FA4DC0" w:rsidP="00DD2F9B">
            <w:pPr>
              <w:pStyle w:val="Tablefont"/>
            </w:pPr>
            <w:r w:rsidRPr="00FA4DC0">
              <w:t>Carcinogenicity – Group 2B</w:t>
            </w:r>
          </w:p>
        </w:tc>
      </w:tr>
      <w:tr w:rsidR="00386093" w:rsidRPr="004C23F4" w14:paraId="2B817C3E" w14:textId="77777777" w:rsidTr="00812887">
        <w:trPr>
          <w:cantSplit/>
        </w:trPr>
        <w:tc>
          <w:tcPr>
            <w:tcW w:w="3227" w:type="dxa"/>
          </w:tcPr>
          <w:p w14:paraId="53D70D9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C3229FB" w14:textId="4E987DF9" w:rsidR="00386093" w:rsidRPr="00DD2F9B" w:rsidRDefault="00FA4DC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1882C5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018F87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A2CEA77" w14:textId="19151213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8FFD8CC" w14:textId="786A1784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9026" w:type="dxa"/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1277"/>
        <w:gridCol w:w="879"/>
        <w:gridCol w:w="2986"/>
        <w:gridCol w:w="879"/>
        <w:gridCol w:w="879"/>
        <w:gridCol w:w="2126"/>
      </w:tblGrid>
      <w:tr w:rsidR="00B540F9" w14:paraId="106A50D5" w14:textId="77777777" w:rsidTr="00A92300">
        <w:trPr>
          <w:trHeight w:val="342"/>
        </w:trPr>
        <w:tc>
          <w:tcPr>
            <w:tcW w:w="5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400CA6" w14:textId="67C6F373" w:rsidR="00B540F9" w:rsidRPr="00B540F9" w:rsidRDefault="00B540F9" w:rsidP="00B540F9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1E323EFB" w14:textId="77777777" w:rsidR="00B540F9" w:rsidRDefault="00B540F9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A6F4A2" w14:textId="77777777" w:rsidR="00B540F9" w:rsidRDefault="00B540F9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4.00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03AF57" w14:textId="77777777" w:rsidR="00B540F9" w:rsidRDefault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B540F9" w14:paraId="577BFB5C" w14:textId="77777777" w:rsidTr="00691588">
        <w:trPr>
          <w:trHeight w:val="342"/>
        </w:trPr>
        <w:tc>
          <w:tcPr>
            <w:tcW w:w="5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1B5609" w14:textId="3CF72438" w:rsidR="00B540F9" w:rsidRDefault="00B540F9" w:rsidP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C08C89" w14:textId="77777777" w:rsidR="00B540F9" w:rsidRDefault="00B540F9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9DC2183" w14:textId="77777777" w:rsidR="00B540F9" w:rsidRDefault="00B540F9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FE6BD7" w14:textId="77777777" w:rsidR="00B540F9" w:rsidRDefault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B540F9" w14:paraId="42F88392" w14:textId="77777777" w:rsidTr="00E5776A">
        <w:trPr>
          <w:trHeight w:val="342"/>
        </w:trPr>
        <w:tc>
          <w:tcPr>
            <w:tcW w:w="5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9BB8C84" w14:textId="317465AF" w:rsidR="00B540F9" w:rsidRDefault="00B540F9" w:rsidP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Dermal repeat-dose NOAEL ≤200 mg/kg: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0A528F" w14:textId="77777777" w:rsidR="00B540F9" w:rsidRDefault="00B540F9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0E1109" w14:textId="77777777" w:rsidR="00B540F9" w:rsidRDefault="00B540F9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B08559" w14:textId="77777777" w:rsidR="00B540F9" w:rsidRDefault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B540F9" w14:paraId="0C2AB74D" w14:textId="77777777" w:rsidTr="00223A6B">
        <w:trPr>
          <w:trHeight w:val="342"/>
        </w:trPr>
        <w:tc>
          <w:tcPr>
            <w:tcW w:w="5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C027F3" w14:textId="01D306D3" w:rsidR="00B540F9" w:rsidRDefault="00B540F9" w:rsidP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8C9636D" w14:textId="77777777" w:rsidR="00B540F9" w:rsidRDefault="00B540F9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0F837BE" w14:textId="77777777" w:rsidR="00B540F9" w:rsidRDefault="00B540F9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7F6AA3" w14:textId="77777777" w:rsidR="00B540F9" w:rsidRDefault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B540F9" w14:paraId="54FAE6C7" w14:textId="77777777" w:rsidTr="00EB7EB0">
        <w:trPr>
          <w:trHeight w:val="342"/>
        </w:trPr>
        <w:tc>
          <w:tcPr>
            <w:tcW w:w="5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F9D8D1" w14:textId="6189D5DE" w:rsidR="00B540F9" w:rsidRPr="00B540F9" w:rsidRDefault="00B540F9" w:rsidP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FFB2AE" w14:textId="77777777" w:rsidR="00B540F9" w:rsidRDefault="00B540F9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B766E24" w14:textId="77777777" w:rsidR="00B540F9" w:rsidRDefault="00B540F9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96C2602" w14:textId="77777777" w:rsidR="00B540F9" w:rsidRDefault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B540F9" w14:paraId="523AB273" w14:textId="77777777" w:rsidTr="00B85E69">
        <w:trPr>
          <w:trHeight w:val="342"/>
        </w:trPr>
        <w:tc>
          <w:tcPr>
            <w:tcW w:w="5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ECEA520" w14:textId="6AE027C2" w:rsidR="00B540F9" w:rsidRDefault="00B540F9" w:rsidP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Estimated dermal exposure at WES &gt;10%: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A1842F" w14:textId="77777777" w:rsidR="00B540F9" w:rsidRDefault="00B540F9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758C475" w14:textId="77777777" w:rsidR="00B540F9" w:rsidRDefault="00B540F9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759DFD" w14:textId="77777777" w:rsidR="00B540F9" w:rsidRDefault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B540F9" w14:paraId="73742125" w14:textId="77777777" w:rsidTr="00DD104C">
        <w:trPr>
          <w:trHeight w:val="342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DCC0D1" w14:textId="77777777" w:rsidR="00B540F9" w:rsidRDefault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FDDE001" w14:textId="77777777" w:rsidR="00B540F9" w:rsidRDefault="00B540F9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3990C9" w14:textId="3BB74827" w:rsidR="00B540F9" w:rsidRPr="00B540F9" w:rsidRDefault="00B540F9" w:rsidP="00B540F9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a skin notation is warranted</w:t>
            </w:r>
          </w:p>
        </w:tc>
      </w:tr>
    </w:tbl>
    <w:bookmarkEnd w:id="3"/>
    <w:p w14:paraId="456B111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16A996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77B631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3954AFD" w14:textId="3875174A" w:rsidR="00EB3D1B" w:rsidRDefault="00FA4DC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18B3DC3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36B109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5CD30A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BD0C6E6" w14:textId="4DFC5A86" w:rsidR="001B79E5" w:rsidRDefault="00FA4DC0" w:rsidP="001B79E5">
                <w:pPr>
                  <w:pStyle w:val="Tablefont"/>
                </w:pPr>
                <w:r w:rsidRPr="00FA4DC0">
                  <w:t>220.04</w:t>
                </w:r>
              </w:p>
            </w:tc>
          </w:sdtContent>
        </w:sdt>
      </w:tr>
      <w:tr w:rsidR="00A31D99" w:rsidRPr="004C23F4" w14:paraId="7FBB91D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67483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E495E83" w14:textId="38E1725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A4DC0">
                  <w:t>9.04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FA4DC0">
                  <w:t>0.11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2A3E85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9D6E58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307923" w14:textId="0FF0F980" w:rsidR="00687890" w:rsidRPr="004C23F4" w:rsidRDefault="000F2AFF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2ADD9A79" w14:textId="77777777" w:rsidTr="00EA6243">
        <w:trPr>
          <w:cantSplit/>
        </w:trPr>
        <w:tc>
          <w:tcPr>
            <w:tcW w:w="4077" w:type="dxa"/>
            <w:vAlign w:val="center"/>
          </w:tcPr>
          <w:p w14:paraId="1514328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2E373C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EF985B7" w14:textId="77777777" w:rsidTr="00EA6243">
        <w:trPr>
          <w:cantSplit/>
        </w:trPr>
        <w:tc>
          <w:tcPr>
            <w:tcW w:w="4077" w:type="dxa"/>
            <w:vAlign w:val="center"/>
          </w:tcPr>
          <w:p w14:paraId="127BCD2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279352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B36F7BC" w14:textId="77777777" w:rsidTr="00EA6243">
        <w:trPr>
          <w:cantSplit/>
        </w:trPr>
        <w:tc>
          <w:tcPr>
            <w:tcW w:w="4077" w:type="dxa"/>
            <w:vAlign w:val="center"/>
          </w:tcPr>
          <w:p w14:paraId="758BA82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9BFB95E" w14:textId="77777777" w:rsidR="00E06F40" w:rsidRPr="00A006A0" w:rsidRDefault="00886C4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6CA9DB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ADF296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6108A8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3A0621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4644B9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E4323BD" w14:textId="61F9561D" w:rsidR="007F1005" w:rsidRPr="004C23F4" w:rsidRDefault="00327BDF" w:rsidP="00EB3D1B">
                <w:pPr>
                  <w:pStyle w:val="Tablefont"/>
                  <w:keepLines/>
                </w:pPr>
                <w:r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0BED7AA" w14:textId="5F444C25" w:rsidR="007F1005" w:rsidRPr="004C23F4" w:rsidRDefault="00327BDF" w:rsidP="00EB3D1B">
            <w:pPr>
              <w:pStyle w:val="Tablefont"/>
              <w:keepLines/>
            </w:pPr>
            <w:r>
              <w:t>10 mg/m3 (1.1 ppm)</w:t>
            </w:r>
          </w:p>
        </w:tc>
      </w:tr>
    </w:tbl>
    <w:bookmarkEnd w:id="4"/>
    <w:p w14:paraId="16B551A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50A2D10" w14:textId="1F4939C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739E726" w14:textId="7CE197FA" w:rsidR="00FA4DC0" w:rsidRDefault="00FA4DC0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(1998) </w:t>
      </w:r>
      <w:r w:rsidRPr="00FA4DC0">
        <w:t>24</w:t>
      </w:r>
      <w:r w:rsidRPr="00FA4DC0">
        <w:rPr>
          <w:rFonts w:ascii="Cambria Math" w:hAnsi="Cambria Math" w:cs="Cambria Math"/>
        </w:rPr>
        <w:t>‐</w:t>
      </w:r>
      <w:r w:rsidRPr="00FA4DC0">
        <w:t>Dichlorophenoxyacetic acid (2</w:t>
      </w:r>
      <w:r w:rsidR="00051784">
        <w:t>,</w:t>
      </w:r>
      <w:r w:rsidRPr="00FA4DC0">
        <w:t>4</w:t>
      </w:r>
      <w:r w:rsidRPr="00FA4DC0">
        <w:rPr>
          <w:rFonts w:ascii="Cambria Math" w:hAnsi="Cambria Math" w:cs="Cambria Math"/>
        </w:rPr>
        <w:t>‐</w:t>
      </w:r>
      <w:r w:rsidRPr="00FA4DC0">
        <w:t>D) including Salts and Esters</w:t>
      </w:r>
      <w:r>
        <w:t>– MAK value documentation.</w:t>
      </w:r>
    </w:p>
    <w:p w14:paraId="46880299" w14:textId="4CDD8F98" w:rsidR="00FA4DC0" w:rsidRDefault="00FA4DC0" w:rsidP="00084859">
      <w:r w:rsidRPr="002022B6">
        <w:t>International Agency for Research on Cancer</w:t>
      </w:r>
      <w:r>
        <w:t xml:space="preserve"> (IARC) (</w:t>
      </w:r>
      <w:r w:rsidR="001C3F41">
        <w:t>2018</w:t>
      </w:r>
      <w:r>
        <w:t xml:space="preserve">) </w:t>
      </w:r>
      <w:r w:rsidR="001C3F41" w:rsidRPr="001C3F41">
        <w:t xml:space="preserve">2,4-D (2,4-dichlorophenoxyacetic acid) (See also </w:t>
      </w:r>
      <w:proofErr w:type="spellStart"/>
      <w:r w:rsidR="001C3F41" w:rsidRPr="001C3F41">
        <w:t>Chlorophenoxy</w:t>
      </w:r>
      <w:proofErr w:type="spellEnd"/>
      <w:r w:rsidR="001C3F41" w:rsidRPr="001C3F41">
        <w:t xml:space="preserve"> herbicides)</w:t>
      </w:r>
      <w:r>
        <w:t>. IARC Monographs on the evaluation of the carcinogenic risk to humans.</w:t>
      </w:r>
    </w:p>
    <w:p w14:paraId="034466C3" w14:textId="567641FB" w:rsidR="00911113" w:rsidRDefault="00911113" w:rsidP="00911113">
      <w:r w:rsidRPr="00385603">
        <w:t>U.S. Environmental Protection Agency (US EPA). (1987). Chemical Assessment Summary – 2,4-Dichlorophenoxyacetic Acid (2,4-D); CASRN 94-75-7. Integrated Risk Information System (IRIS).</w:t>
      </w:r>
    </w:p>
    <w:p w14:paraId="06EF8440" w14:textId="0404B301" w:rsidR="00A540D7" w:rsidRDefault="00A540D7" w:rsidP="00A540D7">
      <w:r>
        <w:t xml:space="preserve">US National Institute for Occupational Safety and Health (NIOSH) (1994) Immediately dangerous to life or health concentrations – 2,4-D. </w:t>
      </w:r>
    </w:p>
    <w:p w14:paraId="6ADA8D76" w14:textId="77777777" w:rsidR="00911113" w:rsidRPr="00351FE0" w:rsidRDefault="00911113" w:rsidP="00084859"/>
    <w:sectPr w:rsidR="00911113" w:rsidRPr="00351FE0" w:rsidSect="009F5126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4EF6A" w14:textId="77777777" w:rsidR="00B379FA" w:rsidRDefault="00B379FA" w:rsidP="00F43AD5">
      <w:pPr>
        <w:spacing w:after="0" w:line="240" w:lineRule="auto"/>
      </w:pPr>
      <w:r>
        <w:separator/>
      </w:r>
    </w:p>
  </w:endnote>
  <w:endnote w:type="continuationSeparator" w:id="0">
    <w:p w14:paraId="4416C1CE" w14:textId="77777777" w:rsidR="00B379FA" w:rsidRDefault="00B379F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F836600" w14:textId="47A71D08" w:rsidR="005C0E07" w:rsidRDefault="005C0E07" w:rsidP="0034744C">
        <w:pPr>
          <w:pStyle w:val="Footer"/>
          <w:rPr>
            <w:sz w:val="18"/>
            <w:szCs w:val="18"/>
          </w:rPr>
        </w:pPr>
        <w:r w:rsidRPr="00FA4DC0">
          <w:rPr>
            <w:b/>
            <w:sz w:val="18"/>
            <w:szCs w:val="18"/>
          </w:rPr>
          <w:t>2,4-D</w:t>
        </w:r>
        <w:r>
          <w:rPr>
            <w:b/>
            <w:sz w:val="18"/>
            <w:szCs w:val="18"/>
          </w:rPr>
          <w:t xml:space="preserve"> (</w:t>
        </w:r>
        <w:r w:rsidR="0075052A" w:rsidRPr="0075052A">
          <w:rPr>
            <w:b/>
            <w:sz w:val="18"/>
            <w:szCs w:val="18"/>
          </w:rPr>
          <w:t>94-75-7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4EECFD1E" w14:textId="222B60F7" w:rsidR="005C0E07" w:rsidRPr="00F43AD5" w:rsidRDefault="005C0E07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76627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36B4A" w14:textId="77777777" w:rsidR="00B379FA" w:rsidRDefault="00B379FA" w:rsidP="00F43AD5">
      <w:pPr>
        <w:spacing w:after="0" w:line="240" w:lineRule="auto"/>
      </w:pPr>
      <w:r>
        <w:separator/>
      </w:r>
    </w:p>
  </w:footnote>
  <w:footnote w:type="continuationSeparator" w:id="0">
    <w:p w14:paraId="5A06AB41" w14:textId="77777777" w:rsidR="00B379FA" w:rsidRDefault="00B379F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A7C47" w14:textId="378556FC" w:rsidR="00C25DE0" w:rsidRDefault="00C25DE0" w:rsidP="00C25DE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AEB9906" wp14:editId="60107141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5EAECD" w14:textId="77777777" w:rsidR="00C25DE0" w:rsidRDefault="00C25DE0" w:rsidP="00C25DE0">
    <w:pPr>
      <w:pStyle w:val="Header"/>
      <w:jc w:val="right"/>
    </w:pPr>
  </w:p>
  <w:p w14:paraId="03C5B5E3" w14:textId="2CFFFA91" w:rsidR="005C0E07" w:rsidRPr="00C25DE0" w:rsidRDefault="005C0E07" w:rsidP="00C25D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6E407" w14:textId="19D060C2" w:rsidR="00C25DE0" w:rsidRDefault="00C25DE0" w:rsidP="00C25DE0">
    <w:pPr>
      <w:pStyle w:val="Header"/>
      <w:jc w:val="right"/>
    </w:pPr>
    <w:r>
      <w:rPr>
        <w:noProof/>
        <w:lang w:eastAsia="en-AU"/>
      </w:rPr>
      <w:drawing>
        <wp:inline distT="0" distB="0" distL="0" distR="0" wp14:anchorId="7CD66C55" wp14:editId="4E043779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66B0CB" w14:textId="77777777" w:rsidR="00C25DE0" w:rsidRDefault="00C25DE0" w:rsidP="00C25DE0">
    <w:pPr>
      <w:pStyle w:val="Header"/>
      <w:jc w:val="right"/>
    </w:pPr>
  </w:p>
  <w:p w14:paraId="7F094749" w14:textId="77777777" w:rsidR="005C0E07" w:rsidRDefault="005C0E07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45023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83E73"/>
    <w:multiLevelType w:val="hybridMultilevel"/>
    <w:tmpl w:val="EE76B9D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55780"/>
    <w:multiLevelType w:val="hybridMultilevel"/>
    <w:tmpl w:val="26A6F1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837F93"/>
    <w:multiLevelType w:val="hybridMultilevel"/>
    <w:tmpl w:val="DDA0C04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D77F5F"/>
    <w:multiLevelType w:val="hybridMultilevel"/>
    <w:tmpl w:val="56E27372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430716E6"/>
    <w:multiLevelType w:val="hybridMultilevel"/>
    <w:tmpl w:val="723CEC52"/>
    <w:lvl w:ilvl="0" w:tplc="10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 w15:restartNumberingAfterBreak="0">
    <w:nsid w:val="564B3D07"/>
    <w:multiLevelType w:val="hybridMultilevel"/>
    <w:tmpl w:val="05529CF8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5FA8050E"/>
    <w:multiLevelType w:val="hybridMultilevel"/>
    <w:tmpl w:val="2BCC82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976AD"/>
    <w:multiLevelType w:val="hybridMultilevel"/>
    <w:tmpl w:val="4AF03D4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7822980">
    <w:abstractNumId w:val="8"/>
  </w:num>
  <w:num w:numId="2" w16cid:durableId="541408248">
    <w:abstractNumId w:val="5"/>
  </w:num>
  <w:num w:numId="3" w16cid:durableId="2116366838">
    <w:abstractNumId w:val="7"/>
  </w:num>
  <w:num w:numId="4" w16cid:durableId="507066007">
    <w:abstractNumId w:val="1"/>
  </w:num>
  <w:num w:numId="5" w16cid:durableId="1962148619">
    <w:abstractNumId w:val="3"/>
  </w:num>
  <w:num w:numId="6" w16cid:durableId="1846169448">
    <w:abstractNumId w:val="0"/>
  </w:num>
  <w:num w:numId="7" w16cid:durableId="749429687">
    <w:abstractNumId w:val="2"/>
  </w:num>
  <w:num w:numId="8" w16cid:durableId="455828685">
    <w:abstractNumId w:val="4"/>
  </w:num>
  <w:num w:numId="9" w16cid:durableId="8654132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963"/>
    <w:rsid w:val="00007B80"/>
    <w:rsid w:val="00013A22"/>
    <w:rsid w:val="00014C3F"/>
    <w:rsid w:val="00017C82"/>
    <w:rsid w:val="00032B88"/>
    <w:rsid w:val="00046DF5"/>
    <w:rsid w:val="00047CA2"/>
    <w:rsid w:val="00051784"/>
    <w:rsid w:val="00052060"/>
    <w:rsid w:val="0005574A"/>
    <w:rsid w:val="00055FE1"/>
    <w:rsid w:val="00056EC2"/>
    <w:rsid w:val="00060B48"/>
    <w:rsid w:val="00067F32"/>
    <w:rsid w:val="00071807"/>
    <w:rsid w:val="00075513"/>
    <w:rsid w:val="000803E1"/>
    <w:rsid w:val="00083EDE"/>
    <w:rsid w:val="00084513"/>
    <w:rsid w:val="00084859"/>
    <w:rsid w:val="00092D94"/>
    <w:rsid w:val="00092E20"/>
    <w:rsid w:val="000A1FF8"/>
    <w:rsid w:val="000B0868"/>
    <w:rsid w:val="000B3E12"/>
    <w:rsid w:val="000B3E78"/>
    <w:rsid w:val="000B7B48"/>
    <w:rsid w:val="000C096D"/>
    <w:rsid w:val="000C139A"/>
    <w:rsid w:val="000C2053"/>
    <w:rsid w:val="000C209D"/>
    <w:rsid w:val="000C248C"/>
    <w:rsid w:val="000C2C51"/>
    <w:rsid w:val="000C7289"/>
    <w:rsid w:val="000D291C"/>
    <w:rsid w:val="000E5A54"/>
    <w:rsid w:val="000E63D3"/>
    <w:rsid w:val="000E67CF"/>
    <w:rsid w:val="000F2AFF"/>
    <w:rsid w:val="0010461E"/>
    <w:rsid w:val="00106FAA"/>
    <w:rsid w:val="00107CC3"/>
    <w:rsid w:val="00113443"/>
    <w:rsid w:val="001269A7"/>
    <w:rsid w:val="00131092"/>
    <w:rsid w:val="00134CCF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3B0C"/>
    <w:rsid w:val="001A009E"/>
    <w:rsid w:val="001A1287"/>
    <w:rsid w:val="001A3859"/>
    <w:rsid w:val="001A3C9D"/>
    <w:rsid w:val="001A43F8"/>
    <w:rsid w:val="001B79E5"/>
    <w:rsid w:val="001C3A95"/>
    <w:rsid w:val="001C3F41"/>
    <w:rsid w:val="001D56F0"/>
    <w:rsid w:val="001D663B"/>
    <w:rsid w:val="001D7B41"/>
    <w:rsid w:val="001E342D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0499"/>
    <w:rsid w:val="00213640"/>
    <w:rsid w:val="00221547"/>
    <w:rsid w:val="002216FC"/>
    <w:rsid w:val="00222533"/>
    <w:rsid w:val="00222F30"/>
    <w:rsid w:val="00224EE2"/>
    <w:rsid w:val="002278DA"/>
    <w:rsid w:val="00227EC7"/>
    <w:rsid w:val="00244AD1"/>
    <w:rsid w:val="002463BC"/>
    <w:rsid w:val="002465CE"/>
    <w:rsid w:val="0025547F"/>
    <w:rsid w:val="0025734A"/>
    <w:rsid w:val="00263255"/>
    <w:rsid w:val="00264AFA"/>
    <w:rsid w:val="00267F1A"/>
    <w:rsid w:val="00276494"/>
    <w:rsid w:val="00277B0C"/>
    <w:rsid w:val="00281D03"/>
    <w:rsid w:val="00285659"/>
    <w:rsid w:val="002B1A2C"/>
    <w:rsid w:val="002C34F2"/>
    <w:rsid w:val="002C58FF"/>
    <w:rsid w:val="002C7AFE"/>
    <w:rsid w:val="002D05D2"/>
    <w:rsid w:val="002D08AC"/>
    <w:rsid w:val="002E0D61"/>
    <w:rsid w:val="002E4C7B"/>
    <w:rsid w:val="0030740C"/>
    <w:rsid w:val="003140CF"/>
    <w:rsid w:val="00315833"/>
    <w:rsid w:val="003215EE"/>
    <w:rsid w:val="003224BF"/>
    <w:rsid w:val="003241A8"/>
    <w:rsid w:val="003253F0"/>
    <w:rsid w:val="00327BDF"/>
    <w:rsid w:val="003307A5"/>
    <w:rsid w:val="003337DA"/>
    <w:rsid w:val="00334EFB"/>
    <w:rsid w:val="00335CDE"/>
    <w:rsid w:val="003365A5"/>
    <w:rsid w:val="00347192"/>
    <w:rsid w:val="0034744C"/>
    <w:rsid w:val="00351FE0"/>
    <w:rsid w:val="0035243C"/>
    <w:rsid w:val="00352615"/>
    <w:rsid w:val="00353532"/>
    <w:rsid w:val="0035412B"/>
    <w:rsid w:val="003567A8"/>
    <w:rsid w:val="00362895"/>
    <w:rsid w:val="00370DBF"/>
    <w:rsid w:val="003730A8"/>
    <w:rsid w:val="0037371F"/>
    <w:rsid w:val="00385603"/>
    <w:rsid w:val="00386093"/>
    <w:rsid w:val="00390111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0EC4"/>
    <w:rsid w:val="003E480F"/>
    <w:rsid w:val="003E51FB"/>
    <w:rsid w:val="003E6B39"/>
    <w:rsid w:val="003F07E1"/>
    <w:rsid w:val="003F0978"/>
    <w:rsid w:val="004030BC"/>
    <w:rsid w:val="00403F7D"/>
    <w:rsid w:val="00406785"/>
    <w:rsid w:val="004079B4"/>
    <w:rsid w:val="00417A56"/>
    <w:rsid w:val="00420957"/>
    <w:rsid w:val="00422A10"/>
    <w:rsid w:val="00422E5C"/>
    <w:rsid w:val="00430179"/>
    <w:rsid w:val="00433A6B"/>
    <w:rsid w:val="00437D9C"/>
    <w:rsid w:val="004402C2"/>
    <w:rsid w:val="004414B5"/>
    <w:rsid w:val="00444482"/>
    <w:rsid w:val="00444B42"/>
    <w:rsid w:val="00445E44"/>
    <w:rsid w:val="004509E2"/>
    <w:rsid w:val="004515EE"/>
    <w:rsid w:val="004529F0"/>
    <w:rsid w:val="00460A03"/>
    <w:rsid w:val="00467284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0BC1"/>
    <w:rsid w:val="004A5088"/>
    <w:rsid w:val="004B61AA"/>
    <w:rsid w:val="004C1E3F"/>
    <w:rsid w:val="004C23F4"/>
    <w:rsid w:val="004C3475"/>
    <w:rsid w:val="004C58B6"/>
    <w:rsid w:val="004D16A3"/>
    <w:rsid w:val="004D4AA1"/>
    <w:rsid w:val="004D4D31"/>
    <w:rsid w:val="004D68C5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7933"/>
    <w:rsid w:val="00576627"/>
    <w:rsid w:val="00577196"/>
    <w:rsid w:val="00577950"/>
    <w:rsid w:val="00581055"/>
    <w:rsid w:val="00583A8B"/>
    <w:rsid w:val="005863F2"/>
    <w:rsid w:val="00591E38"/>
    <w:rsid w:val="005A19C5"/>
    <w:rsid w:val="005A3034"/>
    <w:rsid w:val="005A462D"/>
    <w:rsid w:val="005A7C9A"/>
    <w:rsid w:val="005B253B"/>
    <w:rsid w:val="005B771D"/>
    <w:rsid w:val="005C0E07"/>
    <w:rsid w:val="005C5D16"/>
    <w:rsid w:val="005D3193"/>
    <w:rsid w:val="005D4A6E"/>
    <w:rsid w:val="005E6979"/>
    <w:rsid w:val="005E75CB"/>
    <w:rsid w:val="005F3434"/>
    <w:rsid w:val="005F3CAE"/>
    <w:rsid w:val="005F67D8"/>
    <w:rsid w:val="006013C1"/>
    <w:rsid w:val="0060669E"/>
    <w:rsid w:val="00610F2E"/>
    <w:rsid w:val="00611399"/>
    <w:rsid w:val="00615350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5213"/>
    <w:rsid w:val="00667B1C"/>
    <w:rsid w:val="0067305D"/>
    <w:rsid w:val="00677D9B"/>
    <w:rsid w:val="00681302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6F3B"/>
    <w:rsid w:val="006D79EA"/>
    <w:rsid w:val="006E5D05"/>
    <w:rsid w:val="006F70F5"/>
    <w:rsid w:val="00701053"/>
    <w:rsid w:val="00701507"/>
    <w:rsid w:val="00704C33"/>
    <w:rsid w:val="00714021"/>
    <w:rsid w:val="00716A0F"/>
    <w:rsid w:val="00717D45"/>
    <w:rsid w:val="007208F7"/>
    <w:rsid w:val="007218AF"/>
    <w:rsid w:val="00732844"/>
    <w:rsid w:val="007365D1"/>
    <w:rsid w:val="00740E0E"/>
    <w:rsid w:val="00750212"/>
    <w:rsid w:val="0075052A"/>
    <w:rsid w:val="00753345"/>
    <w:rsid w:val="00753A88"/>
    <w:rsid w:val="00754779"/>
    <w:rsid w:val="0075716D"/>
    <w:rsid w:val="00765030"/>
    <w:rsid w:val="00765F14"/>
    <w:rsid w:val="00770E31"/>
    <w:rsid w:val="007770F1"/>
    <w:rsid w:val="007838A7"/>
    <w:rsid w:val="00783FB1"/>
    <w:rsid w:val="00785CDD"/>
    <w:rsid w:val="00791847"/>
    <w:rsid w:val="007925F0"/>
    <w:rsid w:val="007939B3"/>
    <w:rsid w:val="0079509C"/>
    <w:rsid w:val="00796708"/>
    <w:rsid w:val="007B1B42"/>
    <w:rsid w:val="007B1DC2"/>
    <w:rsid w:val="007C2BE0"/>
    <w:rsid w:val="007C30EB"/>
    <w:rsid w:val="007E063C"/>
    <w:rsid w:val="007E2A4B"/>
    <w:rsid w:val="007E307D"/>
    <w:rsid w:val="007E6A4E"/>
    <w:rsid w:val="007E6C94"/>
    <w:rsid w:val="007F1005"/>
    <w:rsid w:val="007F25E0"/>
    <w:rsid w:val="007F289B"/>
    <w:rsid w:val="007F3ED7"/>
    <w:rsid w:val="007F5328"/>
    <w:rsid w:val="00804862"/>
    <w:rsid w:val="00804F5A"/>
    <w:rsid w:val="00810C6D"/>
    <w:rsid w:val="00812887"/>
    <w:rsid w:val="0081499C"/>
    <w:rsid w:val="00814CE2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6C4B"/>
    <w:rsid w:val="0088798F"/>
    <w:rsid w:val="00887E4B"/>
    <w:rsid w:val="008915C8"/>
    <w:rsid w:val="008969B0"/>
    <w:rsid w:val="008A36CF"/>
    <w:rsid w:val="008A3BC4"/>
    <w:rsid w:val="008B403C"/>
    <w:rsid w:val="008B7983"/>
    <w:rsid w:val="008C2511"/>
    <w:rsid w:val="008C6A7A"/>
    <w:rsid w:val="008D026D"/>
    <w:rsid w:val="008D23AB"/>
    <w:rsid w:val="008D3ED8"/>
    <w:rsid w:val="008D4B8B"/>
    <w:rsid w:val="008D5A78"/>
    <w:rsid w:val="008E7B64"/>
    <w:rsid w:val="008F5DCD"/>
    <w:rsid w:val="008F7855"/>
    <w:rsid w:val="00900951"/>
    <w:rsid w:val="00911113"/>
    <w:rsid w:val="009118A6"/>
    <w:rsid w:val="00916909"/>
    <w:rsid w:val="00916EC0"/>
    <w:rsid w:val="00920467"/>
    <w:rsid w:val="00921DE7"/>
    <w:rsid w:val="009240E4"/>
    <w:rsid w:val="009250E1"/>
    <w:rsid w:val="0093041A"/>
    <w:rsid w:val="00930714"/>
    <w:rsid w:val="00931B03"/>
    <w:rsid w:val="009323B9"/>
    <w:rsid w:val="00932DCE"/>
    <w:rsid w:val="0093327E"/>
    <w:rsid w:val="00934028"/>
    <w:rsid w:val="009345D3"/>
    <w:rsid w:val="0093760E"/>
    <w:rsid w:val="00946044"/>
    <w:rsid w:val="0094660B"/>
    <w:rsid w:val="00946A33"/>
    <w:rsid w:val="0095260E"/>
    <w:rsid w:val="0095291F"/>
    <w:rsid w:val="00954D31"/>
    <w:rsid w:val="009578DD"/>
    <w:rsid w:val="00961124"/>
    <w:rsid w:val="009621B6"/>
    <w:rsid w:val="009727C0"/>
    <w:rsid w:val="00974327"/>
    <w:rsid w:val="00974F2D"/>
    <w:rsid w:val="00976DB7"/>
    <w:rsid w:val="00977524"/>
    <w:rsid w:val="00977E88"/>
    <w:rsid w:val="00984920"/>
    <w:rsid w:val="009919AF"/>
    <w:rsid w:val="0099303A"/>
    <w:rsid w:val="009943A9"/>
    <w:rsid w:val="009971C2"/>
    <w:rsid w:val="009A1254"/>
    <w:rsid w:val="009B2FF2"/>
    <w:rsid w:val="009B380C"/>
    <w:rsid w:val="009B3DB9"/>
    <w:rsid w:val="009B4843"/>
    <w:rsid w:val="009B5CE0"/>
    <w:rsid w:val="009B6543"/>
    <w:rsid w:val="009C1483"/>
    <w:rsid w:val="009C199D"/>
    <w:rsid w:val="009C278F"/>
    <w:rsid w:val="009C2B94"/>
    <w:rsid w:val="009C5874"/>
    <w:rsid w:val="009D3B5A"/>
    <w:rsid w:val="009E0C05"/>
    <w:rsid w:val="009E0D1C"/>
    <w:rsid w:val="009E1216"/>
    <w:rsid w:val="009E2214"/>
    <w:rsid w:val="009E355A"/>
    <w:rsid w:val="009E63E2"/>
    <w:rsid w:val="009E6D85"/>
    <w:rsid w:val="009F04D2"/>
    <w:rsid w:val="009F05CF"/>
    <w:rsid w:val="009F0F3A"/>
    <w:rsid w:val="009F5126"/>
    <w:rsid w:val="009F5D82"/>
    <w:rsid w:val="00A01D0C"/>
    <w:rsid w:val="00A0643F"/>
    <w:rsid w:val="00A067EE"/>
    <w:rsid w:val="00A10FCE"/>
    <w:rsid w:val="00A13D02"/>
    <w:rsid w:val="00A16D91"/>
    <w:rsid w:val="00A174CC"/>
    <w:rsid w:val="00A2073D"/>
    <w:rsid w:val="00A20751"/>
    <w:rsid w:val="00A27E2D"/>
    <w:rsid w:val="00A30472"/>
    <w:rsid w:val="00A31D99"/>
    <w:rsid w:val="00A357BA"/>
    <w:rsid w:val="00A35ADC"/>
    <w:rsid w:val="00A402A3"/>
    <w:rsid w:val="00A53681"/>
    <w:rsid w:val="00A540D7"/>
    <w:rsid w:val="00A633D4"/>
    <w:rsid w:val="00A6461A"/>
    <w:rsid w:val="00A84504"/>
    <w:rsid w:val="00A8672F"/>
    <w:rsid w:val="00A93057"/>
    <w:rsid w:val="00A968B0"/>
    <w:rsid w:val="00AA1652"/>
    <w:rsid w:val="00AB2672"/>
    <w:rsid w:val="00AB2817"/>
    <w:rsid w:val="00AB43C4"/>
    <w:rsid w:val="00AC32E7"/>
    <w:rsid w:val="00AC3A9F"/>
    <w:rsid w:val="00AC6D2F"/>
    <w:rsid w:val="00AD103A"/>
    <w:rsid w:val="00AD6DC1"/>
    <w:rsid w:val="00AE0535"/>
    <w:rsid w:val="00AE2745"/>
    <w:rsid w:val="00AE2F64"/>
    <w:rsid w:val="00AF42CB"/>
    <w:rsid w:val="00AF4386"/>
    <w:rsid w:val="00AF483F"/>
    <w:rsid w:val="00AF5E07"/>
    <w:rsid w:val="00AF5F06"/>
    <w:rsid w:val="00B00A25"/>
    <w:rsid w:val="00B1422A"/>
    <w:rsid w:val="00B1765C"/>
    <w:rsid w:val="00B213C4"/>
    <w:rsid w:val="00B379FA"/>
    <w:rsid w:val="00B40C60"/>
    <w:rsid w:val="00B479A9"/>
    <w:rsid w:val="00B52EDF"/>
    <w:rsid w:val="00B540F9"/>
    <w:rsid w:val="00B600C8"/>
    <w:rsid w:val="00B60ECD"/>
    <w:rsid w:val="00B6110F"/>
    <w:rsid w:val="00B65069"/>
    <w:rsid w:val="00B71188"/>
    <w:rsid w:val="00B76A41"/>
    <w:rsid w:val="00B84209"/>
    <w:rsid w:val="00B87D4C"/>
    <w:rsid w:val="00B93646"/>
    <w:rsid w:val="00BA03AA"/>
    <w:rsid w:val="00BA0B38"/>
    <w:rsid w:val="00BA1DBB"/>
    <w:rsid w:val="00BA3B46"/>
    <w:rsid w:val="00BA4510"/>
    <w:rsid w:val="00BA529A"/>
    <w:rsid w:val="00BB037A"/>
    <w:rsid w:val="00BB612A"/>
    <w:rsid w:val="00BD499F"/>
    <w:rsid w:val="00BD5024"/>
    <w:rsid w:val="00BD56DE"/>
    <w:rsid w:val="00BE0A60"/>
    <w:rsid w:val="00BF2406"/>
    <w:rsid w:val="00BF7AC0"/>
    <w:rsid w:val="00C00F52"/>
    <w:rsid w:val="00C06E43"/>
    <w:rsid w:val="00C146D5"/>
    <w:rsid w:val="00C16315"/>
    <w:rsid w:val="00C166AA"/>
    <w:rsid w:val="00C211AB"/>
    <w:rsid w:val="00C2302C"/>
    <w:rsid w:val="00C25DE0"/>
    <w:rsid w:val="00C3091E"/>
    <w:rsid w:val="00C403CA"/>
    <w:rsid w:val="00C40FF1"/>
    <w:rsid w:val="00C419E2"/>
    <w:rsid w:val="00C4390E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7599"/>
    <w:rsid w:val="00C850A0"/>
    <w:rsid w:val="00C85A86"/>
    <w:rsid w:val="00C91C45"/>
    <w:rsid w:val="00C978F0"/>
    <w:rsid w:val="00CA58FE"/>
    <w:rsid w:val="00CB1CB1"/>
    <w:rsid w:val="00CB334B"/>
    <w:rsid w:val="00CB6BC1"/>
    <w:rsid w:val="00CB6CB8"/>
    <w:rsid w:val="00CC1A68"/>
    <w:rsid w:val="00CC2123"/>
    <w:rsid w:val="00CC24EA"/>
    <w:rsid w:val="00CD2BFD"/>
    <w:rsid w:val="00CE348E"/>
    <w:rsid w:val="00CE5AD6"/>
    <w:rsid w:val="00CE617F"/>
    <w:rsid w:val="00CE78EF"/>
    <w:rsid w:val="00CF013A"/>
    <w:rsid w:val="00CF48FF"/>
    <w:rsid w:val="00D048F7"/>
    <w:rsid w:val="00D0517E"/>
    <w:rsid w:val="00D140FC"/>
    <w:rsid w:val="00D16402"/>
    <w:rsid w:val="00D214C8"/>
    <w:rsid w:val="00D21D8C"/>
    <w:rsid w:val="00D2301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768D3"/>
    <w:rsid w:val="00D87570"/>
    <w:rsid w:val="00D90C76"/>
    <w:rsid w:val="00D91CB9"/>
    <w:rsid w:val="00D931E7"/>
    <w:rsid w:val="00D97989"/>
    <w:rsid w:val="00D97D8D"/>
    <w:rsid w:val="00DA352E"/>
    <w:rsid w:val="00DB7FA2"/>
    <w:rsid w:val="00DC1748"/>
    <w:rsid w:val="00DC7694"/>
    <w:rsid w:val="00DD1BF6"/>
    <w:rsid w:val="00DD2F9B"/>
    <w:rsid w:val="00DD3479"/>
    <w:rsid w:val="00DD59F9"/>
    <w:rsid w:val="00DE2513"/>
    <w:rsid w:val="00DE26E8"/>
    <w:rsid w:val="00DE4714"/>
    <w:rsid w:val="00DE63A5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4C6D"/>
    <w:rsid w:val="00ED102E"/>
    <w:rsid w:val="00ED1D89"/>
    <w:rsid w:val="00ED3861"/>
    <w:rsid w:val="00ED66BC"/>
    <w:rsid w:val="00EE6B9E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5F93"/>
    <w:rsid w:val="00F26770"/>
    <w:rsid w:val="00F413AD"/>
    <w:rsid w:val="00F43AD5"/>
    <w:rsid w:val="00F4402E"/>
    <w:rsid w:val="00F56DD0"/>
    <w:rsid w:val="00F573A4"/>
    <w:rsid w:val="00F6491C"/>
    <w:rsid w:val="00F67BBB"/>
    <w:rsid w:val="00F7351D"/>
    <w:rsid w:val="00F87D92"/>
    <w:rsid w:val="00F90AA7"/>
    <w:rsid w:val="00F92498"/>
    <w:rsid w:val="00F9496B"/>
    <w:rsid w:val="00F970C9"/>
    <w:rsid w:val="00FA06A8"/>
    <w:rsid w:val="00FA354D"/>
    <w:rsid w:val="00FA3DF5"/>
    <w:rsid w:val="00FA4DC0"/>
    <w:rsid w:val="00FA741F"/>
    <w:rsid w:val="00FB0DA6"/>
    <w:rsid w:val="00FB4E07"/>
    <w:rsid w:val="00FB755A"/>
    <w:rsid w:val="00FC457C"/>
    <w:rsid w:val="00FC60A2"/>
    <w:rsid w:val="00FD1871"/>
    <w:rsid w:val="00FD3110"/>
    <w:rsid w:val="00FE343D"/>
    <w:rsid w:val="00FF5C3D"/>
    <w:rsid w:val="52E9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0C72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28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289"/>
    <w:rPr>
      <w:szCs w:val="20"/>
    </w:rPr>
  </w:style>
  <w:style w:type="paragraph" w:styleId="ListBullet">
    <w:name w:val="List Bullet"/>
    <w:basedOn w:val="Normal"/>
    <w:uiPriority w:val="99"/>
    <w:unhideWhenUsed/>
    <w:rsid w:val="000C7289"/>
    <w:pPr>
      <w:numPr>
        <w:numId w:val="6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ED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7330A52F5744CF590D4F471A144A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A0871-B284-4C42-A5FE-DBC927D9C625}"/>
      </w:docPartPr>
      <w:docPartBody>
        <w:p w:rsidR="007F55CE" w:rsidRDefault="00E60C6A" w:rsidP="00E60C6A">
          <w:pPr>
            <w:pStyle w:val="67330A52F5744CF590D4F471A144A5BA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011D"/>
    <w:rsid w:val="00271680"/>
    <w:rsid w:val="004D3E1E"/>
    <w:rsid w:val="0056473F"/>
    <w:rsid w:val="007E4282"/>
    <w:rsid w:val="007F55CE"/>
    <w:rsid w:val="00876C4C"/>
    <w:rsid w:val="009250E1"/>
    <w:rsid w:val="00974327"/>
    <w:rsid w:val="00B56DBF"/>
    <w:rsid w:val="00D21A9F"/>
    <w:rsid w:val="00E110D9"/>
    <w:rsid w:val="00E6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011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7330A52F5744CF590D4F471A144A5BA">
    <w:name w:val="67330A52F5744CF590D4F471A144A5BA"/>
    <w:rsid w:val="00E60C6A"/>
    <w:rPr>
      <w:lang w:val="en-CA" w:eastAsia="en-C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A9E5-7E73-4E4B-ADF1-27A18A085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A05688-6B80-4A26-B3DB-A4BCD76AFCB5}">
  <ds:schemaRefs>
    <ds:schemaRef ds:uri="a0509f21-ed56-4150-9955-96be669e5f2d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1B9167-E31C-4BAB-9E57-93F22AEE8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54BE38-3C7C-4B56-B835-17EB0E79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1237</Words>
  <Characters>7007</Characters>
  <Application>Microsoft Office Word</Application>
  <DocSecurity>0</DocSecurity>
  <Lines>232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2019-10-10T02:42:00Z</dcterms:created>
  <dcterms:modified xsi:type="dcterms:W3CDTF">2026-01-09T00:59:00Z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2025-12-22T05:11:14Z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6f0bd3fe-ca15-4641-96a3-88dd838c30e1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