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9805C83" w14:textId="77777777" w:rsidR="00BD499F" w:rsidRPr="004C23F4" w:rsidRDefault="00AA7F9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o-chlorostyrene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48A4B14E" w14:textId="77777777" w:rsidTr="00B76A41">
        <w:trPr>
          <w:cantSplit/>
          <w:tblHeader/>
        </w:trPr>
        <w:tc>
          <w:tcPr>
            <w:tcW w:w="4077" w:type="dxa"/>
          </w:tcPr>
          <w:p w14:paraId="7C69F0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736493F" w14:textId="77777777" w:rsidR="00F43AD5" w:rsidRPr="00717D45" w:rsidRDefault="00AA7F98" w:rsidP="00B76A41">
            <w:pPr>
              <w:pStyle w:val="Tablefont"/>
            </w:pPr>
            <w:r>
              <w:t>2039-87-4</w:t>
            </w:r>
          </w:p>
        </w:tc>
      </w:tr>
      <w:tr w:rsidR="00F43AD5" w:rsidRPr="004C23F4" w14:paraId="36F567FC" w14:textId="77777777" w:rsidTr="00B76A41">
        <w:trPr>
          <w:cantSplit/>
        </w:trPr>
        <w:tc>
          <w:tcPr>
            <w:tcW w:w="4077" w:type="dxa"/>
          </w:tcPr>
          <w:p w14:paraId="7132D8B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6B2084E" w14:textId="77777777" w:rsidR="00F43AD5" w:rsidRPr="00717D45" w:rsidRDefault="00AA7F98" w:rsidP="00B76A41">
            <w:pPr>
              <w:pStyle w:val="Tablefont"/>
            </w:pPr>
            <w:r>
              <w:t>2-Chlorostyrene</w:t>
            </w:r>
            <w:r w:rsidR="00800192">
              <w:t xml:space="preserve">, </w:t>
            </w:r>
            <w:r w:rsidR="000C7C7B">
              <w:t>1-chloro-2-ethenylbenzene</w:t>
            </w:r>
          </w:p>
        </w:tc>
      </w:tr>
      <w:tr w:rsidR="00F43AD5" w:rsidRPr="004C23F4" w14:paraId="20B802FB" w14:textId="77777777" w:rsidTr="00B76A41">
        <w:trPr>
          <w:cantSplit/>
        </w:trPr>
        <w:tc>
          <w:tcPr>
            <w:tcW w:w="4077" w:type="dxa"/>
          </w:tcPr>
          <w:p w14:paraId="7FA30B9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D012A14" w14:textId="77777777" w:rsidR="00F43AD5" w:rsidRPr="00717D45" w:rsidRDefault="00AA7F98" w:rsidP="00B76A41">
            <w:pPr>
              <w:pStyle w:val="Tablefont"/>
            </w:pPr>
            <w:r>
              <w:t>C</w:t>
            </w:r>
            <w:r w:rsidRPr="00AA7F98">
              <w:rPr>
                <w:vertAlign w:val="subscript"/>
              </w:rPr>
              <w:t>8</w:t>
            </w:r>
            <w:r>
              <w:t>H</w:t>
            </w:r>
            <w:r w:rsidRPr="00AA7F98">
              <w:rPr>
                <w:vertAlign w:val="subscript"/>
              </w:rPr>
              <w:t>7</w:t>
            </w:r>
            <w:r>
              <w:t>Cl</w:t>
            </w:r>
          </w:p>
        </w:tc>
      </w:tr>
      <w:tr w:rsidR="00F43AD5" w:rsidRPr="004C23F4" w14:paraId="4436F9D6" w14:textId="77777777" w:rsidTr="00B76A41">
        <w:trPr>
          <w:cantSplit/>
        </w:trPr>
        <w:tc>
          <w:tcPr>
            <w:tcW w:w="4077" w:type="dxa"/>
          </w:tcPr>
          <w:p w14:paraId="4E57161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DF89347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C1B681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9201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6C8DAC9" w14:textId="77777777" w:rsidTr="00BB6505">
        <w:trPr>
          <w:cantSplit/>
          <w:tblHeader/>
        </w:trPr>
        <w:tc>
          <w:tcPr>
            <w:tcW w:w="4010" w:type="dxa"/>
            <w:vAlign w:val="center"/>
          </w:tcPr>
          <w:p w14:paraId="127478D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194DBFEE" w14:textId="77777777" w:rsidR="002C7AFE" w:rsidRPr="00792011" w:rsidRDefault="007920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 ppm (283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BB6505" w:rsidRPr="004C23F4" w14:paraId="167C9665" w14:textId="77777777" w:rsidTr="00792011">
        <w:trPr>
          <w:cantSplit/>
        </w:trPr>
        <w:tc>
          <w:tcPr>
            <w:tcW w:w="4010" w:type="dxa"/>
            <w:vAlign w:val="center"/>
          </w:tcPr>
          <w:p w14:paraId="727E3C3D" w14:textId="77777777" w:rsidR="00BB6505" w:rsidRPr="002C58FF" w:rsidRDefault="00BB6505" w:rsidP="00BB650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  <w:vAlign w:val="bottom"/>
          </w:tcPr>
          <w:p w14:paraId="6FD9ED96" w14:textId="77777777" w:rsidR="00BB6505" w:rsidRPr="00792011" w:rsidRDefault="00792011" w:rsidP="00792011">
            <w:pPr>
              <w:pStyle w:val="Tablefont"/>
            </w:pPr>
            <w:r>
              <w:rPr>
                <w:b/>
              </w:rPr>
              <w:t>75 ppm (425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BB6505" w:rsidRPr="004C23F4" w14:paraId="12B6DF45" w14:textId="77777777" w:rsidTr="00BB6505">
        <w:trPr>
          <w:cantSplit/>
        </w:trPr>
        <w:tc>
          <w:tcPr>
            <w:tcW w:w="4010" w:type="dxa"/>
            <w:vAlign w:val="center"/>
          </w:tcPr>
          <w:p w14:paraId="44A260C1" w14:textId="77777777" w:rsidR="00BB6505" w:rsidRPr="002C58FF" w:rsidRDefault="00BB6505" w:rsidP="00BB650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466B191" w14:textId="77777777" w:rsidR="00BB6505" w:rsidRPr="00BC76D9" w:rsidRDefault="00BB6505" w:rsidP="00BC76D9">
            <w:pPr>
              <w:pStyle w:val="Tablefont"/>
              <w:rPr>
                <w:b/>
              </w:rPr>
            </w:pPr>
            <w:r w:rsidRPr="009B3ABA">
              <w:rPr>
                <w:b/>
              </w:rPr>
              <w:t>—</w:t>
            </w:r>
          </w:p>
        </w:tc>
      </w:tr>
      <w:tr w:rsidR="00BB6505" w:rsidRPr="004C23F4" w14:paraId="40C95D18" w14:textId="77777777" w:rsidTr="00BB6505">
        <w:trPr>
          <w:cantSplit/>
        </w:trPr>
        <w:tc>
          <w:tcPr>
            <w:tcW w:w="4010" w:type="dxa"/>
          </w:tcPr>
          <w:p w14:paraId="0CA01A82" w14:textId="77777777" w:rsidR="00BB6505" w:rsidRPr="002C58FF" w:rsidRDefault="00BB6505" w:rsidP="00BB650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525A8CB" w14:textId="77777777" w:rsidR="00BB6505" w:rsidRPr="00BC76D9" w:rsidRDefault="00BB6505" w:rsidP="00BC76D9">
            <w:pPr>
              <w:pStyle w:val="Tablefont"/>
              <w:rPr>
                <w:b/>
              </w:rPr>
            </w:pPr>
            <w:r w:rsidRPr="009B3ABA">
              <w:rPr>
                <w:b/>
              </w:rPr>
              <w:t>—</w:t>
            </w:r>
          </w:p>
        </w:tc>
      </w:tr>
      <w:tr w:rsidR="002C7AFE" w:rsidRPr="004C23F4" w14:paraId="609C9D48" w14:textId="77777777" w:rsidTr="00BB6505">
        <w:trPr>
          <w:cantSplit/>
        </w:trPr>
        <w:tc>
          <w:tcPr>
            <w:tcW w:w="4010" w:type="dxa"/>
            <w:vAlign w:val="center"/>
          </w:tcPr>
          <w:p w14:paraId="08054A8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4E0994C1" w14:textId="77777777" w:rsidR="002C7AFE" w:rsidRPr="00EB3D1B" w:rsidRDefault="00CC1030" w:rsidP="00017C82">
            <w:pPr>
              <w:pStyle w:val="Tablefont"/>
              <w:rPr>
                <w:b/>
              </w:rPr>
            </w:pPr>
            <w:r w:rsidRPr="009B3ABA">
              <w:rPr>
                <w:b/>
              </w:rPr>
              <w:t>—</w:t>
            </w:r>
          </w:p>
        </w:tc>
      </w:tr>
      <w:tr w:rsidR="009F04D2" w:rsidRPr="004C23F4" w14:paraId="7C0761C0" w14:textId="77777777" w:rsidTr="00D87040">
        <w:trPr>
          <w:cantSplit/>
        </w:trPr>
        <w:tc>
          <w:tcPr>
            <w:tcW w:w="4010" w:type="dxa"/>
          </w:tcPr>
          <w:p w14:paraId="734AC5F2" w14:textId="77777777" w:rsidR="009F04D2" w:rsidRDefault="009F04D2" w:rsidP="00D87040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1698B93F" w14:textId="20E5446A" w:rsidR="009F04D2" w:rsidRPr="00D87040" w:rsidRDefault="00666ACA" w:rsidP="00017C82">
            <w:pPr>
              <w:pStyle w:val="Tablefont"/>
            </w:pPr>
            <w:r w:rsidRPr="00666ACA">
              <w:t>The recommended value is quantifiable through available sampling and analysis techniques</w:t>
            </w:r>
            <w:r w:rsidR="006007A2" w:rsidRPr="00D87040">
              <w:t>.</w:t>
            </w:r>
          </w:p>
        </w:tc>
      </w:tr>
    </w:tbl>
    <w:p w14:paraId="423E07F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48CBFBF" w14:textId="77777777" w:rsidR="00824FC6" w:rsidRDefault="00BC76D9" w:rsidP="00792011">
      <w:pPr>
        <w:rPr>
          <w:rFonts w:eastAsia="Calibri" w:cs="Times New Roman"/>
        </w:rPr>
      </w:pPr>
      <w:r w:rsidRPr="00BC76D9">
        <w:rPr>
          <w:rFonts w:eastAsia="Calibri" w:cs="Times New Roman"/>
        </w:rPr>
        <w:t>A TWA of 50</w:t>
      </w:r>
      <w:r>
        <w:rPr>
          <w:rFonts w:eastAsia="Calibri" w:cs="Times New Roman"/>
        </w:rPr>
        <w:t xml:space="preserve"> ppm (283 mg/m</w:t>
      </w:r>
      <w:r w:rsidRPr="00BC76D9">
        <w:rPr>
          <w:rFonts w:eastAsia="Calibri" w:cs="Times New Roman"/>
          <w:vertAlign w:val="superscript"/>
        </w:rPr>
        <w:t>3</w:t>
      </w:r>
      <w:r w:rsidR="0042475C">
        <w:rPr>
          <w:rFonts w:eastAsia="Calibri" w:cs="Times New Roman"/>
        </w:rPr>
        <w:t>)</w:t>
      </w:r>
      <w:r>
        <w:rPr>
          <w:rFonts w:eastAsia="Calibri" w:cs="Times New Roman"/>
        </w:rPr>
        <w:t xml:space="preserve"> </w:t>
      </w:r>
      <w:r w:rsidR="00824FC6">
        <w:rPr>
          <w:rFonts w:eastAsia="Calibri" w:cs="Times New Roman"/>
        </w:rPr>
        <w:t>is recommended to protect for liver and kidney effects in exposed workers.</w:t>
      </w:r>
    </w:p>
    <w:p w14:paraId="60C4B3CC" w14:textId="3362E871" w:rsidR="006639B4" w:rsidRPr="00BC76D9" w:rsidRDefault="00824FC6" w:rsidP="00792011">
      <w:pPr>
        <w:rPr>
          <w:rFonts w:eastAsia="Calibri" w:cs="Times New Roman"/>
          <w:color w:val="1F497D" w:themeColor="text2"/>
        </w:rPr>
      </w:pPr>
      <w:r>
        <w:rPr>
          <w:rFonts w:eastAsia="Calibri" w:cs="Times New Roman"/>
        </w:rPr>
        <w:t xml:space="preserve">Supplementing the available data with a structurally similar chemical, </w:t>
      </w:r>
      <w:r w:rsidR="00BC76D9" w:rsidRPr="00BC76D9">
        <w:rPr>
          <w:rFonts w:eastAsia="Calibri" w:cs="Times New Roman"/>
        </w:rPr>
        <w:t>a STEL of 75 ppm (425 mg/m</w:t>
      </w:r>
      <w:r w:rsidR="00BC76D9" w:rsidRPr="00BC76D9">
        <w:rPr>
          <w:rFonts w:eastAsia="Calibri" w:cs="Times New Roman"/>
          <w:vertAlign w:val="superscript"/>
        </w:rPr>
        <w:t>3</w:t>
      </w:r>
      <w:r w:rsidR="00BC76D9" w:rsidRPr="00BC76D9">
        <w:rPr>
          <w:rFonts w:eastAsia="Calibri" w:cs="Times New Roman"/>
        </w:rPr>
        <w:t xml:space="preserve">) </w:t>
      </w:r>
      <w:r>
        <w:rPr>
          <w:rFonts w:eastAsia="Calibri" w:cs="Times New Roman"/>
        </w:rPr>
        <w:t>is</w:t>
      </w:r>
      <w:r w:rsidR="00BC76D9" w:rsidRPr="00BC76D9">
        <w:rPr>
          <w:rFonts w:eastAsia="Calibri" w:cs="Times New Roman"/>
        </w:rPr>
        <w:t xml:space="preserve"> </w:t>
      </w:r>
      <w:r w:rsidR="00EB1B3B">
        <w:rPr>
          <w:rFonts w:eastAsia="Calibri" w:cs="Times New Roman"/>
        </w:rPr>
        <w:t>recommended</w:t>
      </w:r>
      <w:r w:rsidR="00EB1B3B" w:rsidRPr="00BC76D9">
        <w:rPr>
          <w:rFonts w:eastAsia="Calibri" w:cs="Times New Roman"/>
        </w:rPr>
        <w:t xml:space="preserve"> </w:t>
      </w:r>
      <w:r w:rsidR="00BC76D9" w:rsidRPr="00BC76D9">
        <w:rPr>
          <w:rFonts w:eastAsia="Calibri" w:cs="Times New Roman"/>
        </w:rPr>
        <w:t xml:space="preserve">to </w:t>
      </w:r>
      <w:r w:rsidR="00BC76D9" w:rsidRPr="00BC76D9">
        <w:rPr>
          <w:rFonts w:cs="Arial"/>
        </w:rPr>
        <w:t xml:space="preserve">protect for </w:t>
      </w:r>
      <w:r>
        <w:rPr>
          <w:rFonts w:cs="Arial"/>
        </w:rPr>
        <w:t>possible</w:t>
      </w:r>
      <w:r w:rsidR="00BC76D9" w:rsidRPr="00BC76D9">
        <w:rPr>
          <w:rFonts w:cs="Arial"/>
        </w:rPr>
        <w:t xml:space="preserve"> neuropathy and narcosis </w:t>
      </w:r>
      <w:r w:rsidR="00BC76D9">
        <w:rPr>
          <w:rFonts w:cs="Arial"/>
        </w:rPr>
        <w:t xml:space="preserve">in </w:t>
      </w:r>
      <w:r w:rsidR="00BC76D9" w:rsidRPr="00792011">
        <w:rPr>
          <w:rFonts w:cs="Arial"/>
        </w:rPr>
        <w:t>exposed workers</w:t>
      </w:r>
      <w:r w:rsidR="00BC76D9" w:rsidRPr="00F9033E">
        <w:rPr>
          <w:rFonts w:eastAsia="Calibri" w:cs="Times New Roman"/>
          <w:color w:val="1F497D" w:themeColor="text2"/>
        </w:rPr>
        <w:t xml:space="preserve">. </w:t>
      </w:r>
    </w:p>
    <w:p w14:paraId="753278D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F0C0B2F" w14:textId="77777777" w:rsidR="00474049" w:rsidRDefault="00792011" w:rsidP="00792011">
      <w:r>
        <w:t>o-</w:t>
      </w:r>
      <w:proofErr w:type="spellStart"/>
      <w:r>
        <w:t>Chlorostyrene</w:t>
      </w:r>
      <w:proofErr w:type="spellEnd"/>
      <w:r>
        <w:t xml:space="preserve"> is used in organic synthesis and in the preparation of speciality polymers.</w:t>
      </w:r>
      <w:r w:rsidR="006454AB">
        <w:t xml:space="preserve"> </w:t>
      </w:r>
    </w:p>
    <w:p w14:paraId="5334EF3E" w14:textId="4B353E33" w:rsidR="00474049" w:rsidRDefault="00792011" w:rsidP="00792011">
      <w:r>
        <w:t xml:space="preserve">No </w:t>
      </w:r>
      <w:r w:rsidR="004377C7">
        <w:t xml:space="preserve">human exposure </w:t>
      </w:r>
      <w:r w:rsidR="007A3019">
        <w:t>data</w:t>
      </w:r>
      <w:r w:rsidR="007A3019" w:rsidDel="004377C7">
        <w:t xml:space="preserve"> </w:t>
      </w:r>
      <w:r w:rsidR="00476A07">
        <w:t xml:space="preserve">are </w:t>
      </w:r>
      <w:r>
        <w:t>available.</w:t>
      </w:r>
      <w:r w:rsidR="006454AB">
        <w:t xml:space="preserve"> </w:t>
      </w:r>
      <w:r w:rsidR="004377C7">
        <w:t>A</w:t>
      </w:r>
      <w:r>
        <w:t xml:space="preserve"> </w:t>
      </w:r>
      <w:r w:rsidR="00BC76D9">
        <w:t>six-month</w:t>
      </w:r>
      <w:r>
        <w:t xml:space="preserve"> inhalation study </w:t>
      </w:r>
      <w:r w:rsidR="004C5AF0">
        <w:t xml:space="preserve">in </w:t>
      </w:r>
      <w:r>
        <w:t>rats, rabbits, guinea pigs and dog</w:t>
      </w:r>
      <w:r w:rsidR="00391AD5">
        <w:t>s</w:t>
      </w:r>
      <w:r w:rsidR="004377C7">
        <w:t xml:space="preserve">, exposed to an average of 101 ppm reported </w:t>
      </w:r>
      <w:r>
        <w:t>slightly higher incidences of kidney and liver changes in exposed animals when compared to controls.</w:t>
      </w:r>
      <w:r w:rsidR="006454AB">
        <w:t xml:space="preserve"> </w:t>
      </w:r>
    </w:p>
    <w:p w14:paraId="423CA78B" w14:textId="3EBC99E7" w:rsidR="00474049" w:rsidRDefault="00474049" w:rsidP="00792011">
      <w:r>
        <w:t>The recommended TWA is based on the animal inhalation study, with an assumed uncertainty factor of two applied.</w:t>
      </w:r>
    </w:p>
    <w:p w14:paraId="150B58B2" w14:textId="4576F7AD" w:rsidR="00824FC6" w:rsidRDefault="00474049" w:rsidP="00792011">
      <w:r>
        <w:t>Exposure to the structurally analogous s</w:t>
      </w:r>
      <w:r w:rsidR="00A1399F">
        <w:t>tyrene</w:t>
      </w:r>
      <w:r>
        <w:t xml:space="preserve"> monomer results in</w:t>
      </w:r>
      <w:r w:rsidR="00A1399F">
        <w:t xml:space="preserve"> neuropathic and narcotic effects in humans following short-term exposure at 100 ppm. </w:t>
      </w:r>
      <w:r w:rsidR="00824FC6">
        <w:t xml:space="preserve">As these effects occur rapidly at this concentration and a STEL is considered an appropriate </w:t>
      </w:r>
      <w:r w:rsidR="004C5AF0">
        <w:t xml:space="preserve">measure </w:t>
      </w:r>
      <w:r w:rsidR="00824FC6">
        <w:t xml:space="preserve">to protect exposed workers. While these effects were not reported in the </w:t>
      </w:r>
      <w:r w:rsidR="004C5AF0">
        <w:t>six-month</w:t>
      </w:r>
      <w:r w:rsidR="00824FC6">
        <w:t xml:space="preserve"> inhalational study that is the basis of the TWA, they were also not specifically examined. Therefore</w:t>
      </w:r>
      <w:r w:rsidR="00673BE4">
        <w:t>,</w:t>
      </w:r>
      <w:r w:rsidR="00824FC6">
        <w:t xml:space="preserve"> a STEL of 75 ppm is considered appropriate to protect for the possibility of these effects in workers.</w:t>
      </w:r>
    </w:p>
    <w:p w14:paraId="30CFF23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48CCC20" w14:textId="163A6D7E" w:rsidR="00C63184" w:rsidRPr="008E3ED6" w:rsidRDefault="00C63184" w:rsidP="00C63184">
      <w:pPr>
        <w:rPr>
          <w:rFonts w:cs="Arial"/>
        </w:rPr>
      </w:pPr>
      <w:r w:rsidRPr="008E3ED6">
        <w:rPr>
          <w:rFonts w:cs="Arial"/>
        </w:rPr>
        <w:t>Not classified as a carcinogen according to the Globally Harmonized System of Classification and Labelling o</w:t>
      </w:r>
      <w:r w:rsidR="009153E1">
        <w:rPr>
          <w:rFonts w:cs="Arial"/>
        </w:rPr>
        <w:t>f</w:t>
      </w:r>
      <w:r w:rsidRPr="008E3ED6">
        <w:rPr>
          <w:rFonts w:cs="Arial"/>
        </w:rPr>
        <w:t xml:space="preserve"> Chemicals (GHS). </w:t>
      </w:r>
    </w:p>
    <w:p w14:paraId="187FC9C9" w14:textId="77777777" w:rsidR="00C63184" w:rsidRPr="008E3ED6" w:rsidRDefault="00C63184" w:rsidP="00C63184">
      <w:pPr>
        <w:rPr>
          <w:rFonts w:cs="Arial"/>
        </w:rPr>
      </w:pPr>
      <w:r w:rsidRPr="008E3ED6">
        <w:rPr>
          <w:rFonts w:cs="Arial"/>
        </w:rPr>
        <w:lastRenderedPageBreak/>
        <w:t>Not classified as a skin</w:t>
      </w:r>
      <w:r w:rsidR="0042475C">
        <w:rPr>
          <w:rFonts w:cs="Arial"/>
        </w:rPr>
        <w:t xml:space="preserve"> sensitiser</w:t>
      </w:r>
      <w:r w:rsidRPr="008E3ED6">
        <w:rPr>
          <w:rFonts w:cs="Arial"/>
        </w:rPr>
        <w:t xml:space="preserve"> or respiratory sensitiser according to the GHS.</w:t>
      </w:r>
    </w:p>
    <w:p w14:paraId="5F49382B" w14:textId="108923B2" w:rsidR="0025734A" w:rsidRPr="004C23F4" w:rsidRDefault="00BF7A92">
      <w:pPr>
        <w:rPr>
          <w:rFonts w:cs="Arial"/>
        </w:rPr>
      </w:pPr>
      <w:r>
        <w:rPr>
          <w:rFonts w:cs="Arial"/>
        </w:rPr>
        <w:t xml:space="preserve">A skin notation is not recommended as toxicity is very low </w:t>
      </w:r>
      <w:r w:rsidR="00673BE4">
        <w:rPr>
          <w:rFonts w:cs="Arial"/>
        </w:rPr>
        <w:t xml:space="preserve">in animals exposed </w:t>
      </w:r>
      <w:r>
        <w:rPr>
          <w:rFonts w:cs="Arial"/>
          <w:i/>
        </w:rPr>
        <w:t>via</w:t>
      </w:r>
      <w:r>
        <w:rPr>
          <w:rFonts w:cs="Arial"/>
        </w:rPr>
        <w:t xml:space="preserve"> the dermal route</w:t>
      </w:r>
      <w:r w:rsidR="00C63184" w:rsidRPr="008E3ED6">
        <w:rPr>
          <w:rFonts w:cs="Arial"/>
        </w:rPr>
        <w:t>.</w:t>
      </w:r>
    </w:p>
    <w:p w14:paraId="16FCC16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99583C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7EE76C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F6D9F9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4FEE1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59BD6A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B8FC59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5020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5020B">
                  <w:t>TWA: 50 ppm (283 mg/m</w:t>
                </w:r>
                <w:r w:rsidR="0075020B" w:rsidRPr="00661E8F">
                  <w:rPr>
                    <w:vertAlign w:val="superscript"/>
                  </w:rPr>
                  <w:t>3</w:t>
                </w:r>
                <w:r w:rsidR="0075020B">
                  <w:t>); STEL: 75 ppm (425 mg/m</w:t>
                </w:r>
                <w:r w:rsidR="0075020B" w:rsidRPr="00E436E3">
                  <w:rPr>
                    <w:vertAlign w:val="superscript"/>
                  </w:rPr>
                  <w:t>3</w:t>
                </w:r>
                <w:r w:rsidR="0075020B">
                  <w:t xml:space="preserve">) </w:t>
                </w:r>
              </w:sdtContent>
            </w:sdt>
          </w:p>
        </w:tc>
      </w:tr>
      <w:tr w:rsidR="00C978F0" w:rsidRPr="00DA352E" w14:paraId="0B0D4B0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8658E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7DAD7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04B685" w14:textId="20F9BA81" w:rsidR="00C978F0" w:rsidRPr="00DA352E" w:rsidRDefault="00DA352E" w:rsidP="008758C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61E8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61E8F">
                  <w:t>TLV-TWA: 50 ppm (283 mg/m</w:t>
                </w:r>
                <w:r w:rsidR="00661E8F" w:rsidRPr="00661E8F">
                  <w:rPr>
                    <w:vertAlign w:val="superscript"/>
                  </w:rPr>
                  <w:t>3</w:t>
                </w:r>
                <w:r w:rsidR="00661E8F">
                  <w:t>)</w:t>
                </w:r>
                <w:r w:rsidR="008758CC">
                  <w:t xml:space="preserve">; </w:t>
                </w:r>
                <w:r w:rsidR="00824FC6">
                  <w:br/>
                </w:r>
                <w:r w:rsidR="008758CC">
                  <w:t>TLV-STEL: 75 ppm (425</w:t>
                </w:r>
                <w:r w:rsidR="00C2519F">
                  <w:t> </w:t>
                </w:r>
                <w:r w:rsidR="008758CC">
                  <w:t>mg/m</w:t>
                </w:r>
                <w:r w:rsidR="008758CC" w:rsidRPr="00E436E3">
                  <w:rPr>
                    <w:vertAlign w:val="superscript"/>
                  </w:rPr>
                  <w:t>3</w:t>
                </w:r>
                <w:r w:rsidR="008758CC">
                  <w:t>)</w:t>
                </w:r>
              </w:sdtContent>
            </w:sdt>
          </w:p>
        </w:tc>
      </w:tr>
      <w:tr w:rsidR="00C978F0" w:rsidRPr="00DA352E" w14:paraId="7076FE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947708" w14:textId="07F0CBEA" w:rsidR="00C978F0" w:rsidRDefault="008E3ED6" w:rsidP="003365A5">
            <w:pPr>
              <w:pStyle w:val="Tabletextprimarysource"/>
            </w:pPr>
            <w:r>
              <w:t xml:space="preserve">TLV-TWA </w:t>
            </w:r>
            <w:r w:rsidR="000576AB">
              <w:t xml:space="preserve">and TLV-STEL </w:t>
            </w:r>
            <w:r>
              <w:t>recommended to minimise the potential for narcosis, neuropathy and adverse liver and kidney effects.</w:t>
            </w:r>
          </w:p>
          <w:p w14:paraId="67A75F45" w14:textId="77777777" w:rsidR="008E3ED6" w:rsidRDefault="008E3ED6" w:rsidP="003365A5">
            <w:pPr>
              <w:pStyle w:val="Tabletextprimarysource"/>
            </w:pPr>
            <w:r>
              <w:t>Summary of data:</w:t>
            </w:r>
          </w:p>
          <w:p w14:paraId="1AFED387" w14:textId="77777777" w:rsidR="008E3ED6" w:rsidRDefault="008E3ED6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80"/>
              <w:contextualSpacing w:val="0"/>
            </w:pPr>
            <w:r>
              <w:t>Used in organic synthesis and preparation of polymers</w:t>
            </w:r>
          </w:p>
          <w:p w14:paraId="3D05A661" w14:textId="3C47B1C1" w:rsidR="008E3ED6" w:rsidRDefault="008E3ED6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80"/>
              <w:contextualSpacing w:val="0"/>
            </w:pPr>
            <w:r>
              <w:t>No human data presented</w:t>
            </w:r>
          </w:p>
          <w:p w14:paraId="257B155A" w14:textId="342B6FC1" w:rsidR="00540DD3" w:rsidRDefault="00824FC6" w:rsidP="00D87040">
            <w:pPr>
              <w:pStyle w:val="ListBullet"/>
              <w:numPr>
                <w:ilvl w:val="0"/>
                <w:numId w:val="4"/>
              </w:numPr>
              <w:spacing w:before="60" w:after="60"/>
              <w:ind w:left="1298" w:hanging="284"/>
              <w:contextualSpacing w:val="0"/>
            </w:pPr>
            <w:r>
              <w:t>Odour</w:t>
            </w:r>
            <w:r w:rsidR="00540DD3">
              <w:t xml:space="preserve"> warnings are not recognised in unacclimated workers until 400-600 ppm</w:t>
            </w:r>
          </w:p>
          <w:p w14:paraId="1CCCA3E4" w14:textId="668C5AD0" w:rsidR="00224577" w:rsidRDefault="008E3ED6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80"/>
              <w:contextualSpacing w:val="0"/>
            </w:pPr>
            <w:r>
              <w:t>Unpublished study</w:t>
            </w:r>
            <w:r w:rsidR="00A222DE">
              <w:t xml:space="preserve"> </w:t>
            </w:r>
            <w:r w:rsidR="00675EDA">
              <w:t>in</w:t>
            </w:r>
            <w:r w:rsidR="00A222DE">
              <w:t xml:space="preserve"> r</w:t>
            </w:r>
            <w:r w:rsidR="007A3019">
              <w:t>ats, rabbits, guinea pigs and dogs exposed 7 h/d, 5 d/</w:t>
            </w:r>
            <w:proofErr w:type="spellStart"/>
            <w:r w:rsidR="007A3019">
              <w:t>wk</w:t>
            </w:r>
            <w:proofErr w:type="spellEnd"/>
            <w:r w:rsidR="007A3019">
              <w:t xml:space="preserve"> for 130</w:t>
            </w:r>
            <w:r w:rsidR="00673BE4">
              <w:t> </w:t>
            </w:r>
            <w:r w:rsidR="007A3019">
              <w:t>exposures over 180 d to an average of 101 ppm</w:t>
            </w:r>
            <w:r>
              <w:t xml:space="preserve">: </w:t>
            </w:r>
          </w:p>
          <w:p w14:paraId="6A492CE1" w14:textId="515378D7" w:rsidR="007A3019" w:rsidRDefault="00C2519F" w:rsidP="00D87040">
            <w:pPr>
              <w:pStyle w:val="ListBullet"/>
              <w:numPr>
                <w:ilvl w:val="0"/>
                <w:numId w:val="4"/>
              </w:numPr>
              <w:spacing w:before="60" w:after="60"/>
              <w:ind w:left="1298" w:hanging="284"/>
              <w:contextualSpacing w:val="0"/>
            </w:pPr>
            <w:r>
              <w:t>n</w:t>
            </w:r>
            <w:r w:rsidR="006A5D54">
              <w:t>o adverse effects</w:t>
            </w:r>
            <w:r w:rsidR="007A3019">
              <w:t xml:space="preserve"> on gross pathological and biochemical examinations</w:t>
            </w:r>
            <w:r w:rsidR="006454AB">
              <w:t xml:space="preserve"> </w:t>
            </w:r>
          </w:p>
          <w:p w14:paraId="71B834B2" w14:textId="6F81A57C" w:rsidR="008E3ED6" w:rsidRDefault="007A3019" w:rsidP="00D87040">
            <w:pPr>
              <w:pStyle w:val="ListBullet"/>
              <w:numPr>
                <w:ilvl w:val="0"/>
                <w:numId w:val="4"/>
              </w:numPr>
              <w:spacing w:before="60" w:after="60"/>
              <w:ind w:left="1298" w:hanging="284"/>
              <w:contextualSpacing w:val="0"/>
            </w:pPr>
            <w:r>
              <w:t>s</w:t>
            </w:r>
            <w:r w:rsidR="006A5D54">
              <w:t>lightly higher inciden</w:t>
            </w:r>
            <w:r w:rsidR="006454AB">
              <w:t>ts</w:t>
            </w:r>
            <w:r w:rsidR="006A5D54">
              <w:t xml:space="preserve"> of pathological changes in the liver and kidneys </w:t>
            </w:r>
            <w:r>
              <w:t xml:space="preserve">upon microscopic examination </w:t>
            </w:r>
          </w:p>
          <w:p w14:paraId="42CA8CD2" w14:textId="5BB67996" w:rsidR="000576AB" w:rsidRDefault="000576AB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80"/>
              <w:contextualSpacing w:val="0"/>
            </w:pPr>
            <w:r>
              <w:t xml:space="preserve">TLV-STEL </w:t>
            </w:r>
            <w:r w:rsidR="000F0419">
              <w:t xml:space="preserve">based on the structural analogy to styrene </w:t>
            </w:r>
            <w:r w:rsidR="00666ACA">
              <w:t xml:space="preserve">monomer </w:t>
            </w:r>
            <w:r w:rsidR="008D1234">
              <w:t xml:space="preserve">(TLV-TWA 20 ppm, TLV-STEL 40 ppm) </w:t>
            </w:r>
            <w:r w:rsidR="000F0419">
              <w:t xml:space="preserve">for which short-term exposure of humans at 100 ppm </w:t>
            </w:r>
            <w:r w:rsidR="00673BE4">
              <w:t>results in</w:t>
            </w:r>
            <w:r w:rsidR="000F0419">
              <w:t xml:space="preserve"> neuropathic and narcotic effects</w:t>
            </w:r>
          </w:p>
          <w:p w14:paraId="6F892D60" w14:textId="77777777" w:rsidR="008E3ED6" w:rsidRDefault="00800E36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80"/>
              <w:contextualSpacing w:val="0"/>
            </w:pPr>
            <w:r>
              <w:t>Insufficient evidence to recommend skin, sensitiser or carcinogen notations</w:t>
            </w:r>
            <w:r w:rsidR="006454AB">
              <w:t>.</w:t>
            </w:r>
          </w:p>
          <w:p w14:paraId="7C9EBAF3" w14:textId="77777777" w:rsidR="0042475C" w:rsidRPr="00DA352E" w:rsidRDefault="0042475C" w:rsidP="00EB1B3B">
            <w:pPr>
              <w:pStyle w:val="ListBullet"/>
            </w:pPr>
          </w:p>
        </w:tc>
      </w:tr>
      <w:tr w:rsidR="00C978F0" w:rsidRPr="00DA352E" w14:paraId="0B3CB4E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1CC84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F34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F34EF">
                  <w:t>NA</w:t>
                </w:r>
                <w:proofErr w:type="spellEnd"/>
              </w:sdtContent>
            </w:sdt>
          </w:p>
        </w:tc>
      </w:tr>
      <w:tr w:rsidR="00C978F0" w:rsidRPr="00DA352E" w14:paraId="6B9B920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F49241" w14:textId="647C15DC" w:rsidR="00C978F0" w:rsidRPr="00DA352E" w:rsidRDefault="003F34EF" w:rsidP="003365A5">
            <w:pPr>
              <w:pStyle w:val="Tabletextprimarysource"/>
            </w:pPr>
            <w:r>
              <w:t>No report</w:t>
            </w:r>
            <w:r w:rsidR="00E67921">
              <w:t>.</w:t>
            </w:r>
          </w:p>
        </w:tc>
      </w:tr>
      <w:tr w:rsidR="00C978F0" w:rsidRPr="00DA352E" w14:paraId="361BBF7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3D8B7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A036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A0361">
                  <w:t>NA</w:t>
                </w:r>
                <w:proofErr w:type="spellEnd"/>
              </w:sdtContent>
            </w:sdt>
          </w:p>
        </w:tc>
      </w:tr>
      <w:tr w:rsidR="00C978F0" w:rsidRPr="00DA352E" w14:paraId="0B6B7C6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8D7918" w14:textId="1B34C38B" w:rsidR="00C978F0" w:rsidRPr="00DA352E" w:rsidRDefault="008A0361" w:rsidP="003365A5">
            <w:pPr>
              <w:pStyle w:val="Tabletextprimarysource"/>
            </w:pPr>
            <w:r>
              <w:t>No report</w:t>
            </w:r>
            <w:r w:rsidR="00E67921">
              <w:t>.</w:t>
            </w:r>
          </w:p>
        </w:tc>
      </w:tr>
      <w:tr w:rsidR="00DA352E" w:rsidRPr="00DA352E" w14:paraId="67C56C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8FC6A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B766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B7661">
                  <w:t>NA</w:t>
                </w:r>
                <w:proofErr w:type="spellEnd"/>
              </w:sdtContent>
            </w:sdt>
          </w:p>
        </w:tc>
      </w:tr>
      <w:tr w:rsidR="00DA352E" w:rsidRPr="00DA352E" w14:paraId="7DB8440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EA11C4" w14:textId="3FFC670D" w:rsidR="00DA352E" w:rsidRPr="00DA352E" w:rsidRDefault="008B7661" w:rsidP="003365A5">
            <w:pPr>
              <w:pStyle w:val="Tabletextprimarysource"/>
            </w:pPr>
            <w:r>
              <w:t>No report</w:t>
            </w:r>
            <w:r w:rsidR="00E67921">
              <w:t>.</w:t>
            </w:r>
          </w:p>
        </w:tc>
      </w:tr>
      <w:tr w:rsidR="00DA352E" w:rsidRPr="00DA352E" w14:paraId="7748002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16806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403C3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C7C7B">
                  <w:t xml:space="preserve">TWA: </w:t>
                </w:r>
                <w:r w:rsidR="00877B3F">
                  <w:t>50 ppm (283 mg/m</w:t>
                </w:r>
                <w:r w:rsidR="00877B3F" w:rsidRPr="00661E8F">
                  <w:rPr>
                    <w:vertAlign w:val="superscript"/>
                  </w:rPr>
                  <w:t>3</w:t>
                </w:r>
                <w:r w:rsidR="00877B3F">
                  <w:t>)</w:t>
                </w:r>
              </w:sdtContent>
            </w:sdt>
          </w:p>
        </w:tc>
      </w:tr>
      <w:tr w:rsidR="00DA352E" w:rsidRPr="00DA352E" w14:paraId="3FE3D82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3A95C3" w14:textId="77777777" w:rsidR="00270543" w:rsidRDefault="00270543" w:rsidP="00270543">
            <w:pPr>
              <w:pStyle w:val="Tabletextprimarysource"/>
            </w:pPr>
            <w:r>
              <w:t xml:space="preserve">Administrative limit not </w:t>
            </w:r>
            <w:proofErr w:type="gramStart"/>
            <w:r>
              <w:t>health-based</w:t>
            </w:r>
            <w:proofErr w:type="gramEnd"/>
            <w:r>
              <w:t>.</w:t>
            </w:r>
          </w:p>
          <w:p w14:paraId="0290194F" w14:textId="77777777" w:rsidR="00DA352E" w:rsidRDefault="00270543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>
              <w:t>LD</w:t>
            </w:r>
            <w:r w:rsidRPr="00EB1B3B">
              <w:rPr>
                <w:vertAlign w:val="subscript"/>
              </w:rPr>
              <w:t>50</w:t>
            </w:r>
            <w:r w:rsidR="00BC76D9">
              <w:t xml:space="preserve">: </w:t>
            </w:r>
            <w:r>
              <w:t xml:space="preserve">20,000 mg/kg </w:t>
            </w:r>
            <w:r w:rsidR="00BC76D9">
              <w:t>(</w:t>
            </w:r>
            <w:r>
              <w:t>rabbits</w:t>
            </w:r>
            <w:r w:rsidR="00BC76D9">
              <w:t>, dermal)</w:t>
            </w:r>
          </w:p>
          <w:p w14:paraId="6D279967" w14:textId="1847AC00" w:rsidR="00270543" w:rsidRDefault="00270543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>
              <w:t>Moderately irritating to the skin and eyes of rabbits; induced hyperaemia, oedema and necrosis in rabbit skin</w:t>
            </w:r>
          </w:p>
          <w:p w14:paraId="2334FCFB" w14:textId="77777777" w:rsidR="00270543" w:rsidRDefault="00270543" w:rsidP="00D87040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>
              <w:t xml:space="preserve">Not mutagenic when tested in </w:t>
            </w:r>
            <w:r w:rsidRPr="00EB1B3B">
              <w:rPr>
                <w:i/>
              </w:rPr>
              <w:t>S. typhimurium</w:t>
            </w:r>
            <w:r>
              <w:t xml:space="preserve"> strains with and without rat or hamster liver metabolic activation</w:t>
            </w:r>
            <w:r w:rsidR="006454AB">
              <w:t>.</w:t>
            </w:r>
          </w:p>
          <w:p w14:paraId="42D9FDA1" w14:textId="77777777" w:rsidR="0042475C" w:rsidRPr="00DA352E" w:rsidRDefault="0042475C" w:rsidP="00EB1B3B">
            <w:pPr>
              <w:pStyle w:val="ListBullet"/>
            </w:pPr>
          </w:p>
        </w:tc>
      </w:tr>
    </w:tbl>
    <w:p w14:paraId="22E8927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F476C1E" w14:textId="730425B5" w:rsidR="007E2A4B" w:rsidRDefault="00BC76D9">
      <w:r>
        <w:t>NIL</w:t>
      </w:r>
      <w:r w:rsidR="00474049">
        <w:t>.</w:t>
      </w:r>
    </w:p>
    <w:bookmarkEnd w:id="0"/>
    <w:p w14:paraId="020B9E08" w14:textId="77777777" w:rsidR="007E2A4B" w:rsidRDefault="007E2A4B" w:rsidP="00BC76D9">
      <w:pPr>
        <w:pStyle w:val="Heading3"/>
        <w:keepNext w:val="0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958BB6F" w14:textId="77777777" w:rsidTr="008E3ED6">
        <w:trPr>
          <w:trHeight w:val="454"/>
          <w:tblHeader/>
        </w:trPr>
        <w:tc>
          <w:tcPr>
            <w:tcW w:w="6597" w:type="dxa"/>
            <w:vAlign w:val="center"/>
          </w:tcPr>
          <w:p w14:paraId="12BA584C" w14:textId="77777777" w:rsidR="002E0D61" w:rsidRDefault="00B1422A" w:rsidP="00BC76D9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1DA28B7" w14:textId="77777777" w:rsidR="002E0D61" w:rsidRDefault="00270543" w:rsidP="00BC76D9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C961FD9" w14:textId="77777777" w:rsidTr="008E3ED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5C1B920D" w14:textId="77777777" w:rsidR="008A36CF" w:rsidRPr="006901A2" w:rsidRDefault="00270543" w:rsidP="00BC76D9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28BED8F6" w14:textId="77777777" w:rsidR="008A36CF" w:rsidRDefault="008A36CF" w:rsidP="00BC76D9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650906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E42B55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BC1F2E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A90561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6C5EE85" w14:textId="77777777" w:rsidTr="00812887">
        <w:trPr>
          <w:cantSplit/>
        </w:trPr>
        <w:tc>
          <w:tcPr>
            <w:tcW w:w="3227" w:type="dxa"/>
          </w:tcPr>
          <w:p w14:paraId="5033014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FC3D4C2" w14:textId="77777777" w:rsidR="00687890" w:rsidRPr="00DD2F9B" w:rsidRDefault="004403C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B65B051" w14:textId="77777777" w:rsidTr="00812887">
        <w:trPr>
          <w:cantSplit/>
        </w:trPr>
        <w:tc>
          <w:tcPr>
            <w:tcW w:w="3227" w:type="dxa"/>
          </w:tcPr>
          <w:p w14:paraId="125C283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47F1C18" w14:textId="77777777" w:rsidR="007925F0" w:rsidRPr="00DD2F9B" w:rsidRDefault="004403C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48C4C73" w14:textId="77777777" w:rsidTr="00812887">
        <w:trPr>
          <w:cantSplit/>
        </w:trPr>
        <w:tc>
          <w:tcPr>
            <w:tcW w:w="3227" w:type="dxa"/>
          </w:tcPr>
          <w:p w14:paraId="1729E6F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D8EA63D" w14:textId="77777777" w:rsidR="00AF483F" w:rsidRPr="00DD2F9B" w:rsidRDefault="0008035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01498D1" w14:textId="77777777" w:rsidTr="00812887">
        <w:trPr>
          <w:cantSplit/>
        </w:trPr>
        <w:tc>
          <w:tcPr>
            <w:tcW w:w="3227" w:type="dxa"/>
          </w:tcPr>
          <w:p w14:paraId="355DACE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5BEB437" w14:textId="77777777" w:rsidR="00687890" w:rsidRPr="00DD2F9B" w:rsidRDefault="0008035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9C2F52D" w14:textId="77777777" w:rsidTr="00812887">
        <w:trPr>
          <w:cantSplit/>
        </w:trPr>
        <w:tc>
          <w:tcPr>
            <w:tcW w:w="3227" w:type="dxa"/>
          </w:tcPr>
          <w:p w14:paraId="113766E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573E272" w14:textId="77777777" w:rsidR="00E41A26" w:rsidRPr="00DD2F9B" w:rsidRDefault="00E76A5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E63B87" w14:textId="77777777" w:rsidTr="00812887">
        <w:trPr>
          <w:cantSplit/>
        </w:trPr>
        <w:tc>
          <w:tcPr>
            <w:tcW w:w="3227" w:type="dxa"/>
          </w:tcPr>
          <w:p w14:paraId="674476F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893F336" w14:textId="77777777" w:rsidR="002E0D61" w:rsidRPr="00DD2F9B" w:rsidRDefault="004403C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727611" w14:textId="77777777" w:rsidTr="00812887">
        <w:trPr>
          <w:cantSplit/>
        </w:trPr>
        <w:tc>
          <w:tcPr>
            <w:tcW w:w="3227" w:type="dxa"/>
          </w:tcPr>
          <w:p w14:paraId="11868CE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1D73754" w14:textId="77777777" w:rsidR="002E0D61" w:rsidRPr="00DD2F9B" w:rsidRDefault="000803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8770D28" w14:textId="77777777" w:rsidTr="00812887">
        <w:trPr>
          <w:cantSplit/>
        </w:trPr>
        <w:tc>
          <w:tcPr>
            <w:tcW w:w="3227" w:type="dxa"/>
          </w:tcPr>
          <w:p w14:paraId="0A28616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A2CEC6E" w14:textId="77777777" w:rsidR="002E0D61" w:rsidRPr="00DD2F9B" w:rsidRDefault="000803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E45008" w14:textId="77777777" w:rsidTr="00812887">
        <w:trPr>
          <w:cantSplit/>
        </w:trPr>
        <w:tc>
          <w:tcPr>
            <w:tcW w:w="3227" w:type="dxa"/>
          </w:tcPr>
          <w:p w14:paraId="4A407F2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75B3A9D" w14:textId="77777777" w:rsidR="002E0D61" w:rsidRPr="00DD2F9B" w:rsidRDefault="000803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A67AB8F" w14:textId="77777777" w:rsidTr="00812887">
        <w:trPr>
          <w:cantSplit/>
        </w:trPr>
        <w:tc>
          <w:tcPr>
            <w:tcW w:w="3227" w:type="dxa"/>
          </w:tcPr>
          <w:p w14:paraId="5EDF292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23BC7AB" w14:textId="77777777" w:rsidR="00386093" w:rsidRPr="00DD2F9B" w:rsidRDefault="00D36AC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CC80FAC" w14:textId="77777777" w:rsidTr="00812887">
        <w:trPr>
          <w:cantSplit/>
        </w:trPr>
        <w:tc>
          <w:tcPr>
            <w:tcW w:w="3227" w:type="dxa"/>
          </w:tcPr>
          <w:p w14:paraId="362D6EE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8039717" w14:textId="77777777" w:rsidR="00386093" w:rsidRPr="00DD2F9B" w:rsidRDefault="00D36AC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20DE37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DB5B7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57C228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F50AFF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9026" w:type="dxa"/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1208"/>
        <w:gridCol w:w="832"/>
        <w:gridCol w:w="2826"/>
        <w:gridCol w:w="832"/>
        <w:gridCol w:w="832"/>
        <w:gridCol w:w="832"/>
        <w:gridCol w:w="832"/>
        <w:gridCol w:w="832"/>
      </w:tblGrid>
      <w:tr w:rsidR="00675EDA" w14:paraId="69801132" w14:textId="77777777" w:rsidTr="00D87040"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2953EA0" w14:textId="77777777" w:rsidR="00675EDA" w:rsidRDefault="00675EDA">
            <w:pPr>
              <w:spacing w:after="0"/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Conclusion: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2902897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F71DFA0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E9CF4DC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66A96E1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22B126D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96EAD85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03C3EC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6AEAAF17" w14:textId="77777777" w:rsidTr="00624C82"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BA85391" w14:textId="645F0DF6" w:rsidR="00675EDA" w:rsidRDefault="00675ED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 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Adverse effects in human case study: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39ACBA1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4828CD2" w14:textId="77777777" w:rsidR="00675EDA" w:rsidRDefault="00675ED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612A03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9560C7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6AE61CD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4DBC71AE" w14:textId="77777777" w:rsidTr="00104ADA"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37B10F8" w14:textId="37E604DB" w:rsidR="00675EDA" w:rsidRDefault="00675ED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≤1000 mg/kg: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346FE57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no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598405F" w14:textId="77777777" w:rsidR="00675EDA" w:rsidRDefault="00675ED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CEA6484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71ED3EC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4B4F8E0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15CCE708" w14:textId="77777777" w:rsidTr="00D2362F"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7F2743A" w14:textId="4CC9D6CA" w:rsidR="00675EDA" w:rsidRDefault="00675ED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Dermal repeat-dose NOAEL ≤200 mg/kg: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B61B342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26AAD1" w14:textId="77777777" w:rsidR="00675EDA" w:rsidRDefault="00675ED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C73E479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510D9EA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6284A578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0436098A" w14:textId="77777777" w:rsidTr="00880BB1"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A5D1BF9" w14:textId="6071F3F6" w:rsidR="00675EDA" w:rsidRDefault="00675ED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&lt;10: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06EDD6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1DEDE12" w14:textId="77777777" w:rsidR="00675EDA" w:rsidRDefault="00675ED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FA1C46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F1B968F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06BD779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0EDC3624" w14:textId="77777777" w:rsidTr="0065097D"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F6B99B2" w14:textId="6D24D738" w:rsidR="00675EDA" w:rsidRDefault="00675EDA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 xml:space="preserve"> dermal absorption rate &gt;10%: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DF416EF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8209D6D" w14:textId="77777777" w:rsidR="00675EDA" w:rsidRDefault="00675ED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64426D4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F9270C1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7FFC5880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5E8F8A4C" w14:textId="77777777" w:rsidTr="00416217">
        <w:tc>
          <w:tcPr>
            <w:tcW w:w="4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0AC190C8" w14:textId="129090F1" w:rsidR="00675EDA" w:rsidRDefault="00675ED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Estimated dermal exposure at WES &gt;10%: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EDBF1DE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6DAA7BE" w14:textId="77777777" w:rsidR="00675EDA" w:rsidRDefault="00675EDA">
            <w:pPr>
              <w:rPr>
                <w:rFonts w:ascii="Segoe UI" w:hAnsi="Segoe UI" w:cs="Segoe UI"/>
                <w:color w:val="C5D9F1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D61F28C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11A2CC7D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2D8B92E8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</w:tr>
      <w:tr w:rsidR="00675EDA" w14:paraId="44BBB1A1" w14:textId="77777777" w:rsidTr="00D87040"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3B97268" w14:textId="77777777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3C66CFBB" w14:textId="4AB3EDCB" w:rsidR="00675EDA" w:rsidRDefault="00675EDA">
            <w:pPr>
              <w:rPr>
                <w:rFonts w:ascii="Segoe UI" w:hAnsi="Segoe UI" w:cs="Segoe UI"/>
                <w:color w:val="000000"/>
                <w:sz w:val="18"/>
                <w:szCs w:val="18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F3C0B81" w14:textId="77777777" w:rsidR="00675EDA" w:rsidRDefault="00675EDA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4D923425" w14:textId="77777777" w:rsidR="00675EDA" w:rsidRDefault="00675EDA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5D9F1"/>
            <w:noWrap/>
            <w:vAlign w:val="center"/>
            <w:hideMark/>
          </w:tcPr>
          <w:p w14:paraId="524BE5CC" w14:textId="1B2AD951" w:rsidR="00675EDA" w:rsidRDefault="00675EDA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</w:rPr>
              <w:t> 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</w:rPr>
              <w:t>a skin notation is not warranted</w:t>
            </w:r>
          </w:p>
        </w:tc>
      </w:tr>
    </w:tbl>
    <w:bookmarkEnd w:id="3"/>
    <w:p w14:paraId="3ADA900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1B4556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DD4014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9411AF6" w14:textId="77777777" w:rsidR="00EB3D1B" w:rsidRDefault="00CC103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E3D9BB4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41AF1F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C8AF3D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B9B329" w14:textId="77777777" w:rsidR="001B79E5" w:rsidRDefault="00CE18FB" w:rsidP="001B79E5">
                <w:pPr>
                  <w:pStyle w:val="Tablefont"/>
                </w:pPr>
                <w:r>
                  <w:t>138.6</w:t>
                </w:r>
              </w:p>
            </w:tc>
          </w:sdtContent>
        </w:sdt>
      </w:tr>
      <w:tr w:rsidR="00A31D99" w:rsidRPr="004C23F4" w14:paraId="3A7082B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C0F11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CEEA65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4652ED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5487C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E954C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20E3F7" w14:textId="77777777" w:rsidTr="00EA6243">
        <w:trPr>
          <w:cantSplit/>
        </w:trPr>
        <w:tc>
          <w:tcPr>
            <w:tcW w:w="4077" w:type="dxa"/>
            <w:vAlign w:val="center"/>
          </w:tcPr>
          <w:p w14:paraId="28C2562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6F050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39C929" w14:textId="77777777" w:rsidTr="00EA6243">
        <w:trPr>
          <w:cantSplit/>
        </w:trPr>
        <w:tc>
          <w:tcPr>
            <w:tcW w:w="4077" w:type="dxa"/>
            <w:vAlign w:val="center"/>
          </w:tcPr>
          <w:p w14:paraId="60D64F5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ADFFC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B292CB8" w14:textId="77777777" w:rsidTr="00EA6243">
        <w:trPr>
          <w:cantSplit/>
        </w:trPr>
        <w:tc>
          <w:tcPr>
            <w:tcW w:w="4077" w:type="dxa"/>
            <w:vAlign w:val="center"/>
          </w:tcPr>
          <w:p w14:paraId="51E7044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69B3411" w14:textId="77777777" w:rsidR="00E06F40" w:rsidRPr="00A006A0" w:rsidRDefault="002A642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5A55FB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CA866A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454E2C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78C4E6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3C3EA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3783A4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661065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93D1FE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8FCDAF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7685872" w14:textId="77777777" w:rsidR="0008035D" w:rsidRPr="00351FE0" w:rsidRDefault="0008035D" w:rsidP="00084859">
      <w:r w:rsidRPr="002022B6">
        <w:t>Health Council of the Netherlands</w:t>
      </w:r>
      <w:r>
        <w:t xml:space="preserve"> (HCOTN) (</w:t>
      </w:r>
      <w:r w:rsidR="00CE18FB">
        <w:t>2001</w:t>
      </w:r>
      <w:r>
        <w:t xml:space="preserve">) </w:t>
      </w:r>
      <w:r w:rsidR="00CE18FB">
        <w:t>o-</w:t>
      </w:r>
      <w:proofErr w:type="spellStart"/>
      <w:r w:rsidR="00CE18FB">
        <w:t>Chlorostyrene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="000572BE">
        <w:t>2000/15OSH/020</w:t>
      </w:r>
      <w:r>
        <w:t>.</w:t>
      </w:r>
    </w:p>
    <w:sectPr w:rsidR="0008035D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3C009" w14:textId="77777777" w:rsidR="00301A3B" w:rsidRDefault="00301A3B" w:rsidP="00F43AD5">
      <w:pPr>
        <w:spacing w:after="0" w:line="240" w:lineRule="auto"/>
      </w:pPr>
      <w:r>
        <w:separator/>
      </w:r>
    </w:p>
  </w:endnote>
  <w:endnote w:type="continuationSeparator" w:id="0">
    <w:p w14:paraId="01CC3722" w14:textId="77777777" w:rsidR="00301A3B" w:rsidRDefault="00301A3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E096FE" w14:textId="77777777" w:rsidR="008A36CF" w:rsidRDefault="00661E8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o-</w:t>
        </w:r>
        <w:proofErr w:type="spellStart"/>
        <w:r>
          <w:rPr>
            <w:b/>
            <w:sz w:val="18"/>
            <w:szCs w:val="18"/>
          </w:rPr>
          <w:t>Chlorostyrene</w:t>
        </w:r>
        <w:proofErr w:type="spellEnd"/>
        <w:r>
          <w:rPr>
            <w:b/>
            <w:sz w:val="18"/>
            <w:szCs w:val="18"/>
          </w:rPr>
          <w:t xml:space="preserve"> </w:t>
        </w:r>
        <w:r w:rsidR="008A36CF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2039-87-4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60D5FA5" w14:textId="2FC5408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05C7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68BCC" w14:textId="77777777" w:rsidR="00301A3B" w:rsidRDefault="00301A3B" w:rsidP="00F43AD5">
      <w:pPr>
        <w:spacing w:after="0" w:line="240" w:lineRule="auto"/>
      </w:pPr>
      <w:r>
        <w:separator/>
      </w:r>
    </w:p>
  </w:footnote>
  <w:footnote w:type="continuationSeparator" w:id="0">
    <w:p w14:paraId="1E582218" w14:textId="77777777" w:rsidR="00301A3B" w:rsidRDefault="00301A3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BB4A4" w14:textId="17B7B261" w:rsidR="008A36CF" w:rsidRDefault="00B05C73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E2C1686" wp14:editId="1C68D53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0F4BF" w14:textId="0B35ED94" w:rsidR="00B05C73" w:rsidRDefault="00B05C73" w:rsidP="00B05C73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4A0014" wp14:editId="7BF1DE0C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C6F712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8B4A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884100"/>
    <w:multiLevelType w:val="hybridMultilevel"/>
    <w:tmpl w:val="CAE8E1C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B735E3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num w:numId="1" w16cid:durableId="351996694">
    <w:abstractNumId w:val="0"/>
  </w:num>
  <w:num w:numId="2" w16cid:durableId="1181357704">
    <w:abstractNumId w:val="0"/>
  </w:num>
  <w:num w:numId="3" w16cid:durableId="628827448">
    <w:abstractNumId w:val="1"/>
  </w:num>
  <w:num w:numId="4" w16cid:durableId="13394316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572BE"/>
    <w:rsid w:val="000576AB"/>
    <w:rsid w:val="00060B48"/>
    <w:rsid w:val="00067F32"/>
    <w:rsid w:val="00071807"/>
    <w:rsid w:val="0008035D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C7B"/>
    <w:rsid w:val="000D291C"/>
    <w:rsid w:val="000D4CAA"/>
    <w:rsid w:val="000E5A54"/>
    <w:rsid w:val="000E63D3"/>
    <w:rsid w:val="000E67CF"/>
    <w:rsid w:val="000F0419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124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577"/>
    <w:rsid w:val="00224EE2"/>
    <w:rsid w:val="00227EC7"/>
    <w:rsid w:val="00244AD1"/>
    <w:rsid w:val="002463BC"/>
    <w:rsid w:val="002465CE"/>
    <w:rsid w:val="00253992"/>
    <w:rsid w:val="0025734A"/>
    <w:rsid w:val="00263255"/>
    <w:rsid w:val="00270543"/>
    <w:rsid w:val="00276494"/>
    <w:rsid w:val="00277B0C"/>
    <w:rsid w:val="002A642B"/>
    <w:rsid w:val="002B1A2C"/>
    <w:rsid w:val="002C34F2"/>
    <w:rsid w:val="002C58FF"/>
    <w:rsid w:val="002C7AFE"/>
    <w:rsid w:val="002D05D2"/>
    <w:rsid w:val="002E0D61"/>
    <w:rsid w:val="002E4C7B"/>
    <w:rsid w:val="002E5FB5"/>
    <w:rsid w:val="00301A3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4B74"/>
    <w:rsid w:val="00386093"/>
    <w:rsid w:val="003904A4"/>
    <w:rsid w:val="00391841"/>
    <w:rsid w:val="00391AD5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34EF"/>
    <w:rsid w:val="004030BC"/>
    <w:rsid w:val="00403F7D"/>
    <w:rsid w:val="00406785"/>
    <w:rsid w:val="004079B4"/>
    <w:rsid w:val="00417A56"/>
    <w:rsid w:val="00420957"/>
    <w:rsid w:val="00422A10"/>
    <w:rsid w:val="0042475C"/>
    <w:rsid w:val="00430179"/>
    <w:rsid w:val="004301B1"/>
    <w:rsid w:val="00432BDD"/>
    <w:rsid w:val="004377C7"/>
    <w:rsid w:val="004403C3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049"/>
    <w:rsid w:val="00474E33"/>
    <w:rsid w:val="00476803"/>
    <w:rsid w:val="00476A07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5AF0"/>
    <w:rsid w:val="004D16A3"/>
    <w:rsid w:val="004D4AA1"/>
    <w:rsid w:val="004D6D68"/>
    <w:rsid w:val="004E1B2D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0DD3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07A2"/>
    <w:rsid w:val="006013C1"/>
    <w:rsid w:val="0060669E"/>
    <w:rsid w:val="00610F2E"/>
    <w:rsid w:val="00611399"/>
    <w:rsid w:val="006158E3"/>
    <w:rsid w:val="00624C4E"/>
    <w:rsid w:val="00625200"/>
    <w:rsid w:val="006363A8"/>
    <w:rsid w:val="00636DB7"/>
    <w:rsid w:val="006454AB"/>
    <w:rsid w:val="00650905"/>
    <w:rsid w:val="006532ED"/>
    <w:rsid w:val="006549F2"/>
    <w:rsid w:val="006567B7"/>
    <w:rsid w:val="00657BFB"/>
    <w:rsid w:val="00661E8F"/>
    <w:rsid w:val="0066333C"/>
    <w:rsid w:val="006639B4"/>
    <w:rsid w:val="006650FE"/>
    <w:rsid w:val="00666ACA"/>
    <w:rsid w:val="0067305D"/>
    <w:rsid w:val="00673BE4"/>
    <w:rsid w:val="00675EDA"/>
    <w:rsid w:val="00677D9B"/>
    <w:rsid w:val="006867F3"/>
    <w:rsid w:val="00687890"/>
    <w:rsid w:val="006901A2"/>
    <w:rsid w:val="00690368"/>
    <w:rsid w:val="0069079C"/>
    <w:rsid w:val="00690B53"/>
    <w:rsid w:val="00695B72"/>
    <w:rsid w:val="006A5D54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0B"/>
    <w:rsid w:val="00750212"/>
    <w:rsid w:val="00754779"/>
    <w:rsid w:val="0075716D"/>
    <w:rsid w:val="007632D7"/>
    <w:rsid w:val="00765F14"/>
    <w:rsid w:val="00770E31"/>
    <w:rsid w:val="007770F1"/>
    <w:rsid w:val="00783FB1"/>
    <w:rsid w:val="00785CDD"/>
    <w:rsid w:val="00791847"/>
    <w:rsid w:val="00792011"/>
    <w:rsid w:val="007925F0"/>
    <w:rsid w:val="007939B3"/>
    <w:rsid w:val="0079509C"/>
    <w:rsid w:val="00796708"/>
    <w:rsid w:val="007A3019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192"/>
    <w:rsid w:val="00800E36"/>
    <w:rsid w:val="00804F5A"/>
    <w:rsid w:val="00810C6D"/>
    <w:rsid w:val="00812887"/>
    <w:rsid w:val="00824FC6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58CC"/>
    <w:rsid w:val="008768A8"/>
    <w:rsid w:val="00877B3F"/>
    <w:rsid w:val="0088798F"/>
    <w:rsid w:val="00887E4B"/>
    <w:rsid w:val="008915C8"/>
    <w:rsid w:val="008A0361"/>
    <w:rsid w:val="008A36CF"/>
    <w:rsid w:val="008A3BC4"/>
    <w:rsid w:val="008B0DD3"/>
    <w:rsid w:val="008B403C"/>
    <w:rsid w:val="008B7661"/>
    <w:rsid w:val="008B7983"/>
    <w:rsid w:val="008C2511"/>
    <w:rsid w:val="008D026D"/>
    <w:rsid w:val="008D1234"/>
    <w:rsid w:val="008D23AB"/>
    <w:rsid w:val="008D4B8B"/>
    <w:rsid w:val="008D5A78"/>
    <w:rsid w:val="008E3ED6"/>
    <w:rsid w:val="008E7B64"/>
    <w:rsid w:val="008F5DCD"/>
    <w:rsid w:val="00900951"/>
    <w:rsid w:val="009118A6"/>
    <w:rsid w:val="009153E1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399F"/>
    <w:rsid w:val="00A16D91"/>
    <w:rsid w:val="00A174CC"/>
    <w:rsid w:val="00A2073D"/>
    <w:rsid w:val="00A20751"/>
    <w:rsid w:val="00A222DE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7F98"/>
    <w:rsid w:val="00AB2672"/>
    <w:rsid w:val="00AB2817"/>
    <w:rsid w:val="00AB43C4"/>
    <w:rsid w:val="00AC32E7"/>
    <w:rsid w:val="00AC3A9F"/>
    <w:rsid w:val="00AC4269"/>
    <w:rsid w:val="00AC6D2F"/>
    <w:rsid w:val="00AE2745"/>
    <w:rsid w:val="00AE2F64"/>
    <w:rsid w:val="00AF42CB"/>
    <w:rsid w:val="00AF483F"/>
    <w:rsid w:val="00AF5E07"/>
    <w:rsid w:val="00AF5F06"/>
    <w:rsid w:val="00B00A25"/>
    <w:rsid w:val="00B05C73"/>
    <w:rsid w:val="00B1422A"/>
    <w:rsid w:val="00B1765C"/>
    <w:rsid w:val="00B213C4"/>
    <w:rsid w:val="00B22F7C"/>
    <w:rsid w:val="00B40C60"/>
    <w:rsid w:val="00B479A9"/>
    <w:rsid w:val="00B52EDF"/>
    <w:rsid w:val="00B71188"/>
    <w:rsid w:val="00B7321A"/>
    <w:rsid w:val="00B76A41"/>
    <w:rsid w:val="00B87D4C"/>
    <w:rsid w:val="00B93646"/>
    <w:rsid w:val="00BA0B38"/>
    <w:rsid w:val="00BA1DBB"/>
    <w:rsid w:val="00BA4510"/>
    <w:rsid w:val="00BA529A"/>
    <w:rsid w:val="00BB612A"/>
    <w:rsid w:val="00BB6505"/>
    <w:rsid w:val="00BC76D9"/>
    <w:rsid w:val="00BD499F"/>
    <w:rsid w:val="00BD56DE"/>
    <w:rsid w:val="00BF2406"/>
    <w:rsid w:val="00BF7A92"/>
    <w:rsid w:val="00C06E43"/>
    <w:rsid w:val="00C16315"/>
    <w:rsid w:val="00C2519F"/>
    <w:rsid w:val="00C3091E"/>
    <w:rsid w:val="00C40FF1"/>
    <w:rsid w:val="00C419E2"/>
    <w:rsid w:val="00C446DC"/>
    <w:rsid w:val="00C5020E"/>
    <w:rsid w:val="00C57452"/>
    <w:rsid w:val="00C61EDF"/>
    <w:rsid w:val="00C6239D"/>
    <w:rsid w:val="00C63184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030"/>
    <w:rsid w:val="00CC1A68"/>
    <w:rsid w:val="00CC2123"/>
    <w:rsid w:val="00CD2BFD"/>
    <w:rsid w:val="00CE18FB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48E9"/>
    <w:rsid w:val="00D36ACB"/>
    <w:rsid w:val="00D44C89"/>
    <w:rsid w:val="00D516CD"/>
    <w:rsid w:val="00D668E6"/>
    <w:rsid w:val="00D70670"/>
    <w:rsid w:val="00D74D80"/>
    <w:rsid w:val="00D76624"/>
    <w:rsid w:val="00D87040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6E3"/>
    <w:rsid w:val="00E46BCB"/>
    <w:rsid w:val="00E51CAF"/>
    <w:rsid w:val="00E60F04"/>
    <w:rsid w:val="00E62AAC"/>
    <w:rsid w:val="00E67921"/>
    <w:rsid w:val="00E67C2F"/>
    <w:rsid w:val="00E67EF5"/>
    <w:rsid w:val="00E76A50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1B3B"/>
    <w:rsid w:val="00EB3D1B"/>
    <w:rsid w:val="00EC5673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173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3CBA6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E3ED6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C76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76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76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1B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1B2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287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002"/>
    <w:rsid w:val="000D4CAA"/>
    <w:rsid w:val="00253992"/>
    <w:rsid w:val="0039099A"/>
    <w:rsid w:val="003F1CA4"/>
    <w:rsid w:val="004F7A74"/>
    <w:rsid w:val="006E79E4"/>
    <w:rsid w:val="00BD65FB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099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C7A2514-A4AA-4D68-B9A6-DE665869446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60F70A-D1A4-46E3-83CD-FEA4F70043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0509f21-ed56-4150-9955-96be669e5f2d"/>
    <ds:schemaRef ds:uri="http://schemas.microsoft.com/office/infopath/2007/PartnerControls"/>
    <ds:schemaRef ds:uri="1c567317-0c4d-4a62-8516-c22afd1b535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5</Pages>
  <Words>833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50</cp:revision>
  <cp:lastPrinted>2018-10-22T22:41:00Z</cp:lastPrinted>
  <dcterms:created xsi:type="dcterms:W3CDTF">2019-04-14T23:55:00Z</dcterms:created>
  <dcterms:modified xsi:type="dcterms:W3CDTF">2026-01-09T00:57:00Z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2025-12-18T06:09:47Z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4b309009-029d-44be-9a29-5015039db5dd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