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30F4698" w14:textId="5E0AD184" w:rsidR="00BD499F" w:rsidRPr="00661FA0" w:rsidRDefault="004A0682" w:rsidP="00B40C60">
          <w:pPr>
            <w:pStyle w:val="Heading1"/>
            <w:jc w:val="center"/>
            <w:rPr>
              <w:rFonts w:ascii="Arial" w:hAnsi="Arial" w:cs="Arial"/>
            </w:rPr>
          </w:pPr>
          <w:r w:rsidRPr="00661FA0">
            <w:rPr>
              <w:rFonts w:ascii="Arial" w:hAnsi="Arial" w:cs="Arial"/>
            </w:rPr>
            <w:t>o-</w:t>
          </w:r>
          <w:r w:rsidR="000433DB" w:rsidRPr="00661FA0">
            <w:rPr>
              <w:rFonts w:ascii="Arial" w:hAnsi="Arial" w:cs="Arial"/>
            </w:rPr>
            <w:t>C</w:t>
          </w:r>
          <w:r w:rsidRPr="00661FA0">
            <w:rPr>
              <w:rFonts w:ascii="Arial" w:hAnsi="Arial" w:cs="Arial"/>
            </w:rPr>
            <w:t>hlorobenzylidene malononitrile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4"/>
        <w:gridCol w:w="5062"/>
      </w:tblGrid>
      <w:tr w:rsidR="00F43AD5" w:rsidRPr="00661FA0" w14:paraId="4FCE2961" w14:textId="77777777" w:rsidTr="00B76A41">
        <w:trPr>
          <w:cantSplit/>
          <w:tblHeader/>
        </w:trPr>
        <w:tc>
          <w:tcPr>
            <w:tcW w:w="4077" w:type="dxa"/>
          </w:tcPr>
          <w:p w14:paraId="1C140399" w14:textId="77777777" w:rsidR="00F43AD5" w:rsidRPr="00661FA0" w:rsidRDefault="00CB1CB1" w:rsidP="00B76A41">
            <w:pPr>
              <w:pStyle w:val="Tablerowright"/>
            </w:pPr>
            <w:r w:rsidRPr="00661FA0">
              <w:t>CAS number:</w:t>
            </w:r>
          </w:p>
        </w:tc>
        <w:tc>
          <w:tcPr>
            <w:tcW w:w="5165" w:type="dxa"/>
          </w:tcPr>
          <w:p w14:paraId="46DAB7E8" w14:textId="77777777" w:rsidR="00F43AD5" w:rsidRPr="00661FA0" w:rsidRDefault="00861EC4" w:rsidP="00B76A41">
            <w:pPr>
              <w:pStyle w:val="Tablefont"/>
            </w:pPr>
            <w:r w:rsidRPr="00661FA0">
              <w:t>2698-41-1</w:t>
            </w:r>
          </w:p>
        </w:tc>
      </w:tr>
      <w:tr w:rsidR="00F43AD5" w:rsidRPr="001F27EB" w14:paraId="5D10ED34" w14:textId="77777777" w:rsidTr="00B76A41">
        <w:trPr>
          <w:cantSplit/>
        </w:trPr>
        <w:tc>
          <w:tcPr>
            <w:tcW w:w="4077" w:type="dxa"/>
          </w:tcPr>
          <w:p w14:paraId="33164FDF" w14:textId="77777777" w:rsidR="00F43AD5" w:rsidRPr="00661FA0" w:rsidRDefault="00CB1CB1" w:rsidP="00B76A41">
            <w:pPr>
              <w:pStyle w:val="Tablerowright"/>
            </w:pPr>
            <w:r w:rsidRPr="00661FA0">
              <w:t>Synonyms:</w:t>
            </w:r>
          </w:p>
        </w:tc>
        <w:tc>
          <w:tcPr>
            <w:tcW w:w="5165" w:type="dxa"/>
          </w:tcPr>
          <w:p w14:paraId="7A02EB7C" w14:textId="2D29B3F9" w:rsidR="00F43AD5" w:rsidRPr="003B1DB3" w:rsidRDefault="00861EC4" w:rsidP="000433DB">
            <w:pPr>
              <w:pStyle w:val="Tablefont"/>
              <w:rPr>
                <w:rFonts w:ascii="TimesNewRoman" w:hAnsi="TimesNewRoman" w:cs="TimesNewRoman"/>
                <w:sz w:val="16"/>
                <w:szCs w:val="16"/>
                <w:lang w:val="it-IT"/>
              </w:rPr>
            </w:pPr>
            <w:r w:rsidRPr="003B1DB3">
              <w:rPr>
                <w:lang w:val="it-IT"/>
              </w:rPr>
              <w:t>o-</w:t>
            </w:r>
            <w:r w:rsidR="00555CDA" w:rsidRPr="003B1DB3">
              <w:rPr>
                <w:lang w:val="it-IT"/>
              </w:rPr>
              <w:t>chlorobenzalmalonitrile</w:t>
            </w:r>
            <w:r w:rsidRPr="003B1DB3">
              <w:rPr>
                <w:lang w:val="it-IT"/>
              </w:rPr>
              <w:t>, CS, OCBM</w:t>
            </w:r>
            <w:r w:rsidR="00866138" w:rsidRPr="003B1DB3">
              <w:rPr>
                <w:lang w:val="it-IT"/>
              </w:rPr>
              <w:t xml:space="preserve">, </w:t>
            </w:r>
            <w:r w:rsidR="00132F78" w:rsidRPr="003B1DB3">
              <w:rPr>
                <w:lang w:val="it-IT"/>
              </w:rPr>
              <w:br/>
            </w:r>
            <w:r w:rsidR="00866138" w:rsidRPr="003B1DB3">
              <w:rPr>
                <w:lang w:val="it-IT"/>
              </w:rPr>
              <w:t xml:space="preserve">(o- chlorobenzal)malononitrile, </w:t>
            </w:r>
            <w:r w:rsidR="00132F78" w:rsidRPr="003B1DB3">
              <w:rPr>
                <w:lang w:val="it-IT"/>
              </w:rPr>
              <w:br/>
            </w:r>
            <w:r w:rsidR="00866138" w:rsidRPr="003B1DB3">
              <w:rPr>
                <w:lang w:val="it-IT"/>
              </w:rPr>
              <w:t xml:space="preserve">2-chlorobenzylidene malononitrile, </w:t>
            </w:r>
            <w:r w:rsidR="00132F78" w:rsidRPr="003B1DB3">
              <w:rPr>
                <w:lang w:val="it-IT"/>
              </w:rPr>
              <w:br/>
            </w:r>
            <w:r w:rsidR="00866138" w:rsidRPr="003B1DB3">
              <w:rPr>
                <w:lang w:val="it-IT"/>
              </w:rPr>
              <w:t>ß,ß-dicyano-o-chlorostyrene</w:t>
            </w:r>
          </w:p>
        </w:tc>
      </w:tr>
      <w:tr w:rsidR="00F43AD5" w:rsidRPr="00661FA0" w14:paraId="6F54F7AE" w14:textId="77777777" w:rsidTr="00B76A41">
        <w:trPr>
          <w:cantSplit/>
        </w:trPr>
        <w:tc>
          <w:tcPr>
            <w:tcW w:w="4077" w:type="dxa"/>
          </w:tcPr>
          <w:p w14:paraId="6D68D927" w14:textId="77777777" w:rsidR="00F43AD5" w:rsidRPr="00661FA0" w:rsidRDefault="00CB1CB1" w:rsidP="00B76A41">
            <w:pPr>
              <w:pStyle w:val="Tablerowright"/>
            </w:pPr>
            <w:r w:rsidRPr="00661FA0">
              <w:t>Chemical formula:</w:t>
            </w:r>
          </w:p>
        </w:tc>
        <w:tc>
          <w:tcPr>
            <w:tcW w:w="5165" w:type="dxa"/>
          </w:tcPr>
          <w:p w14:paraId="6A5F9145" w14:textId="77777777" w:rsidR="00F43AD5" w:rsidRPr="00661FA0" w:rsidRDefault="00861EC4" w:rsidP="00B76A41">
            <w:pPr>
              <w:pStyle w:val="Tablefont"/>
            </w:pPr>
            <w:r w:rsidRPr="00661FA0">
              <w:t>C</w:t>
            </w:r>
            <w:r w:rsidRPr="00661FA0">
              <w:rPr>
                <w:vertAlign w:val="subscript"/>
              </w:rPr>
              <w:t>10</w:t>
            </w:r>
            <w:r w:rsidRPr="00661FA0">
              <w:t>H</w:t>
            </w:r>
            <w:r w:rsidRPr="00661FA0">
              <w:rPr>
                <w:vertAlign w:val="subscript"/>
              </w:rPr>
              <w:t>5</w:t>
            </w:r>
            <w:r w:rsidRPr="00661FA0">
              <w:t>ClN</w:t>
            </w:r>
            <w:r w:rsidRPr="00661FA0">
              <w:rPr>
                <w:vertAlign w:val="subscript"/>
              </w:rPr>
              <w:t>2</w:t>
            </w:r>
          </w:p>
        </w:tc>
      </w:tr>
      <w:tr w:rsidR="00F43AD5" w:rsidRPr="00661FA0" w14:paraId="04FC56A1" w14:textId="77777777" w:rsidTr="00B76A41">
        <w:trPr>
          <w:cantSplit/>
        </w:trPr>
        <w:tc>
          <w:tcPr>
            <w:tcW w:w="4077" w:type="dxa"/>
          </w:tcPr>
          <w:p w14:paraId="29AEB277" w14:textId="77777777" w:rsidR="00F43AD5" w:rsidRPr="00661FA0" w:rsidRDefault="00CB1CB1" w:rsidP="00B76A41">
            <w:pPr>
              <w:pStyle w:val="Tablerowright"/>
            </w:pPr>
            <w:r w:rsidRPr="00661FA0">
              <w:t>Structural formula:</w:t>
            </w:r>
          </w:p>
        </w:tc>
        <w:tc>
          <w:tcPr>
            <w:tcW w:w="5165" w:type="dxa"/>
          </w:tcPr>
          <w:p w14:paraId="2E015A92" w14:textId="77777777" w:rsidR="00F43AD5" w:rsidRPr="00661FA0" w:rsidRDefault="00585809" w:rsidP="00B76A41">
            <w:pPr>
              <w:pStyle w:val="Tablerowheading"/>
              <w:rPr>
                <w:b w:val="0"/>
              </w:rPr>
            </w:pPr>
            <w:r w:rsidRPr="00661FA0">
              <w:rPr>
                <w:b w:val="0"/>
              </w:rPr>
              <w:t>—</w:t>
            </w:r>
          </w:p>
        </w:tc>
      </w:tr>
    </w:tbl>
    <w:p w14:paraId="5F940BD1" w14:textId="2EAB7E01" w:rsidR="00AE2745" w:rsidRPr="00661FA0" w:rsidRDefault="00AE2745" w:rsidP="00AE2745">
      <w:pPr>
        <w:pStyle w:val="WES"/>
        <w:tabs>
          <w:tab w:val="left" w:pos="2041"/>
        </w:tabs>
      </w:pPr>
      <w:r w:rsidRPr="00661FA0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77B16" w:rsidRPr="00661FA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661FA0" w14:paraId="363DDCCC" w14:textId="77777777" w:rsidTr="00585809">
        <w:trPr>
          <w:cantSplit/>
          <w:tblHeader/>
        </w:trPr>
        <w:tc>
          <w:tcPr>
            <w:tcW w:w="4010" w:type="dxa"/>
            <w:vAlign w:val="center"/>
          </w:tcPr>
          <w:p w14:paraId="4D964D02" w14:textId="77777777" w:rsidR="002C7AFE" w:rsidRPr="00661FA0" w:rsidRDefault="00921DE7" w:rsidP="00921DE7">
            <w:pPr>
              <w:pStyle w:val="Tablerowright"/>
            </w:pPr>
            <w:r w:rsidRPr="00661FA0">
              <w:t>TWA:</w:t>
            </w:r>
          </w:p>
        </w:tc>
        <w:tc>
          <w:tcPr>
            <w:tcW w:w="5016" w:type="dxa"/>
          </w:tcPr>
          <w:p w14:paraId="1A1517C7" w14:textId="054E94F2" w:rsidR="002C7AFE" w:rsidRPr="00661FA0" w:rsidRDefault="00877B16" w:rsidP="00017C82">
            <w:pPr>
              <w:pStyle w:val="Tablefont"/>
              <w:rPr>
                <w:b/>
                <w:vertAlign w:val="superscript"/>
              </w:rPr>
            </w:pPr>
            <w:r w:rsidRPr="00661FA0">
              <w:rPr>
                <w:b/>
              </w:rPr>
              <w:t>0.02 mg/m</w:t>
            </w:r>
            <w:r w:rsidRPr="00661FA0">
              <w:rPr>
                <w:b/>
                <w:vertAlign w:val="superscript"/>
              </w:rPr>
              <w:t>3</w:t>
            </w:r>
          </w:p>
        </w:tc>
      </w:tr>
      <w:tr w:rsidR="00585809" w:rsidRPr="00661FA0" w14:paraId="0C8EECB4" w14:textId="77777777" w:rsidTr="00585809">
        <w:trPr>
          <w:cantSplit/>
        </w:trPr>
        <w:tc>
          <w:tcPr>
            <w:tcW w:w="4010" w:type="dxa"/>
            <w:vAlign w:val="center"/>
          </w:tcPr>
          <w:p w14:paraId="7E4C5E17" w14:textId="77777777" w:rsidR="00585809" w:rsidRPr="00661FA0" w:rsidRDefault="00585809" w:rsidP="00585809">
            <w:pPr>
              <w:pStyle w:val="Tablerowright"/>
            </w:pPr>
            <w:r w:rsidRPr="00661FA0">
              <w:t>STEL:</w:t>
            </w:r>
          </w:p>
        </w:tc>
        <w:tc>
          <w:tcPr>
            <w:tcW w:w="5016" w:type="dxa"/>
          </w:tcPr>
          <w:p w14:paraId="52C28C58" w14:textId="77777777" w:rsidR="00585809" w:rsidRPr="00661FA0" w:rsidRDefault="00585809" w:rsidP="001749B4">
            <w:pPr>
              <w:pStyle w:val="Tablefont"/>
            </w:pPr>
            <w:r w:rsidRPr="00661FA0">
              <w:t>—</w:t>
            </w:r>
          </w:p>
        </w:tc>
      </w:tr>
      <w:tr w:rsidR="00585809" w:rsidRPr="00661FA0" w14:paraId="058B434D" w14:textId="77777777" w:rsidTr="00585809">
        <w:trPr>
          <w:cantSplit/>
        </w:trPr>
        <w:tc>
          <w:tcPr>
            <w:tcW w:w="4010" w:type="dxa"/>
            <w:vAlign w:val="center"/>
          </w:tcPr>
          <w:p w14:paraId="621B7BF9" w14:textId="77777777" w:rsidR="00585809" w:rsidRPr="00661FA0" w:rsidRDefault="00585809" w:rsidP="00585809">
            <w:pPr>
              <w:pStyle w:val="Tablerowright"/>
            </w:pPr>
            <w:r w:rsidRPr="00661FA0">
              <w:t>Peak limitation:</w:t>
            </w:r>
          </w:p>
        </w:tc>
        <w:tc>
          <w:tcPr>
            <w:tcW w:w="5016" w:type="dxa"/>
          </w:tcPr>
          <w:p w14:paraId="536FDD57" w14:textId="7C78BDF7" w:rsidR="00585809" w:rsidRPr="00661FA0" w:rsidRDefault="00F72C8C" w:rsidP="001749B4">
            <w:pPr>
              <w:pStyle w:val="Tablefont"/>
              <w:rPr>
                <w:b/>
                <w:vertAlign w:val="superscript"/>
              </w:rPr>
            </w:pPr>
            <w:r w:rsidRPr="00661FA0">
              <w:t>—</w:t>
            </w:r>
          </w:p>
        </w:tc>
      </w:tr>
      <w:tr w:rsidR="00585809" w:rsidRPr="00661FA0" w14:paraId="147FB7AC" w14:textId="77777777" w:rsidTr="00585809">
        <w:trPr>
          <w:cantSplit/>
        </w:trPr>
        <w:tc>
          <w:tcPr>
            <w:tcW w:w="4010" w:type="dxa"/>
          </w:tcPr>
          <w:p w14:paraId="4AA19BA4" w14:textId="77777777" w:rsidR="00585809" w:rsidRPr="00661FA0" w:rsidRDefault="00585809" w:rsidP="00585809">
            <w:pPr>
              <w:pStyle w:val="Tablerowright"/>
            </w:pPr>
            <w:r w:rsidRPr="00661FA0">
              <w:rPr>
                <w:b w:val="0"/>
                <w:bCs/>
                <w:color w:val="000000" w:themeColor="text1"/>
              </w:rPr>
              <w:tab/>
            </w:r>
            <w:r w:rsidRPr="00661FA0">
              <w:t>Notations:</w:t>
            </w:r>
          </w:p>
        </w:tc>
        <w:tc>
          <w:tcPr>
            <w:tcW w:w="5016" w:type="dxa"/>
          </w:tcPr>
          <w:p w14:paraId="34DCC509" w14:textId="68F01356" w:rsidR="00585809" w:rsidRPr="00661FA0" w:rsidRDefault="00403E33" w:rsidP="001749B4">
            <w:pPr>
              <w:pStyle w:val="Tablefont"/>
              <w:rPr>
                <w:b/>
              </w:rPr>
            </w:pPr>
            <w:r w:rsidRPr="00661FA0">
              <w:rPr>
                <w:b/>
              </w:rPr>
              <w:t>Sk.</w:t>
            </w:r>
          </w:p>
        </w:tc>
      </w:tr>
      <w:tr w:rsidR="00585809" w:rsidRPr="00661FA0" w14:paraId="5D79EE7D" w14:textId="77777777" w:rsidTr="00585809">
        <w:trPr>
          <w:cantSplit/>
        </w:trPr>
        <w:tc>
          <w:tcPr>
            <w:tcW w:w="4010" w:type="dxa"/>
            <w:vAlign w:val="center"/>
          </w:tcPr>
          <w:p w14:paraId="02B60D51" w14:textId="77777777" w:rsidR="00585809" w:rsidRPr="00661FA0" w:rsidRDefault="00585809" w:rsidP="00585809">
            <w:pPr>
              <w:pStyle w:val="Tablerowright"/>
            </w:pPr>
            <w:r w:rsidRPr="00661FA0">
              <w:t>IDLH:</w:t>
            </w:r>
          </w:p>
        </w:tc>
        <w:tc>
          <w:tcPr>
            <w:tcW w:w="5016" w:type="dxa"/>
          </w:tcPr>
          <w:p w14:paraId="1D298903" w14:textId="77777777" w:rsidR="00585809" w:rsidRPr="00661FA0" w:rsidRDefault="001749B4" w:rsidP="001749B4">
            <w:pPr>
              <w:pStyle w:val="Tablefont"/>
              <w:rPr>
                <w:b/>
              </w:rPr>
            </w:pPr>
            <w:r w:rsidRPr="00661FA0">
              <w:rPr>
                <w:b/>
              </w:rPr>
              <w:t>2 mg/m</w:t>
            </w:r>
            <w:r w:rsidRPr="00661FA0">
              <w:rPr>
                <w:b/>
                <w:vertAlign w:val="superscript"/>
              </w:rPr>
              <w:t>3</w:t>
            </w:r>
          </w:p>
        </w:tc>
      </w:tr>
      <w:tr w:rsidR="00585809" w:rsidRPr="00661FA0" w14:paraId="1D2C51C7" w14:textId="77777777" w:rsidTr="00E84D90">
        <w:trPr>
          <w:cantSplit/>
        </w:trPr>
        <w:tc>
          <w:tcPr>
            <w:tcW w:w="4010" w:type="dxa"/>
          </w:tcPr>
          <w:p w14:paraId="29BF1D4F" w14:textId="77777777" w:rsidR="00585809" w:rsidRPr="00661FA0" w:rsidRDefault="00585809" w:rsidP="00E84D90">
            <w:pPr>
              <w:pStyle w:val="Tablerowright"/>
            </w:pPr>
            <w:r w:rsidRPr="00661FA0">
              <w:t>Sampling and analysis:</w:t>
            </w:r>
          </w:p>
        </w:tc>
        <w:tc>
          <w:tcPr>
            <w:tcW w:w="5016" w:type="dxa"/>
          </w:tcPr>
          <w:p w14:paraId="23D428C2" w14:textId="4BED3FCF" w:rsidR="00585809" w:rsidRPr="00661FA0" w:rsidRDefault="00371F8B" w:rsidP="00536E27">
            <w:pPr>
              <w:pStyle w:val="Tablefont"/>
            </w:pPr>
            <w:r w:rsidRPr="00661FA0">
              <w:t xml:space="preserve">The recommended value is quantifiable through available sampling and analysis techniques. </w:t>
            </w:r>
          </w:p>
        </w:tc>
      </w:tr>
    </w:tbl>
    <w:p w14:paraId="4849F4B7" w14:textId="77777777" w:rsidR="00CB1CB1" w:rsidRPr="00661FA0" w:rsidRDefault="00F10C97" w:rsidP="003365A5">
      <w:pPr>
        <w:pStyle w:val="Heading2"/>
      </w:pPr>
      <w:r w:rsidRPr="00661FA0">
        <w:t>Recommendation and basis for workplace exposure standard</w:t>
      </w:r>
    </w:p>
    <w:p w14:paraId="583DFDE0" w14:textId="38B41787" w:rsidR="006639B4" w:rsidRPr="00661FA0" w:rsidRDefault="00877B16" w:rsidP="000C139A">
      <w:pPr>
        <w:rPr>
          <w:rFonts w:cs="Arial"/>
        </w:rPr>
      </w:pPr>
      <w:r w:rsidRPr="00661FA0">
        <w:rPr>
          <w:rFonts w:cs="Arial"/>
        </w:rPr>
        <w:t>A TWA of 0.02 mg/m</w:t>
      </w:r>
      <w:r w:rsidRPr="00661FA0">
        <w:rPr>
          <w:rFonts w:cs="Arial"/>
          <w:vertAlign w:val="superscript"/>
        </w:rPr>
        <w:t>3</w:t>
      </w:r>
      <w:r w:rsidRPr="00661FA0">
        <w:rPr>
          <w:rFonts w:cs="Arial"/>
        </w:rPr>
        <w:t xml:space="preserve"> is recommended to protect for respiratory tract</w:t>
      </w:r>
      <w:r w:rsidR="00BC1FA8" w:rsidRPr="00661FA0">
        <w:rPr>
          <w:rFonts w:cs="Arial"/>
        </w:rPr>
        <w:t xml:space="preserve"> irritation</w:t>
      </w:r>
      <w:r w:rsidRPr="00661FA0">
        <w:rPr>
          <w:rFonts w:cs="Arial"/>
        </w:rPr>
        <w:t xml:space="preserve"> in exposed workers.</w:t>
      </w:r>
    </w:p>
    <w:p w14:paraId="192C8335" w14:textId="628E8D2F" w:rsidR="00877B16" w:rsidRPr="00661FA0" w:rsidRDefault="00AA30AE" w:rsidP="000C139A">
      <w:pPr>
        <w:rPr>
          <w:rFonts w:cs="Arial"/>
        </w:rPr>
      </w:pPr>
      <w:r w:rsidRPr="00661FA0">
        <w:rPr>
          <w:rFonts w:cs="Arial"/>
        </w:rPr>
        <w:t>The recommended TWA is considered sufficiently low to protect for</w:t>
      </w:r>
      <w:r w:rsidR="002D75F3" w:rsidRPr="00661FA0">
        <w:rPr>
          <w:rFonts w:cs="Arial"/>
        </w:rPr>
        <w:t xml:space="preserve"> the effects of acute </w:t>
      </w:r>
      <w:r w:rsidR="000F03AC" w:rsidRPr="00661FA0">
        <w:rPr>
          <w:rFonts w:cs="Arial"/>
        </w:rPr>
        <w:t xml:space="preserve">short-term </w:t>
      </w:r>
      <w:r w:rsidR="002D75F3" w:rsidRPr="00661FA0">
        <w:rPr>
          <w:rFonts w:cs="Arial"/>
        </w:rPr>
        <w:t>exposure</w:t>
      </w:r>
      <w:r w:rsidRPr="00661FA0">
        <w:rPr>
          <w:rFonts w:cs="Arial"/>
        </w:rPr>
        <w:t xml:space="preserve">. </w:t>
      </w:r>
      <w:r w:rsidR="005843BE" w:rsidRPr="00661FA0">
        <w:rPr>
          <w:rFonts w:cs="Arial"/>
        </w:rPr>
        <w:t>Therefore</w:t>
      </w:r>
      <w:r w:rsidR="001F27EB">
        <w:rPr>
          <w:rFonts w:cs="Arial"/>
        </w:rPr>
        <w:t>,</w:t>
      </w:r>
      <w:r w:rsidR="005843BE" w:rsidRPr="00661FA0">
        <w:rPr>
          <w:rFonts w:cs="Arial"/>
        </w:rPr>
        <w:t xml:space="preserve"> a </w:t>
      </w:r>
      <w:r w:rsidR="00877B16" w:rsidRPr="00661FA0">
        <w:rPr>
          <w:rFonts w:cs="Arial"/>
        </w:rPr>
        <w:t xml:space="preserve">peak limitation </w:t>
      </w:r>
      <w:r w:rsidRPr="00661FA0">
        <w:rPr>
          <w:rFonts w:cs="Arial"/>
        </w:rPr>
        <w:t xml:space="preserve">is not </w:t>
      </w:r>
      <w:r w:rsidR="00536E27" w:rsidRPr="00661FA0">
        <w:rPr>
          <w:rFonts w:cs="Arial"/>
        </w:rPr>
        <w:t>recommended</w:t>
      </w:r>
      <w:r w:rsidRPr="00661FA0">
        <w:rPr>
          <w:rFonts w:cs="Arial"/>
        </w:rPr>
        <w:t>.</w:t>
      </w:r>
      <w:r w:rsidR="0065460A" w:rsidRPr="00661FA0">
        <w:rPr>
          <w:rFonts w:cs="Arial"/>
        </w:rPr>
        <w:t xml:space="preserve"> </w:t>
      </w:r>
    </w:p>
    <w:p w14:paraId="5D415BB5" w14:textId="77777777" w:rsidR="00C7155E" w:rsidRPr="00661FA0" w:rsidRDefault="00F10C97" w:rsidP="003365A5">
      <w:pPr>
        <w:pStyle w:val="Heading2"/>
      </w:pPr>
      <w:r w:rsidRPr="00661FA0">
        <w:t>Discussion and conclusions</w:t>
      </w:r>
    </w:p>
    <w:p w14:paraId="5BC106CA" w14:textId="77777777" w:rsidR="007A0D11" w:rsidRDefault="0065460A" w:rsidP="003F7C82">
      <w:r w:rsidRPr="00661FA0">
        <w:t>o-</w:t>
      </w:r>
      <w:proofErr w:type="spellStart"/>
      <w:r w:rsidR="007B6696" w:rsidRPr="00661FA0">
        <w:t>Chlorobenzylidene</w:t>
      </w:r>
      <w:proofErr w:type="spellEnd"/>
      <w:r w:rsidR="007B6696" w:rsidRPr="00661FA0">
        <w:t xml:space="preserve"> </w:t>
      </w:r>
      <w:r w:rsidRPr="00661FA0">
        <w:t xml:space="preserve">malononitrile is a </w:t>
      </w:r>
      <w:r w:rsidR="00132F78" w:rsidRPr="00661FA0">
        <w:t>‘</w:t>
      </w:r>
      <w:r w:rsidRPr="00661FA0">
        <w:t>tear gas</w:t>
      </w:r>
      <w:r w:rsidR="00132F78" w:rsidRPr="00661FA0">
        <w:t>’</w:t>
      </w:r>
      <w:r w:rsidRPr="00661FA0">
        <w:t xml:space="preserve"> and is used primarily </w:t>
      </w:r>
      <w:r w:rsidR="00E84D90" w:rsidRPr="00661FA0">
        <w:t xml:space="preserve">by military and law enforcement personnel </w:t>
      </w:r>
      <w:r w:rsidRPr="00661FA0">
        <w:t>as an incapacitating agent for crowd</w:t>
      </w:r>
      <w:r w:rsidR="00C309DC" w:rsidRPr="00661FA0">
        <w:t xml:space="preserve"> </w:t>
      </w:r>
      <w:r w:rsidRPr="00661FA0">
        <w:t>control.</w:t>
      </w:r>
      <w:r w:rsidR="000433DB" w:rsidRPr="00661FA0">
        <w:t xml:space="preserve"> </w:t>
      </w:r>
    </w:p>
    <w:p w14:paraId="3462336B" w14:textId="39EA40B3" w:rsidR="003F7C82" w:rsidRPr="00661FA0" w:rsidRDefault="00E84D90" w:rsidP="003F7C82">
      <w:r w:rsidRPr="00661FA0">
        <w:t>When used</w:t>
      </w:r>
      <w:r w:rsidR="005843BE" w:rsidRPr="00661FA0">
        <w:t>,</w:t>
      </w:r>
      <w:r w:rsidR="00996428" w:rsidRPr="00661FA0">
        <w:t xml:space="preserve"> effects include intense eye and skin irritation, coughing, difficulty in breathing, chest tightness, running nose, dizziness, nausea and vomiting. It is reported to be incapacitating </w:t>
      </w:r>
      <w:r w:rsidR="005843BE" w:rsidRPr="00661FA0">
        <w:t xml:space="preserve">after 20 seconds </w:t>
      </w:r>
      <w:r w:rsidR="00996428" w:rsidRPr="00661FA0">
        <w:t>at 12 to 20 mg/m</w:t>
      </w:r>
      <w:r w:rsidR="00996428" w:rsidRPr="00661FA0">
        <w:rPr>
          <w:vertAlign w:val="superscript"/>
        </w:rPr>
        <w:t>3</w:t>
      </w:r>
      <w:r w:rsidR="007A0D11">
        <w:t>. Exposure at</w:t>
      </w:r>
      <w:r w:rsidR="008C7DD2" w:rsidRPr="00661FA0">
        <w:t xml:space="preserve"> 1.5 </w:t>
      </w:r>
      <w:r w:rsidR="00AA30AE" w:rsidRPr="00661FA0">
        <w:t>mg/m</w:t>
      </w:r>
      <w:r w:rsidR="00AA30AE" w:rsidRPr="00661FA0">
        <w:rPr>
          <w:vertAlign w:val="superscript"/>
        </w:rPr>
        <w:t>3</w:t>
      </w:r>
      <w:r w:rsidR="00AA30AE" w:rsidRPr="00661FA0">
        <w:t xml:space="preserve"> for 90 min resulted in headaches in three of four volunteers</w:t>
      </w:r>
      <w:r w:rsidR="003F7C82" w:rsidRPr="00661FA0">
        <w:t xml:space="preserve">. </w:t>
      </w:r>
      <w:r w:rsidR="005843BE" w:rsidRPr="00661FA0">
        <w:t xml:space="preserve">A two-year inhalational study in rats reports a </w:t>
      </w:r>
      <w:r w:rsidR="003F7C82" w:rsidRPr="00661FA0">
        <w:t>NOAEL of 0.075 mg/m</w:t>
      </w:r>
      <w:r w:rsidR="003F7C82" w:rsidRPr="00661FA0">
        <w:rPr>
          <w:vertAlign w:val="superscript"/>
        </w:rPr>
        <w:t>3</w:t>
      </w:r>
      <w:r w:rsidR="003F7C82" w:rsidRPr="00661FA0">
        <w:t xml:space="preserve"> </w:t>
      </w:r>
      <w:r w:rsidR="002E1ACD" w:rsidRPr="00661FA0">
        <w:t xml:space="preserve">for non-neoplastic toxic changes in the respiratory epithelium of the nasal </w:t>
      </w:r>
      <w:r w:rsidR="005843BE" w:rsidRPr="00661FA0">
        <w:t>passages</w:t>
      </w:r>
      <w:r w:rsidR="00EB1DC6" w:rsidRPr="00661FA0">
        <w:t xml:space="preserve"> (ACGIH, 2018)</w:t>
      </w:r>
      <w:r w:rsidR="005843BE" w:rsidRPr="00661FA0">
        <w:t xml:space="preserve">.  </w:t>
      </w:r>
    </w:p>
    <w:p w14:paraId="2F6806B9" w14:textId="14547BAF" w:rsidR="006639B4" w:rsidRPr="00661FA0" w:rsidRDefault="003F7C82" w:rsidP="006639B4">
      <w:pPr>
        <w:rPr>
          <w:rFonts w:cs="Arial"/>
        </w:rPr>
      </w:pPr>
      <w:r w:rsidRPr="00661FA0">
        <w:t xml:space="preserve">The recommended TWA is </w:t>
      </w:r>
      <w:r w:rsidR="00E852CE" w:rsidRPr="00661FA0">
        <w:t>derived by</w:t>
      </w:r>
      <w:r w:rsidRPr="00661FA0">
        <w:t xml:space="preserve"> applying an uncertainty factor of </w:t>
      </w:r>
      <w:r w:rsidR="00FC0EC3">
        <w:t>f</w:t>
      </w:r>
      <w:r w:rsidR="00D711A7">
        <w:t>our</w:t>
      </w:r>
      <w:r w:rsidR="00D711A7" w:rsidRPr="00661FA0">
        <w:t xml:space="preserve"> </w:t>
      </w:r>
      <w:r w:rsidRPr="00661FA0">
        <w:t>to the NOAEL of 0.</w:t>
      </w:r>
      <w:r w:rsidR="00132F78" w:rsidRPr="00661FA0">
        <w:t>075 </w:t>
      </w:r>
      <w:r w:rsidRPr="00661FA0">
        <w:t>mg/m</w:t>
      </w:r>
      <w:r w:rsidRPr="00661FA0">
        <w:rPr>
          <w:vertAlign w:val="superscript"/>
        </w:rPr>
        <w:t>3</w:t>
      </w:r>
      <w:r w:rsidRPr="007A0D11">
        <w:t xml:space="preserve"> </w:t>
      </w:r>
      <w:r w:rsidR="00132F78" w:rsidRPr="00661FA0">
        <w:t>reported</w:t>
      </w:r>
      <w:r w:rsidR="00E852CE" w:rsidRPr="00661FA0">
        <w:t xml:space="preserve"> in rats </w:t>
      </w:r>
      <w:r w:rsidRPr="00661FA0">
        <w:t xml:space="preserve">and </w:t>
      </w:r>
      <w:r w:rsidR="00FC0EC3">
        <w:t>appropriately rounded upwards</w:t>
      </w:r>
      <w:r w:rsidRPr="00661FA0">
        <w:t xml:space="preserve"> </w:t>
      </w:r>
      <w:r w:rsidR="00FC0EC3">
        <w:t>to 0.002 mg/</w:t>
      </w:r>
      <w:r w:rsidR="00FC0EC3" w:rsidRPr="00661FA0">
        <w:t>mg/m</w:t>
      </w:r>
      <w:r w:rsidR="00FC0EC3" w:rsidRPr="00661FA0">
        <w:rPr>
          <w:vertAlign w:val="superscript"/>
        </w:rPr>
        <w:t>3</w:t>
      </w:r>
      <w:r w:rsidRPr="00661FA0">
        <w:t>.</w:t>
      </w:r>
      <w:r w:rsidR="000433DB" w:rsidRPr="00661FA0">
        <w:t xml:space="preserve"> </w:t>
      </w:r>
      <w:r w:rsidR="00AA30AE" w:rsidRPr="00661FA0">
        <w:t>The evidence suggests that the recommended TWA is sufficiently low to protect for short-term exposures.</w:t>
      </w:r>
    </w:p>
    <w:p w14:paraId="44D6A420" w14:textId="77777777" w:rsidR="004529F0" w:rsidRPr="00661FA0" w:rsidRDefault="004529F0" w:rsidP="004529F0">
      <w:pPr>
        <w:pStyle w:val="Heading2"/>
      </w:pPr>
      <w:r w:rsidRPr="00661FA0">
        <w:t>Recommendation for notations</w:t>
      </w:r>
    </w:p>
    <w:p w14:paraId="79632CF3" w14:textId="4267BE89" w:rsidR="000C6EDA" w:rsidRPr="00661FA0" w:rsidRDefault="000C6EDA" w:rsidP="000C6EDA">
      <w:pPr>
        <w:rPr>
          <w:rFonts w:cs="Arial"/>
        </w:rPr>
      </w:pPr>
      <w:r w:rsidRPr="00661FA0">
        <w:rPr>
          <w:rFonts w:cs="Arial"/>
        </w:rPr>
        <w:t>Not classified as a carcinogen according to the Globally Harmonized System of Classification and Labelling o</w:t>
      </w:r>
      <w:r w:rsidR="00B32B37" w:rsidRPr="00661FA0">
        <w:rPr>
          <w:rFonts w:cs="Arial"/>
        </w:rPr>
        <w:t>f</w:t>
      </w:r>
      <w:r w:rsidRPr="00661FA0">
        <w:rPr>
          <w:rFonts w:cs="Arial"/>
        </w:rPr>
        <w:t xml:space="preserve"> Chemicals (GHS).</w:t>
      </w:r>
    </w:p>
    <w:p w14:paraId="6CC0517F" w14:textId="28E38E6A" w:rsidR="000C6EDA" w:rsidRPr="00661FA0" w:rsidRDefault="000C6EDA" w:rsidP="000C6EDA">
      <w:pPr>
        <w:rPr>
          <w:rFonts w:cs="Arial"/>
        </w:rPr>
      </w:pPr>
      <w:r w:rsidRPr="00661FA0">
        <w:rPr>
          <w:rFonts w:cs="Arial"/>
        </w:rPr>
        <w:lastRenderedPageBreak/>
        <w:t>Not classified as a skin</w:t>
      </w:r>
      <w:r w:rsidR="00B32B37" w:rsidRPr="00661FA0">
        <w:rPr>
          <w:rFonts w:cs="Arial"/>
        </w:rPr>
        <w:t xml:space="preserve"> sensitiser</w:t>
      </w:r>
      <w:r w:rsidRPr="00661FA0">
        <w:rPr>
          <w:rFonts w:cs="Arial"/>
        </w:rPr>
        <w:t xml:space="preserve"> or respiratory sensitiser according to the GHS.</w:t>
      </w:r>
      <w:r w:rsidR="00C63AAF" w:rsidRPr="00661FA0">
        <w:rPr>
          <w:rFonts w:cs="Arial"/>
        </w:rPr>
        <w:t xml:space="preserve"> A review of the GHS classification is recommended for dermal sensitisation due to evidence in animals and case reports of dermal sensitiser effects.</w:t>
      </w:r>
    </w:p>
    <w:p w14:paraId="5431E4FD" w14:textId="5B8A4C32" w:rsidR="005E6979" w:rsidRPr="00661FA0" w:rsidRDefault="00403E33">
      <w:pPr>
        <w:rPr>
          <w:rFonts w:cs="Arial"/>
        </w:rPr>
        <w:sectPr w:rsidR="005E6979" w:rsidRPr="00661FA0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61FA0">
        <w:rPr>
          <w:rFonts w:cs="Arial"/>
        </w:rPr>
        <w:t>A skin notation is recommended based on evidence of systemic effects following dermal contact in workers.</w:t>
      </w:r>
    </w:p>
    <w:p w14:paraId="192AA0E5" w14:textId="77777777" w:rsidR="0034744C" w:rsidRPr="00661FA0" w:rsidRDefault="005E6979" w:rsidP="005E6979">
      <w:pPr>
        <w:pStyle w:val="Heading1"/>
        <w:rPr>
          <w:rFonts w:ascii="Arial" w:hAnsi="Arial" w:cs="Arial"/>
        </w:rPr>
      </w:pPr>
      <w:r w:rsidRPr="00661FA0">
        <w:rPr>
          <w:rFonts w:ascii="Arial" w:hAnsi="Arial" w:cs="Arial"/>
        </w:rPr>
        <w:lastRenderedPageBreak/>
        <w:t>Appendix</w:t>
      </w:r>
    </w:p>
    <w:p w14:paraId="136B22A6" w14:textId="77777777" w:rsidR="008D026D" w:rsidRPr="00661FA0" w:rsidRDefault="00B479A9" w:rsidP="003365A5">
      <w:pPr>
        <w:pStyle w:val="Heading3"/>
      </w:pPr>
      <w:r w:rsidRPr="00661FA0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661FA0" w14:paraId="402E6B1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01CE94A" w14:textId="77777777" w:rsidR="00C978F0" w:rsidRPr="00661FA0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661FA0">
              <w:t>Source</w:t>
            </w:r>
            <w:r w:rsidR="00DA352E" w:rsidRPr="00661FA0">
              <w:tab/>
              <w:t>Year set</w:t>
            </w:r>
            <w:r w:rsidR="00DA352E" w:rsidRPr="00661FA0">
              <w:tab/>
              <w:t>Standard</w:t>
            </w:r>
            <w:r w:rsidR="00974F2D" w:rsidRPr="00661FA0">
              <w:tab/>
            </w:r>
          </w:p>
        </w:tc>
      </w:tr>
      <w:tr w:rsidR="00DE26E8" w:rsidRPr="00661FA0" w14:paraId="5677545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FCF1577" w14:textId="3F038563" w:rsidR="00DE26E8" w:rsidRPr="00661FA0" w:rsidRDefault="00DE26E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t>SWA</w:t>
            </w:r>
            <w:r w:rsidRPr="00661FA0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23897" w:rsidRPr="00661FA0">
                  <w:t>1991</w:t>
                </w:r>
              </w:sdtContent>
            </w:sdt>
            <w:r w:rsidRPr="00661FA0">
              <w:tab/>
            </w:r>
            <w:r w:rsidRPr="00661FA0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524683" w:rsidRPr="00661FA0">
                  <w:t>Peak limitation</w:t>
                </w:r>
                <w:r w:rsidR="00023897" w:rsidRPr="00661FA0">
                  <w:t>: 0.05 ppm (0.39 mg/m</w:t>
                </w:r>
                <w:r w:rsidR="00023897" w:rsidRPr="00661FA0">
                  <w:rPr>
                    <w:vertAlign w:val="superscript"/>
                  </w:rPr>
                  <w:t>3</w:t>
                </w:r>
                <w:r w:rsidR="00023897" w:rsidRPr="00661FA0">
                  <w:t xml:space="preserve">) </w:t>
                </w:r>
              </w:sdtContent>
            </w:sdt>
            <w:r w:rsidR="00023897" w:rsidRPr="00661FA0">
              <w:t xml:space="preserve"> </w:t>
            </w:r>
          </w:p>
        </w:tc>
      </w:tr>
      <w:tr w:rsidR="00C978F0" w:rsidRPr="00661FA0" w14:paraId="74BB48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EB6CD7" w14:textId="77777777" w:rsidR="00C978F0" w:rsidRPr="00661FA0" w:rsidRDefault="00C978F0" w:rsidP="003365A5">
            <w:pPr>
              <w:pStyle w:val="Tabletextprimarysource"/>
            </w:pPr>
          </w:p>
        </w:tc>
      </w:tr>
      <w:tr w:rsidR="00C978F0" w:rsidRPr="00661FA0" w14:paraId="6E03DF8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E3B782" w14:textId="641DBA9A" w:rsidR="00C978F0" w:rsidRPr="00661FA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t>ACGIH</w:t>
            </w:r>
            <w:r w:rsidR="00916EC0" w:rsidRPr="00661FA0">
              <w:t xml:space="preserve"> </w:t>
            </w:r>
            <w:r w:rsidR="00916EC0" w:rsidRPr="00661FA0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960A6F" w:rsidRPr="00661FA0">
                  <w:t>2001</w:t>
                </w:r>
              </w:sdtContent>
            </w:sdt>
            <w:r w:rsidR="00916EC0" w:rsidRPr="00661FA0">
              <w:tab/>
            </w:r>
            <w:r w:rsidR="0051509C" w:rsidRPr="00661FA0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960A6F" w:rsidRPr="00661FA0">
                  <w:t>TLV-Ceiling: 0.05 ppm (0.39 mg/m</w:t>
                </w:r>
                <w:r w:rsidR="00960A6F" w:rsidRPr="00661FA0">
                  <w:rPr>
                    <w:vertAlign w:val="superscript"/>
                  </w:rPr>
                  <w:t>3</w:t>
                </w:r>
                <w:r w:rsidR="00960A6F" w:rsidRPr="00661FA0">
                  <w:t>)</w:t>
                </w:r>
              </w:sdtContent>
            </w:sdt>
          </w:p>
        </w:tc>
      </w:tr>
      <w:tr w:rsidR="00C978F0" w:rsidRPr="00661FA0" w14:paraId="1582E7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A21335" w14:textId="73FCD610" w:rsidR="00C978F0" w:rsidRPr="00661FA0" w:rsidRDefault="00910EA9" w:rsidP="003365A5">
            <w:pPr>
              <w:pStyle w:val="Tabletextprimarysource"/>
            </w:pPr>
            <w:r w:rsidRPr="00661FA0">
              <w:t>TLV-Ceiling recommended to minimise the potential for eye and nose irritation, headache and potential dermal sensitisation.</w:t>
            </w:r>
          </w:p>
          <w:p w14:paraId="55C7ACB2" w14:textId="77777777" w:rsidR="00910EA9" w:rsidRPr="00661FA0" w:rsidRDefault="00910EA9" w:rsidP="003365A5">
            <w:pPr>
              <w:pStyle w:val="Tabletextprimarysource"/>
            </w:pPr>
            <w:r w:rsidRPr="00661FA0">
              <w:t>Summary of data:</w:t>
            </w:r>
          </w:p>
          <w:p w14:paraId="72355196" w14:textId="77777777" w:rsidR="00910EA9" w:rsidRPr="00661FA0" w:rsidRDefault="00910EA9" w:rsidP="003365A5">
            <w:pPr>
              <w:pStyle w:val="Tabletextprimarysource"/>
            </w:pPr>
            <w:r w:rsidRPr="00661FA0">
              <w:t>Human data:</w:t>
            </w:r>
          </w:p>
          <w:p w14:paraId="0287E779" w14:textId="6EB7D5F0" w:rsidR="00910EA9" w:rsidRPr="00661FA0" w:rsidRDefault="00910EA9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Effects experienced include intense eye and skin irritation, coughing, difficulty in breathing, chest tightness, running nose, dizziness, nausea and vomiting</w:t>
            </w:r>
          </w:p>
          <w:p w14:paraId="32C7C9BA" w14:textId="397EA859" w:rsidR="00910EA9" w:rsidRPr="00661FA0" w:rsidRDefault="0041040A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Incapacitating at 12</w:t>
            </w:r>
            <w:r w:rsidR="007E68B8" w:rsidRPr="00661FA0">
              <w:t>–</w:t>
            </w:r>
            <w:r w:rsidRPr="00661FA0">
              <w:t>20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</w:t>
            </w:r>
            <w:r w:rsidR="007B6696" w:rsidRPr="00661FA0">
              <w:t>&gt;</w:t>
            </w:r>
            <w:r w:rsidRPr="00661FA0">
              <w:t>20 sec</w:t>
            </w:r>
          </w:p>
          <w:p w14:paraId="0D6B930E" w14:textId="38DB150A" w:rsidR="005843BE" w:rsidRPr="00661FA0" w:rsidRDefault="007A0D11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Exposure at</w:t>
            </w:r>
            <w:r w:rsidR="0041040A" w:rsidRPr="00661FA0">
              <w:t xml:space="preserve"> 1.5 mg/m</w:t>
            </w:r>
            <w:r w:rsidR="0041040A" w:rsidRPr="00661FA0">
              <w:rPr>
                <w:vertAlign w:val="superscript"/>
              </w:rPr>
              <w:t>3</w:t>
            </w:r>
            <w:r w:rsidR="0041040A" w:rsidRPr="00661FA0">
              <w:t xml:space="preserve"> for 90 m</w:t>
            </w:r>
            <w:r w:rsidR="007B6696" w:rsidRPr="00661FA0">
              <w:t>in</w:t>
            </w:r>
            <w:r w:rsidR="0041040A" w:rsidRPr="00661FA0">
              <w:t xml:space="preserve"> resulted in headaches in 3</w:t>
            </w:r>
            <w:r w:rsidR="007E68B8" w:rsidRPr="00661FA0">
              <w:t>/</w:t>
            </w:r>
            <w:r w:rsidR="0041040A" w:rsidRPr="00661FA0">
              <w:t xml:space="preserve">4 volunteers; headaches continued for 24 h in 2 volunteers; 1 volunteer developed slight eye and nose irritation; </w:t>
            </w:r>
          </w:p>
          <w:p w14:paraId="3592A3F7" w14:textId="781309CA" w:rsidR="0041040A" w:rsidRPr="00661FA0" w:rsidRDefault="0041040A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4</w:t>
            </w:r>
            <w:r w:rsidR="007E68B8" w:rsidRPr="00661FA0">
              <w:t>–</w:t>
            </w:r>
            <w:r w:rsidRPr="00661FA0">
              <w:t>5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decrease</w:t>
            </w:r>
            <w:r w:rsidR="000433DB" w:rsidRPr="00661FA0">
              <w:t>d</w:t>
            </w:r>
            <w:r w:rsidRPr="00661FA0">
              <w:t xml:space="preserve"> ability to complete mathematical problem</w:t>
            </w:r>
            <w:r w:rsidR="005843BE" w:rsidRPr="00661FA0">
              <w:t>s</w:t>
            </w:r>
            <w:r w:rsidRPr="00661FA0">
              <w:t>; no tolerance after repeated exposure</w:t>
            </w:r>
          </w:p>
          <w:p w14:paraId="55A8F878" w14:textId="0D2701FC" w:rsidR="0041040A" w:rsidRPr="00661FA0" w:rsidRDefault="0041040A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No clinical abnormalities in 7 volunteers</w:t>
            </w:r>
            <w:r w:rsidR="007A0D11">
              <w:t xml:space="preserve"> exposed at</w:t>
            </w:r>
            <w:r w:rsidRPr="00661FA0">
              <w:t xml:space="preserve"> 1</w:t>
            </w:r>
            <w:r w:rsidR="007E68B8" w:rsidRPr="00661FA0">
              <w:t>–</w:t>
            </w:r>
            <w:r w:rsidRPr="00661FA0">
              <w:t>13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for 15 d; no tolerance noted</w:t>
            </w:r>
          </w:p>
          <w:p w14:paraId="678BC65A" w14:textId="3C79FEBF" w:rsidR="007E68B8" w:rsidRPr="00661FA0" w:rsidRDefault="00536E27" w:rsidP="007A0D11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Handling in industrial settings has signif</w:t>
            </w:r>
            <w:r w:rsidR="008F25AD" w:rsidRPr="00661FA0">
              <w:t>icant potential for skin sensitisation</w:t>
            </w:r>
            <w:r w:rsidR="001A51E2" w:rsidRPr="00661FA0">
              <w:t xml:space="preserve">; </w:t>
            </w:r>
            <w:r w:rsidR="008F25AD" w:rsidRPr="00661FA0">
              <w:t xml:space="preserve">incidents of </w:t>
            </w:r>
            <w:r w:rsidR="001A51E2" w:rsidRPr="00661FA0">
              <w:t>dermatitis on arms and neck</w:t>
            </w:r>
            <w:r w:rsidR="007E68B8" w:rsidRPr="00661FA0">
              <w:t>.</w:t>
            </w:r>
          </w:p>
          <w:p w14:paraId="158E6083" w14:textId="77777777" w:rsidR="001A51E2" w:rsidRPr="00661FA0" w:rsidRDefault="001A51E2" w:rsidP="001A51E2">
            <w:pPr>
              <w:pStyle w:val="Tabletextprimarysource"/>
            </w:pPr>
            <w:r w:rsidRPr="00661FA0">
              <w:t>Animal data:</w:t>
            </w:r>
          </w:p>
          <w:p w14:paraId="1219366B" w14:textId="798ECF85" w:rsidR="0041040A" w:rsidRPr="00661FA0" w:rsidRDefault="001A51E2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30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for 1</w:t>
            </w:r>
            <w:r w:rsidR="000433DB" w:rsidRPr="00661FA0">
              <w:t xml:space="preserve"> </w:t>
            </w:r>
            <w:r w:rsidRPr="00661FA0">
              <w:t>h, male rats and mice, no harmful effects noted</w:t>
            </w:r>
          </w:p>
          <w:p w14:paraId="6C495C84" w14:textId="3EA568DD" w:rsidR="00A62C9B" w:rsidRPr="00661FA0" w:rsidRDefault="00A62C9B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>13</w:t>
            </w:r>
            <w:r w:rsidR="000433DB" w:rsidRPr="00661FA0">
              <w:t xml:space="preserve"> </w:t>
            </w:r>
            <w:r w:rsidRPr="00661FA0">
              <w:t xml:space="preserve">wk inhalation study: </w:t>
            </w:r>
          </w:p>
          <w:p w14:paraId="556F3641" w14:textId="086E3ABB" w:rsidR="00A62C9B" w:rsidRPr="00661FA0" w:rsidRDefault="00A62C9B" w:rsidP="008C7D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1</w:t>
            </w:r>
            <w:r w:rsidR="007E68B8" w:rsidRPr="00661FA0">
              <w:t>/</w:t>
            </w:r>
            <w:r w:rsidRPr="00661FA0">
              <w:t>10 male rats died before 13 wk at 6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(highest dose)</w:t>
            </w:r>
          </w:p>
          <w:p w14:paraId="268130A9" w14:textId="77777777" w:rsidR="001A51E2" w:rsidRPr="00661FA0" w:rsidRDefault="00A62C9B" w:rsidP="008C7D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reduced thymus weight in male and female rats at 6 mg/m</w:t>
            </w:r>
            <w:r w:rsidRPr="00661FA0">
              <w:rPr>
                <w:vertAlign w:val="superscript"/>
              </w:rPr>
              <w:t>3</w:t>
            </w:r>
          </w:p>
          <w:p w14:paraId="45347D17" w14:textId="77777777" w:rsidR="00A62C9B" w:rsidRPr="00661FA0" w:rsidRDefault="00A62C9B" w:rsidP="008C7D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focal erosion with regenerative hyperplasia and squamous metaplasia of the respiratory epithelium and suppurative inflammation in rats</w:t>
            </w:r>
          </w:p>
          <w:p w14:paraId="09AFAFF4" w14:textId="652E84F7" w:rsidR="00A62C9B" w:rsidRPr="00661FA0" w:rsidRDefault="00A62C9B" w:rsidP="008C7D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all mice exposed at 6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and 1</w:t>
            </w:r>
            <w:r w:rsidR="007E68B8" w:rsidRPr="00661FA0">
              <w:t>/</w:t>
            </w:r>
            <w:r w:rsidRPr="00661FA0">
              <w:t>10 female mice at 3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died before end of study</w:t>
            </w:r>
          </w:p>
          <w:p w14:paraId="33FDD9E4" w14:textId="77777777" w:rsidR="00A62C9B" w:rsidRPr="00661FA0" w:rsidRDefault="00A62C9B" w:rsidP="008C7DD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mice experienced compound-related lesions of the nasal passage including squamous metaplasia of the nasal epithelium and inflammation</w:t>
            </w:r>
          </w:p>
          <w:p w14:paraId="7DC7E3C5" w14:textId="2D1D6A6F" w:rsidR="00945418" w:rsidRDefault="00F3098A" w:rsidP="00A925F7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661FA0">
              <w:t xml:space="preserve">Non-neoplastic toxic changes in the respiratory epithelium of </w:t>
            </w:r>
            <w:r w:rsidR="007D680E" w:rsidRPr="00661FA0">
              <w:t>rodent</w:t>
            </w:r>
            <w:r w:rsidRPr="00661FA0">
              <w:t xml:space="preserve"> nasal passages </w:t>
            </w:r>
            <w:r w:rsidR="007D680E" w:rsidRPr="00661FA0">
              <w:t xml:space="preserve">reported from long-term repeat exposure study </w:t>
            </w:r>
            <w:r w:rsidR="00945418" w:rsidRPr="00661FA0">
              <w:t>(6 h/d, 5 d/wk, 2 yr)</w:t>
            </w:r>
          </w:p>
          <w:p w14:paraId="5C88E8BB" w14:textId="667931A7" w:rsidR="00524163" w:rsidRPr="00661FA0" w:rsidRDefault="00524163" w:rsidP="00E105C7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>NOAEL of 0.075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for hyperplasia, squamous metaplasia of the respiratory epithelium and degeneration of the olfactory epithelium with ciliated columnar and/or squamous metaplasia</w:t>
            </w:r>
          </w:p>
          <w:p w14:paraId="4534378D" w14:textId="4B25EE2B" w:rsidR="007E68B8" w:rsidRPr="00661FA0" w:rsidRDefault="00945418" w:rsidP="0094541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661FA0">
              <w:t xml:space="preserve">highest dose </w:t>
            </w:r>
            <w:r w:rsidR="007D680E" w:rsidRPr="00661FA0">
              <w:t>0.75 mg/m</w:t>
            </w:r>
            <w:r w:rsidR="007D680E" w:rsidRPr="00661FA0">
              <w:rPr>
                <w:vertAlign w:val="superscript"/>
              </w:rPr>
              <w:t>3</w:t>
            </w:r>
            <w:r w:rsidR="007D680E" w:rsidRPr="00661FA0">
              <w:t xml:space="preserve"> rats</w:t>
            </w:r>
            <w:r w:rsidRPr="00661FA0">
              <w:t xml:space="preserve"> and 1.5 mg/m</w:t>
            </w:r>
            <w:r w:rsidRPr="00661FA0">
              <w:rPr>
                <w:vertAlign w:val="superscript"/>
              </w:rPr>
              <w:t>3</w:t>
            </w:r>
            <w:r w:rsidR="007D680E" w:rsidRPr="00661FA0">
              <w:t xml:space="preserve"> </w:t>
            </w:r>
            <w:r w:rsidRPr="00661FA0">
              <w:t>mice</w:t>
            </w:r>
          </w:p>
          <w:p w14:paraId="0A99F453" w14:textId="7E4876E7" w:rsidR="009F57B2" w:rsidRPr="00661FA0" w:rsidRDefault="009F57B2" w:rsidP="009F57B2">
            <w:pPr>
              <w:pStyle w:val="Tabletextprimarysource"/>
            </w:pPr>
            <w:r w:rsidRPr="00661FA0">
              <w:t>Insufficient evidence to</w:t>
            </w:r>
            <w:r w:rsidR="008F1539" w:rsidRPr="00661FA0">
              <w:t xml:space="preserve"> assign</w:t>
            </w:r>
            <w:r w:rsidRPr="00661FA0">
              <w:t xml:space="preserve"> a SEN notation.</w:t>
            </w:r>
          </w:p>
          <w:p w14:paraId="2C9CC6C9" w14:textId="50AFFD6C" w:rsidR="007E68B8" w:rsidRPr="00661FA0" w:rsidRDefault="007E68B8" w:rsidP="009F57B2">
            <w:pPr>
              <w:pStyle w:val="Tabletextprimarysource"/>
            </w:pPr>
          </w:p>
        </w:tc>
      </w:tr>
      <w:tr w:rsidR="00C978F0" w:rsidRPr="00661FA0" w14:paraId="6C1D20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F376B0" w14:textId="52CF7745" w:rsidR="00C978F0" w:rsidRPr="00661FA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t>DFG</w:t>
            </w:r>
            <w:r w:rsidR="00916EC0" w:rsidRPr="00661FA0">
              <w:t xml:space="preserve"> </w:t>
            </w:r>
            <w:r w:rsidR="00916EC0" w:rsidRPr="00661FA0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206495" w:rsidRPr="00661FA0">
                  <w:t>NA</w:t>
                </w:r>
              </w:sdtContent>
            </w:sdt>
            <w:r w:rsidR="00916EC0" w:rsidRPr="00661FA0">
              <w:tab/>
            </w:r>
            <w:r w:rsidR="0051509C" w:rsidRPr="00661FA0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proofErr w:type="spellStart"/>
                <w:r w:rsidR="00206495" w:rsidRPr="00661FA0">
                  <w:t>NA</w:t>
                </w:r>
                <w:proofErr w:type="spellEnd"/>
              </w:sdtContent>
            </w:sdt>
          </w:p>
        </w:tc>
      </w:tr>
      <w:tr w:rsidR="00C978F0" w:rsidRPr="00661FA0" w14:paraId="72FB2FF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81CF51" w14:textId="5378CF82" w:rsidR="00C978F0" w:rsidRPr="00661FA0" w:rsidRDefault="00206495" w:rsidP="003365A5">
            <w:pPr>
              <w:pStyle w:val="Tabletextprimarysource"/>
            </w:pPr>
            <w:r w:rsidRPr="00661FA0">
              <w:t>No report</w:t>
            </w:r>
            <w:r w:rsidR="00FA3069" w:rsidRPr="00661FA0">
              <w:t>.</w:t>
            </w:r>
          </w:p>
        </w:tc>
      </w:tr>
      <w:tr w:rsidR="00C978F0" w:rsidRPr="00661FA0" w14:paraId="2D51FED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6BF2E5" w14:textId="12DEB100" w:rsidR="00C978F0" w:rsidRPr="00661FA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t>SCOEL</w:t>
            </w:r>
            <w:r w:rsidR="00916EC0" w:rsidRPr="00661FA0">
              <w:t xml:space="preserve"> </w:t>
            </w:r>
            <w:r w:rsidR="00916EC0" w:rsidRPr="00661FA0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C3AFB" w:rsidRPr="00661FA0">
                  <w:t>NA</w:t>
                </w:r>
              </w:sdtContent>
            </w:sdt>
            <w:r w:rsidR="00916EC0" w:rsidRPr="00661FA0">
              <w:tab/>
            </w:r>
            <w:r w:rsidR="0051509C" w:rsidRPr="00661FA0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6C3AFB" w:rsidRPr="00661FA0">
                  <w:t>NA</w:t>
                </w:r>
                <w:proofErr w:type="spellEnd"/>
              </w:sdtContent>
            </w:sdt>
          </w:p>
        </w:tc>
      </w:tr>
      <w:tr w:rsidR="00C978F0" w:rsidRPr="00661FA0" w14:paraId="5C5B88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AACBDC" w14:textId="3A4AA03A" w:rsidR="00C978F0" w:rsidRPr="00661FA0" w:rsidRDefault="006C3AFB" w:rsidP="003365A5">
            <w:pPr>
              <w:pStyle w:val="Tabletextprimarysource"/>
            </w:pPr>
            <w:r w:rsidRPr="00661FA0">
              <w:t>No report</w:t>
            </w:r>
            <w:r w:rsidR="00FA3069" w:rsidRPr="00661FA0">
              <w:t>.</w:t>
            </w:r>
          </w:p>
        </w:tc>
      </w:tr>
      <w:tr w:rsidR="00DA352E" w:rsidRPr="00661FA0" w14:paraId="61D4AD0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9128BD" w14:textId="62C0613F" w:rsidR="00DA352E" w:rsidRPr="00661FA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lastRenderedPageBreak/>
              <w:t>OARS/AIHA</w:t>
            </w:r>
            <w:r w:rsidR="00916EC0" w:rsidRPr="00661FA0">
              <w:t xml:space="preserve"> </w:t>
            </w:r>
            <w:r w:rsidR="00916EC0" w:rsidRPr="00661FA0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CF2887" w:rsidRPr="00661FA0">
                  <w:t>NA</w:t>
                </w:r>
              </w:sdtContent>
            </w:sdt>
            <w:r w:rsidR="00916EC0" w:rsidRPr="00661FA0">
              <w:tab/>
            </w:r>
            <w:r w:rsidR="0051509C" w:rsidRPr="00661FA0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CF2887" w:rsidRPr="00661FA0">
                  <w:t>NA</w:t>
                </w:r>
                <w:proofErr w:type="spellEnd"/>
              </w:sdtContent>
            </w:sdt>
          </w:p>
        </w:tc>
      </w:tr>
      <w:tr w:rsidR="00DA352E" w:rsidRPr="00661FA0" w14:paraId="471768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FDF11B" w14:textId="6B07BBD3" w:rsidR="00DA352E" w:rsidRPr="00661FA0" w:rsidRDefault="00CF2887" w:rsidP="003365A5">
            <w:pPr>
              <w:pStyle w:val="Tabletextprimarysource"/>
            </w:pPr>
            <w:r w:rsidRPr="00661FA0">
              <w:t>No report</w:t>
            </w:r>
            <w:r w:rsidR="00FA3069" w:rsidRPr="00661FA0">
              <w:t>.</w:t>
            </w:r>
          </w:p>
        </w:tc>
      </w:tr>
      <w:tr w:rsidR="00DA352E" w:rsidRPr="00661FA0" w14:paraId="4CC70A4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096DD2" w14:textId="787FEEB1" w:rsidR="00DA352E" w:rsidRPr="00661FA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661FA0">
              <w:t>HCOTN</w:t>
            </w:r>
            <w:r w:rsidR="00916EC0" w:rsidRPr="00661FA0">
              <w:t xml:space="preserve"> </w:t>
            </w:r>
            <w:r w:rsidR="00916EC0" w:rsidRPr="00661FA0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561DFC" w:rsidRPr="00661FA0">
                  <w:t>2004</w:t>
                </w:r>
              </w:sdtContent>
            </w:sdt>
            <w:r w:rsidR="00916EC0" w:rsidRPr="00661FA0">
              <w:tab/>
            </w:r>
            <w:r w:rsidR="0051509C" w:rsidRPr="00661FA0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006995" w:rsidRPr="00661FA0">
                  <w:t>TWA: 0.02</w:t>
                </w:r>
                <w:r w:rsidR="00A46ED6" w:rsidRPr="00661FA0">
                  <w:t xml:space="preserve"> mg/m</w:t>
                </w:r>
                <w:r w:rsidR="00A46ED6" w:rsidRPr="00661FA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661FA0" w14:paraId="3EA5994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5E529B" w14:textId="42B24C6D" w:rsidR="00DA352E" w:rsidRPr="00661FA0" w:rsidRDefault="00006995" w:rsidP="003365A5">
            <w:pPr>
              <w:pStyle w:val="Tabletextprimarysource"/>
            </w:pPr>
            <w:r w:rsidRPr="00661FA0">
              <w:t>TWA recommended to minimise the potential for respiratory tract effects.</w:t>
            </w:r>
          </w:p>
          <w:p w14:paraId="6E9F539B" w14:textId="77777777" w:rsidR="00006995" w:rsidRPr="00661FA0" w:rsidRDefault="00006995" w:rsidP="003365A5">
            <w:pPr>
              <w:pStyle w:val="Tabletextprimarysource"/>
            </w:pPr>
            <w:r w:rsidRPr="00661FA0">
              <w:t>Summary of additional data:</w:t>
            </w:r>
          </w:p>
          <w:p w14:paraId="2F03CA16" w14:textId="26389D06" w:rsidR="00006995" w:rsidRPr="00661FA0" w:rsidRDefault="00006995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661FA0">
              <w:t>Previous</w:t>
            </w:r>
            <w:r w:rsidR="00CF022C" w:rsidRPr="00661FA0">
              <w:t xml:space="preserve"> guideline was 0.4 mg/m</w:t>
            </w:r>
            <w:r w:rsidR="00CF022C" w:rsidRPr="00661FA0">
              <w:rPr>
                <w:vertAlign w:val="superscript"/>
              </w:rPr>
              <w:t>3</w:t>
            </w:r>
            <w:r w:rsidR="00CF022C" w:rsidRPr="00661FA0">
              <w:t xml:space="preserve"> as a ceiling value</w:t>
            </w:r>
          </w:p>
          <w:p w14:paraId="500F229C" w14:textId="19C17DCC" w:rsidR="00006995" w:rsidRPr="00661FA0" w:rsidRDefault="00006995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proofErr w:type="spellStart"/>
            <w:r w:rsidRPr="00661FA0">
              <w:t>Biotransformed</w:t>
            </w:r>
            <w:proofErr w:type="spellEnd"/>
            <w:r w:rsidRPr="00661FA0">
              <w:t xml:space="preserve"> to cyanide</w:t>
            </w:r>
          </w:p>
          <w:p w14:paraId="74918FA6" w14:textId="030F03DF" w:rsidR="00006995" w:rsidRPr="00661FA0" w:rsidRDefault="00006995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661FA0">
              <w:t>NOAEL of 0.075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for metaplasia of the </w:t>
            </w:r>
            <w:r w:rsidR="00524163">
              <w:t xml:space="preserve">olfactory and </w:t>
            </w:r>
            <w:r w:rsidRPr="00661FA0">
              <w:t>respiratory epithelium</w:t>
            </w:r>
            <w:r w:rsidR="00524163">
              <w:t xml:space="preserve"> in rats (same study reported in ACGIH) </w:t>
            </w:r>
          </w:p>
          <w:p w14:paraId="24B0751E" w14:textId="4CD84C07" w:rsidR="00C63AAF" w:rsidRPr="00661FA0" w:rsidRDefault="00C63AAF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661FA0">
              <w:t xml:space="preserve">Skin sensitising tests in guinea pigs produced positive response in </w:t>
            </w:r>
            <w:r w:rsidR="00D711A7">
              <w:t>most</w:t>
            </w:r>
            <w:r w:rsidRPr="00661FA0">
              <w:t xml:space="preserve"> of the animals</w:t>
            </w:r>
          </w:p>
          <w:p w14:paraId="7EBCC7AA" w14:textId="79F0FD4C" w:rsidR="00006995" w:rsidRPr="00661FA0" w:rsidRDefault="00CF022C" w:rsidP="008C7DD2">
            <w:pPr>
              <w:pStyle w:val="ListBullet"/>
              <w:numPr>
                <w:ilvl w:val="0"/>
                <w:numId w:val="1"/>
              </w:numPr>
              <w:spacing w:before="60" w:after="60"/>
              <w:ind w:left="1094" w:hanging="357"/>
              <w:contextualSpacing w:val="0"/>
            </w:pPr>
            <w:r w:rsidRPr="00661FA0">
              <w:t xml:space="preserve">TWA is derived by applying a factor of 4 </w:t>
            </w:r>
            <w:r w:rsidR="00524163">
              <w:t>to the observed NOAEL in rats</w:t>
            </w:r>
            <w:r w:rsidR="00524163" w:rsidRPr="00661FA0">
              <w:t xml:space="preserve"> </w:t>
            </w:r>
            <w:r w:rsidRPr="00661FA0">
              <w:t>for intra- and interspecies variation and the type of effect and rounded up to preferred value.</w:t>
            </w:r>
          </w:p>
          <w:p w14:paraId="0AE2ECDD" w14:textId="1C01739B" w:rsidR="007E68B8" w:rsidRPr="00661FA0" w:rsidRDefault="007E68B8" w:rsidP="00AA30AE">
            <w:pPr>
              <w:pStyle w:val="ListBullet"/>
              <w:ind w:left="714"/>
            </w:pPr>
          </w:p>
        </w:tc>
      </w:tr>
    </w:tbl>
    <w:p w14:paraId="71F6EF98" w14:textId="77777777" w:rsidR="00A20751" w:rsidRPr="00661FA0" w:rsidRDefault="00A20751" w:rsidP="003365A5">
      <w:pPr>
        <w:pStyle w:val="Heading3"/>
      </w:pPr>
      <w:bookmarkStart w:id="0" w:name="SecondSource"/>
      <w:r w:rsidRPr="00661FA0">
        <w:t xml:space="preserve">Secondary </w:t>
      </w:r>
      <w:r w:rsidR="0088798F" w:rsidRPr="00661FA0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661FA0" w14:paraId="65433847" w14:textId="77777777" w:rsidTr="00877B1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29528525" w14:textId="77777777" w:rsidR="004966BF" w:rsidRPr="00661FA0" w:rsidRDefault="004966BF" w:rsidP="00263255">
            <w:pPr>
              <w:pStyle w:val="Tableheader"/>
            </w:pPr>
            <w:r w:rsidRPr="00661FA0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DCA97B5" w14:textId="77777777" w:rsidR="004966BF" w:rsidRPr="00661FA0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02AEE98" w14:textId="77777777" w:rsidR="004966BF" w:rsidRPr="00661FA0" w:rsidRDefault="004966BF" w:rsidP="00263255">
            <w:pPr>
              <w:pStyle w:val="Tableheader"/>
            </w:pPr>
            <w:r w:rsidRPr="00661FA0"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A101004" w14:textId="77777777" w:rsidR="004966BF" w:rsidRPr="00661FA0" w:rsidRDefault="004966BF" w:rsidP="00263255">
            <w:pPr>
              <w:pStyle w:val="Tableheader"/>
            </w:pPr>
            <w:r w:rsidRPr="00661FA0">
              <w:t>Additional information</w:t>
            </w:r>
          </w:p>
        </w:tc>
      </w:tr>
      <w:tr w:rsidR="004966BF" w:rsidRPr="00661FA0" w14:paraId="30B38AF3" w14:textId="77777777" w:rsidTr="00877B16">
        <w:trPr>
          <w:cantSplit/>
        </w:trPr>
        <w:tc>
          <w:tcPr>
            <w:tcW w:w="1497" w:type="dxa"/>
          </w:tcPr>
          <w:p w14:paraId="2BB4AE4B" w14:textId="77777777" w:rsidR="004966BF" w:rsidRPr="00661FA0" w:rsidRDefault="004966BF" w:rsidP="00224EE2">
            <w:pPr>
              <w:pStyle w:val="Tablefont"/>
            </w:pPr>
            <w:r w:rsidRPr="00661FA0">
              <w:t>NTP</w:t>
            </w:r>
          </w:p>
        </w:tc>
        <w:tc>
          <w:tcPr>
            <w:tcW w:w="424" w:type="dxa"/>
          </w:tcPr>
          <w:p w14:paraId="4D8F3A94" w14:textId="39F6009E" w:rsidR="004966BF" w:rsidRPr="00661FA0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877B16" w:rsidRPr="00661FA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AC7169C" w14:textId="397F4AD8" w:rsidR="004966BF" w:rsidRPr="00A66AAE" w:rsidRDefault="00877B1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661FA0"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12BB2628" w14:textId="7DFB6F02" w:rsidR="004966BF" w:rsidRPr="00661FA0" w:rsidRDefault="00877B16" w:rsidP="008C7DD2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61FA0">
              <w:rPr>
                <w:rStyle w:val="checkbox"/>
                <w:rFonts w:ascii="Arial" w:hAnsi="Arial" w:cs="Arial"/>
              </w:rPr>
              <w:t>No further information</w:t>
            </w:r>
            <w:r w:rsidR="008C7DD2" w:rsidRPr="00661FA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D735616" w14:textId="77777777" w:rsidR="007E2A4B" w:rsidRPr="00661FA0" w:rsidRDefault="007E2A4B" w:rsidP="007E2A4B">
      <w:pPr>
        <w:pStyle w:val="Heading3"/>
      </w:pPr>
      <w:r w:rsidRPr="00661FA0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661FA0" w14:paraId="7E5F90B0" w14:textId="77777777" w:rsidTr="009F57B2">
        <w:trPr>
          <w:trHeight w:val="454"/>
          <w:tblHeader/>
        </w:trPr>
        <w:tc>
          <w:tcPr>
            <w:tcW w:w="6603" w:type="dxa"/>
            <w:vAlign w:val="center"/>
          </w:tcPr>
          <w:p w14:paraId="5CBA64CE" w14:textId="77777777" w:rsidR="002E0D61" w:rsidRPr="00661FA0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661FA0">
              <w:t>Is the chemical mutagenic</w:t>
            </w:r>
            <w:r w:rsidR="002E0D61" w:rsidRPr="00661FA0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5BA125E" w14:textId="3C73CE9B" w:rsidR="002E0D61" w:rsidRPr="00661FA0" w:rsidRDefault="009F57B2" w:rsidP="00C3091E">
                <w:pPr>
                  <w:pStyle w:val="Tablefont"/>
                  <w:keepNext/>
                  <w:keepLines/>
                  <w:spacing w:before="40" w:after="40"/>
                </w:pPr>
                <w:r w:rsidRPr="00661FA0">
                  <w:t>No</w:t>
                </w:r>
              </w:p>
            </w:tc>
          </w:sdtContent>
        </w:sdt>
      </w:tr>
      <w:tr w:rsidR="008A36CF" w:rsidRPr="00661FA0" w14:paraId="57B14DEF" w14:textId="77777777" w:rsidTr="009F57B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9B9A459" w14:textId="0B276A4C" w:rsidR="008A36CF" w:rsidRPr="00661FA0" w:rsidRDefault="009F57B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661FA0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1E2DFD1" w14:textId="77777777" w:rsidR="008A36CF" w:rsidRPr="00661FA0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78707A8" w14:textId="77777777" w:rsidR="00687890" w:rsidRPr="00661FA0" w:rsidRDefault="00B479A9" w:rsidP="00474E33">
      <w:pPr>
        <w:pStyle w:val="Heading2"/>
      </w:pPr>
      <w:r w:rsidRPr="00661FA0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661FA0" w14:paraId="2345460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23D6F8E" w14:textId="77777777" w:rsidR="00687890" w:rsidRPr="00661FA0" w:rsidRDefault="00687890" w:rsidP="00263255">
            <w:pPr>
              <w:pStyle w:val="Tableheader"/>
            </w:pPr>
            <w:bookmarkStart w:id="2" w:name="Notations"/>
            <w:r w:rsidRPr="00661FA0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9ED64E9" w14:textId="77777777" w:rsidR="00687890" w:rsidRPr="00661FA0" w:rsidRDefault="00687890" w:rsidP="00F4402E">
            <w:pPr>
              <w:pStyle w:val="Tableheader"/>
              <w:tabs>
                <w:tab w:val="right" w:pos="5272"/>
              </w:tabs>
            </w:pPr>
            <w:r w:rsidRPr="00661FA0">
              <w:t>Notations</w:t>
            </w:r>
            <w:r w:rsidR="003A2B94" w:rsidRPr="00661FA0">
              <w:tab/>
            </w:r>
          </w:p>
        </w:tc>
      </w:tr>
      <w:tr w:rsidR="00687890" w:rsidRPr="00661FA0" w14:paraId="43607B32" w14:textId="77777777" w:rsidTr="00812887">
        <w:trPr>
          <w:cantSplit/>
        </w:trPr>
        <w:tc>
          <w:tcPr>
            <w:tcW w:w="3227" w:type="dxa"/>
          </w:tcPr>
          <w:p w14:paraId="339CD02A" w14:textId="77777777" w:rsidR="004079B4" w:rsidRPr="00661FA0" w:rsidRDefault="00084513" w:rsidP="00F4402E">
            <w:pPr>
              <w:pStyle w:val="Tablefont"/>
            </w:pPr>
            <w:r w:rsidRPr="00661FA0">
              <w:t>SWA</w:t>
            </w:r>
          </w:p>
        </w:tc>
        <w:tc>
          <w:tcPr>
            <w:tcW w:w="6015" w:type="dxa"/>
          </w:tcPr>
          <w:p w14:paraId="21EAAFA1" w14:textId="77777777" w:rsidR="00687890" w:rsidRPr="00661FA0" w:rsidRDefault="00C363CA" w:rsidP="00DD2F9B">
            <w:pPr>
              <w:pStyle w:val="Tablefont"/>
            </w:pPr>
            <w:r w:rsidRPr="00661FA0">
              <w:t>NA</w:t>
            </w:r>
          </w:p>
        </w:tc>
      </w:tr>
      <w:tr w:rsidR="007925F0" w:rsidRPr="00661FA0" w14:paraId="6391CD2B" w14:textId="77777777" w:rsidTr="00812887">
        <w:trPr>
          <w:cantSplit/>
        </w:trPr>
        <w:tc>
          <w:tcPr>
            <w:tcW w:w="3227" w:type="dxa"/>
          </w:tcPr>
          <w:p w14:paraId="6763007B" w14:textId="77777777" w:rsidR="004079B4" w:rsidRPr="00661FA0" w:rsidRDefault="007925F0" w:rsidP="00F4402E">
            <w:pPr>
              <w:pStyle w:val="Tablefont"/>
            </w:pPr>
            <w:r w:rsidRPr="00661FA0">
              <w:t>HCIS</w:t>
            </w:r>
          </w:p>
        </w:tc>
        <w:tc>
          <w:tcPr>
            <w:tcW w:w="6015" w:type="dxa"/>
          </w:tcPr>
          <w:p w14:paraId="5C166E49" w14:textId="77777777" w:rsidR="007925F0" w:rsidRPr="00661FA0" w:rsidRDefault="00C363CA" w:rsidP="00DD2F9B">
            <w:pPr>
              <w:pStyle w:val="Tablefont"/>
            </w:pPr>
            <w:r w:rsidRPr="00661FA0">
              <w:t>NA</w:t>
            </w:r>
          </w:p>
        </w:tc>
      </w:tr>
      <w:tr w:rsidR="00AF483F" w:rsidRPr="00661FA0" w14:paraId="361B7012" w14:textId="77777777" w:rsidTr="00812887">
        <w:trPr>
          <w:cantSplit/>
        </w:trPr>
        <w:tc>
          <w:tcPr>
            <w:tcW w:w="3227" w:type="dxa"/>
          </w:tcPr>
          <w:p w14:paraId="6B78E4FA" w14:textId="77777777" w:rsidR="00AF483F" w:rsidRPr="00661FA0" w:rsidRDefault="00AF483F" w:rsidP="00F4402E">
            <w:pPr>
              <w:pStyle w:val="Tablefont"/>
            </w:pPr>
            <w:r w:rsidRPr="00661FA0">
              <w:t>NICNAS</w:t>
            </w:r>
          </w:p>
        </w:tc>
        <w:tc>
          <w:tcPr>
            <w:tcW w:w="6015" w:type="dxa"/>
          </w:tcPr>
          <w:p w14:paraId="17F53C6A" w14:textId="77777777" w:rsidR="00AF483F" w:rsidRPr="00661FA0" w:rsidRDefault="00CA698E" w:rsidP="00DD2F9B">
            <w:pPr>
              <w:pStyle w:val="Tablefont"/>
            </w:pPr>
            <w:r w:rsidRPr="00661FA0">
              <w:t>NA</w:t>
            </w:r>
          </w:p>
        </w:tc>
      </w:tr>
      <w:tr w:rsidR="00687890" w:rsidRPr="00661FA0" w14:paraId="4801EBA4" w14:textId="77777777" w:rsidTr="00812887">
        <w:trPr>
          <w:cantSplit/>
        </w:trPr>
        <w:tc>
          <w:tcPr>
            <w:tcW w:w="3227" w:type="dxa"/>
          </w:tcPr>
          <w:p w14:paraId="55A739E8" w14:textId="77777777" w:rsidR="004079B4" w:rsidRPr="00661FA0" w:rsidRDefault="00687890" w:rsidP="00F4402E">
            <w:pPr>
              <w:pStyle w:val="Tablefont"/>
            </w:pPr>
            <w:r w:rsidRPr="00661FA0">
              <w:t>EU Annex</w:t>
            </w:r>
          </w:p>
        </w:tc>
        <w:tc>
          <w:tcPr>
            <w:tcW w:w="6015" w:type="dxa"/>
          </w:tcPr>
          <w:p w14:paraId="0B654B2E" w14:textId="77777777" w:rsidR="00687890" w:rsidRPr="00661FA0" w:rsidRDefault="00CA698E" w:rsidP="00DD2F9B">
            <w:pPr>
              <w:pStyle w:val="Tablefont"/>
            </w:pPr>
            <w:r w:rsidRPr="00661FA0">
              <w:t>NA</w:t>
            </w:r>
          </w:p>
        </w:tc>
      </w:tr>
      <w:tr w:rsidR="00E41A26" w:rsidRPr="00661FA0" w14:paraId="4F4576E4" w14:textId="77777777" w:rsidTr="00812887">
        <w:trPr>
          <w:cantSplit/>
        </w:trPr>
        <w:tc>
          <w:tcPr>
            <w:tcW w:w="3227" w:type="dxa"/>
          </w:tcPr>
          <w:p w14:paraId="0CB9DACF" w14:textId="77777777" w:rsidR="00E41A26" w:rsidRPr="00661FA0" w:rsidRDefault="00E41A26" w:rsidP="00F4402E">
            <w:pPr>
              <w:pStyle w:val="Tablefont"/>
            </w:pPr>
            <w:r w:rsidRPr="00661FA0">
              <w:t>ECHA</w:t>
            </w:r>
          </w:p>
        </w:tc>
        <w:tc>
          <w:tcPr>
            <w:tcW w:w="6015" w:type="dxa"/>
          </w:tcPr>
          <w:p w14:paraId="510BDDB6" w14:textId="77777777" w:rsidR="00E41A26" w:rsidRPr="00661FA0" w:rsidRDefault="00CA698E" w:rsidP="00DD2F9B">
            <w:pPr>
              <w:pStyle w:val="Tablefont"/>
            </w:pPr>
            <w:r w:rsidRPr="00661FA0">
              <w:t>NA</w:t>
            </w:r>
          </w:p>
        </w:tc>
      </w:tr>
      <w:tr w:rsidR="002E0D61" w:rsidRPr="00661FA0" w14:paraId="7FE8F619" w14:textId="77777777" w:rsidTr="00812887">
        <w:trPr>
          <w:cantSplit/>
        </w:trPr>
        <w:tc>
          <w:tcPr>
            <w:tcW w:w="3227" w:type="dxa"/>
          </w:tcPr>
          <w:p w14:paraId="36EEF89F" w14:textId="77777777" w:rsidR="004079B4" w:rsidRPr="00661FA0" w:rsidRDefault="002E0D61" w:rsidP="00F4402E">
            <w:pPr>
              <w:pStyle w:val="Tablefont"/>
            </w:pPr>
            <w:r w:rsidRPr="00661FA0">
              <w:t>ACGIH</w:t>
            </w:r>
          </w:p>
        </w:tc>
        <w:tc>
          <w:tcPr>
            <w:tcW w:w="6015" w:type="dxa"/>
          </w:tcPr>
          <w:p w14:paraId="08C4C5E7" w14:textId="77777777" w:rsidR="002E0D61" w:rsidRPr="00661FA0" w:rsidRDefault="00F20521" w:rsidP="00F20521">
            <w:r w:rsidRPr="00661FA0">
              <w:t>Carcinogenicity – A4</w:t>
            </w:r>
            <w:r w:rsidR="00EA62A9" w:rsidRPr="00661FA0">
              <w:t>, Skin</w:t>
            </w:r>
          </w:p>
        </w:tc>
      </w:tr>
      <w:tr w:rsidR="002E0D61" w:rsidRPr="00661FA0" w14:paraId="7F40D4C4" w14:textId="77777777" w:rsidTr="00812887">
        <w:trPr>
          <w:cantSplit/>
        </w:trPr>
        <w:tc>
          <w:tcPr>
            <w:tcW w:w="3227" w:type="dxa"/>
          </w:tcPr>
          <w:p w14:paraId="27360C5A" w14:textId="77777777" w:rsidR="004079B4" w:rsidRPr="00661FA0" w:rsidRDefault="002E0D61" w:rsidP="00F4402E">
            <w:pPr>
              <w:pStyle w:val="Tablefont"/>
            </w:pPr>
            <w:r w:rsidRPr="00661FA0">
              <w:t>DFG</w:t>
            </w:r>
          </w:p>
        </w:tc>
        <w:tc>
          <w:tcPr>
            <w:tcW w:w="6015" w:type="dxa"/>
          </w:tcPr>
          <w:p w14:paraId="5F84A87E" w14:textId="77777777" w:rsidR="002E0D61" w:rsidRPr="00661FA0" w:rsidRDefault="00206495" w:rsidP="00DD2F9B">
            <w:pPr>
              <w:pStyle w:val="Tablefont"/>
            </w:pPr>
            <w:r w:rsidRPr="00661FA0">
              <w:t>NA</w:t>
            </w:r>
          </w:p>
        </w:tc>
      </w:tr>
      <w:tr w:rsidR="002E0D61" w:rsidRPr="00661FA0" w14:paraId="74F1540B" w14:textId="77777777" w:rsidTr="00812887">
        <w:trPr>
          <w:cantSplit/>
        </w:trPr>
        <w:tc>
          <w:tcPr>
            <w:tcW w:w="3227" w:type="dxa"/>
          </w:tcPr>
          <w:p w14:paraId="752F7217" w14:textId="77777777" w:rsidR="004079B4" w:rsidRPr="00661FA0" w:rsidRDefault="002E0D61" w:rsidP="00F4402E">
            <w:pPr>
              <w:pStyle w:val="Tablefont"/>
            </w:pPr>
            <w:r w:rsidRPr="00661FA0">
              <w:t>SCOEL</w:t>
            </w:r>
          </w:p>
        </w:tc>
        <w:tc>
          <w:tcPr>
            <w:tcW w:w="6015" w:type="dxa"/>
          </w:tcPr>
          <w:p w14:paraId="3838C52E" w14:textId="77777777" w:rsidR="002E0D61" w:rsidRPr="00661FA0" w:rsidRDefault="009412DB" w:rsidP="00DD2F9B">
            <w:pPr>
              <w:pStyle w:val="Tablefont"/>
            </w:pPr>
            <w:r w:rsidRPr="00661FA0">
              <w:t>NA</w:t>
            </w:r>
          </w:p>
        </w:tc>
      </w:tr>
      <w:tr w:rsidR="002E0D61" w:rsidRPr="00661FA0" w14:paraId="18297D44" w14:textId="77777777" w:rsidTr="00812887">
        <w:trPr>
          <w:cantSplit/>
        </w:trPr>
        <w:tc>
          <w:tcPr>
            <w:tcW w:w="3227" w:type="dxa"/>
          </w:tcPr>
          <w:p w14:paraId="69321E22" w14:textId="77777777" w:rsidR="004079B4" w:rsidRPr="00661FA0" w:rsidRDefault="002E0D61" w:rsidP="00F4402E">
            <w:pPr>
              <w:pStyle w:val="Tablefont"/>
            </w:pPr>
            <w:r w:rsidRPr="00661FA0">
              <w:t>HCOTN</w:t>
            </w:r>
          </w:p>
        </w:tc>
        <w:tc>
          <w:tcPr>
            <w:tcW w:w="6015" w:type="dxa"/>
          </w:tcPr>
          <w:p w14:paraId="42BAED2C" w14:textId="77777777" w:rsidR="002E0D61" w:rsidRPr="00661FA0" w:rsidRDefault="009412DB" w:rsidP="00DD2F9B">
            <w:pPr>
              <w:pStyle w:val="Tablefont"/>
            </w:pPr>
            <w:r w:rsidRPr="00661FA0">
              <w:t>Skin</w:t>
            </w:r>
          </w:p>
        </w:tc>
      </w:tr>
      <w:tr w:rsidR="00386093" w:rsidRPr="00661FA0" w14:paraId="3E661505" w14:textId="77777777" w:rsidTr="00812887">
        <w:trPr>
          <w:cantSplit/>
        </w:trPr>
        <w:tc>
          <w:tcPr>
            <w:tcW w:w="3227" w:type="dxa"/>
          </w:tcPr>
          <w:p w14:paraId="0AB749BC" w14:textId="77777777" w:rsidR="004079B4" w:rsidRPr="00661FA0" w:rsidRDefault="00386093" w:rsidP="00F4402E">
            <w:pPr>
              <w:pStyle w:val="Tablefont"/>
            </w:pPr>
            <w:r w:rsidRPr="00661FA0">
              <w:t>IARC</w:t>
            </w:r>
          </w:p>
        </w:tc>
        <w:tc>
          <w:tcPr>
            <w:tcW w:w="6015" w:type="dxa"/>
          </w:tcPr>
          <w:p w14:paraId="34947555" w14:textId="77777777" w:rsidR="00386093" w:rsidRPr="00661FA0" w:rsidRDefault="001749B4" w:rsidP="00DD2F9B">
            <w:pPr>
              <w:pStyle w:val="Tablefont"/>
            </w:pPr>
            <w:r w:rsidRPr="00661FA0">
              <w:t>NA</w:t>
            </w:r>
          </w:p>
        </w:tc>
      </w:tr>
      <w:tr w:rsidR="00386093" w:rsidRPr="00661FA0" w14:paraId="06A02AF9" w14:textId="77777777" w:rsidTr="00812887">
        <w:trPr>
          <w:cantSplit/>
        </w:trPr>
        <w:tc>
          <w:tcPr>
            <w:tcW w:w="3227" w:type="dxa"/>
          </w:tcPr>
          <w:p w14:paraId="6D41442B" w14:textId="77777777" w:rsidR="004079B4" w:rsidRPr="00661FA0" w:rsidRDefault="00386093" w:rsidP="00F4402E">
            <w:pPr>
              <w:pStyle w:val="Tablefont"/>
              <w:keepNext/>
            </w:pPr>
            <w:r w:rsidRPr="00661FA0">
              <w:t>US NIOSH</w:t>
            </w:r>
          </w:p>
        </w:tc>
        <w:tc>
          <w:tcPr>
            <w:tcW w:w="6015" w:type="dxa"/>
          </w:tcPr>
          <w:p w14:paraId="7BE12046" w14:textId="77777777" w:rsidR="00386093" w:rsidRPr="00661FA0" w:rsidRDefault="001749B4" w:rsidP="00D87570">
            <w:pPr>
              <w:pStyle w:val="Tablefont"/>
              <w:keepNext/>
            </w:pPr>
            <w:r w:rsidRPr="00661FA0">
              <w:t>NA</w:t>
            </w:r>
          </w:p>
        </w:tc>
      </w:tr>
    </w:tbl>
    <w:bookmarkEnd w:id="2"/>
    <w:p w14:paraId="499D4A94" w14:textId="77777777" w:rsidR="00485BFD" w:rsidRPr="00661FA0" w:rsidRDefault="00485BFD" w:rsidP="00485BFD">
      <w:pPr>
        <w:pStyle w:val="Tablefooter"/>
      </w:pPr>
      <w:r w:rsidRPr="00661FA0">
        <w:t>NA = not applicable (a recommendation has not been made by this Agency); —</w:t>
      </w:r>
      <w:r w:rsidR="00D87570" w:rsidRPr="00661FA0">
        <w:t xml:space="preserve"> = the Agency has assessed available data for this chemical but has not recommended any notations</w:t>
      </w:r>
    </w:p>
    <w:p w14:paraId="3242EB7B" w14:textId="77777777" w:rsidR="00474E33" w:rsidRPr="00661FA0" w:rsidRDefault="00474E33" w:rsidP="00474E33">
      <w:pPr>
        <w:pStyle w:val="Heading3"/>
      </w:pPr>
      <w:r w:rsidRPr="00661FA0"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661FA0" w14:paraId="495ABDD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C508DBF" w14:textId="77777777" w:rsidR="00932DCE" w:rsidRPr="00661FA0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661FA0">
              <w:t>Calculation</w:t>
            </w:r>
            <w:r w:rsidR="00177CA1" w:rsidRPr="00661FA0">
              <w:tab/>
            </w:r>
          </w:p>
        </w:tc>
      </w:tr>
      <w:tr w:rsidR="00932DCE" w:rsidRPr="00661FA0" w14:paraId="43876B7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15" w:type="dxa"/>
              <w:tblLook w:val="04A0" w:firstRow="1" w:lastRow="0" w:firstColumn="1" w:lastColumn="0" w:noHBand="0" w:noVBand="1"/>
            </w:tblPr>
            <w:tblGrid>
              <w:gridCol w:w="3823"/>
              <w:gridCol w:w="1131"/>
              <w:gridCol w:w="1131"/>
              <w:gridCol w:w="2725"/>
            </w:tblGrid>
            <w:tr w:rsidR="00403E33" w:rsidRPr="00661FA0" w14:paraId="16F418E6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3B53A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65C5D97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F5CDF" w14:textId="797A30FD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AA9E2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79D79F3E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BE235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D1DD01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8295B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F77886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77E56955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05034F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CDC38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9271C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DE440C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2D48B552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06CE14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1C93D5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601F8E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767E0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3022CDDE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60E66D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74C30E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6BD9AA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9FFB0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56887ADA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089B3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EF7FE1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09AB23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F733BB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03E33" w:rsidRPr="00661FA0" w14:paraId="1762448E" w14:textId="77777777" w:rsidTr="00F52F05">
              <w:trPr>
                <w:trHeight w:val="349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DDE904" w14:textId="77777777" w:rsidR="00403E33" w:rsidRPr="00661FA0" w:rsidRDefault="00403E33" w:rsidP="00403E3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4126E6" w14:textId="77777777" w:rsidR="00403E33" w:rsidRPr="00661FA0" w:rsidRDefault="00403E33" w:rsidP="00403E3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7E4DB2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7A783" w14:textId="77777777" w:rsidR="00403E33" w:rsidRPr="00661FA0" w:rsidRDefault="00403E33" w:rsidP="00403E3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1FA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931B8B3" w14:textId="79DE55C3" w:rsidR="00932DCE" w:rsidRPr="00661FA0" w:rsidRDefault="00932DCE" w:rsidP="00F9496B">
            <w:pPr>
              <w:pStyle w:val="Tablefont"/>
            </w:pPr>
          </w:p>
        </w:tc>
      </w:tr>
    </w:tbl>
    <w:bookmarkEnd w:id="3"/>
    <w:p w14:paraId="3D32962A" w14:textId="77777777" w:rsidR="00EB3D1B" w:rsidRPr="00661FA0" w:rsidRDefault="00EB3D1B" w:rsidP="00EB3D1B">
      <w:pPr>
        <w:pStyle w:val="Heading3"/>
      </w:pPr>
      <w:r w:rsidRPr="00661FA0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RPr="00661FA0" w14:paraId="5C2FE7D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B78C3E" w14:textId="77777777" w:rsidR="00EB3D1B" w:rsidRPr="00661FA0" w:rsidRDefault="00EB3D1B" w:rsidP="00D87570">
            <w:pPr>
              <w:pStyle w:val="Tablefont"/>
            </w:pPr>
            <w:r w:rsidRPr="00661FA0">
              <w:t xml:space="preserve">Is there a </w:t>
            </w:r>
            <w:r w:rsidR="006E5D05" w:rsidRPr="00661FA0">
              <w:t>suitable</w:t>
            </w:r>
            <w:r w:rsidRPr="00661FA0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48C0F34" w14:textId="6662A4A1" w:rsidR="00EB3D1B" w:rsidRPr="00661FA0" w:rsidRDefault="001749B4" w:rsidP="00EB3D1B">
                <w:pPr>
                  <w:pStyle w:val="Tablefont"/>
                </w:pPr>
                <w:r w:rsidRPr="00661FA0">
                  <w:t>Yes</w:t>
                </w:r>
              </w:p>
            </w:tc>
          </w:sdtContent>
        </w:sdt>
      </w:tr>
    </w:tbl>
    <w:p w14:paraId="34DE653F" w14:textId="77777777" w:rsidR="00687890" w:rsidRPr="00661FA0" w:rsidRDefault="00B479A9" w:rsidP="00474E33">
      <w:pPr>
        <w:pStyle w:val="Heading2"/>
      </w:pPr>
      <w:r w:rsidRPr="00661FA0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661FA0" w14:paraId="0E8A569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DEED90" w14:textId="77777777" w:rsidR="001B79E5" w:rsidRPr="00661FA0" w:rsidRDefault="001B79E5" w:rsidP="00A31D99">
            <w:pPr>
              <w:pStyle w:val="Tablefont"/>
            </w:pPr>
            <w:r w:rsidRPr="00661FA0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D4C98AF" w14:textId="5A864AD5" w:rsidR="001B79E5" w:rsidRPr="00661FA0" w:rsidRDefault="00866138" w:rsidP="001B79E5">
                <w:pPr>
                  <w:pStyle w:val="Tablefont"/>
                </w:pPr>
                <w:r w:rsidRPr="00661FA0">
                  <w:t>188.62</w:t>
                </w:r>
              </w:p>
            </w:tc>
          </w:sdtContent>
        </w:sdt>
      </w:tr>
      <w:tr w:rsidR="00A31D99" w:rsidRPr="00661FA0" w14:paraId="3594330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C283FE8" w14:textId="77777777" w:rsidR="00A31D99" w:rsidRPr="00661FA0" w:rsidRDefault="00A31D99" w:rsidP="00A31D99">
            <w:pPr>
              <w:pStyle w:val="Tablefont"/>
            </w:pPr>
            <w:r w:rsidRPr="00661FA0">
              <w:t>Conversion factors at 25</w:t>
            </w:r>
            <w:r w:rsidRPr="00661FA0">
              <w:rPr>
                <w:rFonts w:cs="Arial"/>
              </w:rPr>
              <w:t>°</w:t>
            </w:r>
            <w:r w:rsidRPr="00661FA0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28A6CF" w14:textId="0273B7AB" w:rsidR="00A31D99" w:rsidRPr="00661FA0" w:rsidRDefault="00A0643F" w:rsidP="00A174CC">
            <w:pPr>
              <w:pStyle w:val="Tablefont"/>
            </w:pPr>
            <w:r w:rsidRPr="00661FA0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 w:rsidRPr="00661FA0">
                  <w:rPr>
                    <w:rStyle w:val="PlaceholderText"/>
                  </w:rPr>
                  <w:t>Number</w:t>
                </w:r>
              </w:sdtContent>
            </w:sdt>
            <w:r w:rsidRPr="00661FA0">
              <w:t xml:space="preserve"> mg/m</w:t>
            </w:r>
            <w:r w:rsidRPr="00661FA0">
              <w:rPr>
                <w:vertAlign w:val="superscript"/>
              </w:rPr>
              <w:t>3</w:t>
            </w:r>
            <w:r w:rsidRPr="00661FA0">
              <w:t>; 1 mg/m</w:t>
            </w:r>
            <w:r w:rsidRPr="00661FA0">
              <w:rPr>
                <w:vertAlign w:val="superscript"/>
              </w:rPr>
              <w:t>3</w:t>
            </w:r>
            <w:r w:rsidRPr="00661FA0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661FA0">
                  <w:rPr>
                    <w:color w:val="808080"/>
                  </w:rPr>
                  <w:t>Number</w:t>
                </w:r>
              </w:sdtContent>
            </w:sdt>
            <w:r w:rsidRPr="00661FA0">
              <w:t xml:space="preserve"> ppm</w:t>
            </w:r>
          </w:p>
        </w:tc>
      </w:tr>
      <w:tr w:rsidR="00687890" w:rsidRPr="00661FA0" w14:paraId="4458FD0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769FF6" w14:textId="77777777" w:rsidR="00687890" w:rsidRPr="00661FA0" w:rsidRDefault="00687890" w:rsidP="00263255">
            <w:pPr>
              <w:pStyle w:val="Tablefont"/>
            </w:pPr>
            <w:r w:rsidRPr="00661FA0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EE362FB" w14:textId="627E78A0" w:rsidR="00687890" w:rsidRPr="00661FA0" w:rsidRDefault="00E46BCB" w:rsidP="00717D45">
                <w:pPr>
                  <w:pStyle w:val="Tablefont"/>
                </w:pPr>
                <w:r w:rsidRPr="00661FA0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661FA0" w14:paraId="20919A95" w14:textId="77777777" w:rsidTr="00EA6243">
        <w:trPr>
          <w:cantSplit/>
        </w:trPr>
        <w:tc>
          <w:tcPr>
            <w:tcW w:w="4077" w:type="dxa"/>
            <w:vAlign w:val="center"/>
          </w:tcPr>
          <w:p w14:paraId="24EF6762" w14:textId="77777777" w:rsidR="00687890" w:rsidRPr="00661FA0" w:rsidRDefault="00687890" w:rsidP="00263255">
            <w:pPr>
              <w:pStyle w:val="Tablefont"/>
            </w:pPr>
            <w:r w:rsidRPr="00661FA0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F5DE7C8" w14:textId="4B1FB412" w:rsidR="00687890" w:rsidRPr="00661FA0" w:rsidRDefault="00A20751" w:rsidP="00717D45">
                <w:pPr>
                  <w:pStyle w:val="Tablefont"/>
                </w:pPr>
                <w:r w:rsidRPr="00661FA0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661FA0" w14:paraId="77D42897" w14:textId="77777777" w:rsidTr="00EA6243">
        <w:trPr>
          <w:cantSplit/>
        </w:trPr>
        <w:tc>
          <w:tcPr>
            <w:tcW w:w="4077" w:type="dxa"/>
            <w:vAlign w:val="center"/>
          </w:tcPr>
          <w:p w14:paraId="0CE3FF14" w14:textId="77777777" w:rsidR="00687890" w:rsidRPr="00661FA0" w:rsidRDefault="00687890" w:rsidP="00263255">
            <w:pPr>
              <w:pStyle w:val="Tablefont"/>
            </w:pPr>
            <w:r w:rsidRPr="00661FA0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1BD578B" w14:textId="4A4E3FE7" w:rsidR="00687890" w:rsidRPr="00661FA0" w:rsidRDefault="00687890" w:rsidP="00717D45">
                <w:pPr>
                  <w:pStyle w:val="Tablefont"/>
                </w:pPr>
                <w:r w:rsidRPr="00661FA0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661FA0" w14:paraId="5F3DD18A" w14:textId="77777777" w:rsidTr="00EA6243">
        <w:trPr>
          <w:cantSplit/>
        </w:trPr>
        <w:tc>
          <w:tcPr>
            <w:tcW w:w="4077" w:type="dxa"/>
            <w:vAlign w:val="center"/>
          </w:tcPr>
          <w:p w14:paraId="2126126F" w14:textId="77777777" w:rsidR="00E06F40" w:rsidRPr="00661FA0" w:rsidRDefault="00E06F40" w:rsidP="00084513">
            <w:pPr>
              <w:pStyle w:val="Tablefont"/>
            </w:pPr>
            <w:r w:rsidRPr="00661FA0">
              <w:t xml:space="preserve">A biological exposure index has been recommended by </w:t>
            </w:r>
            <w:r w:rsidR="00084513" w:rsidRPr="00661FA0">
              <w:t>these agencies</w:t>
            </w:r>
            <w:r w:rsidRPr="00661FA0">
              <w:t>:</w:t>
            </w:r>
          </w:p>
        </w:tc>
        <w:tc>
          <w:tcPr>
            <w:tcW w:w="5165" w:type="dxa"/>
            <w:vAlign w:val="center"/>
          </w:tcPr>
          <w:p w14:paraId="4C9DDD41" w14:textId="1925C405" w:rsidR="00E06F40" w:rsidRPr="00661F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661FA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661FA0">
              <w:t xml:space="preserve"> ACGIH</w:t>
            </w:r>
            <w:r w:rsidR="00E06F40" w:rsidRPr="00661FA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661FA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661FA0">
              <w:t xml:space="preserve"> DFG</w:t>
            </w:r>
            <w:r w:rsidR="00E06F40" w:rsidRPr="00661FA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661FA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661FA0">
              <w:t xml:space="preserve"> SCOEL</w:t>
            </w:r>
            <w:r w:rsidR="00E06F40" w:rsidRPr="00661FA0">
              <w:tab/>
            </w:r>
          </w:p>
        </w:tc>
      </w:tr>
    </w:tbl>
    <w:p w14:paraId="619C8D8C" w14:textId="77777777" w:rsidR="007F1005" w:rsidRPr="00661FA0" w:rsidRDefault="007F1005" w:rsidP="00EB3D1B">
      <w:pPr>
        <w:pStyle w:val="Heading2"/>
        <w:keepLines/>
      </w:pPr>
      <w:r w:rsidRPr="00661FA0">
        <w:t xml:space="preserve">Workplace exposure </w:t>
      </w:r>
      <w:r w:rsidR="00B479A9" w:rsidRPr="00661FA0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661FA0" w14:paraId="489FCEF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DEF1BB6" w14:textId="77777777" w:rsidR="00224EE2" w:rsidRPr="00661FA0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661FA0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06E583" w14:textId="77777777" w:rsidR="00224EE2" w:rsidRPr="00661FA0" w:rsidRDefault="00224EE2" w:rsidP="00EB3D1B">
            <w:pPr>
              <w:pStyle w:val="Tableheader"/>
              <w:keepNext/>
              <w:keepLines/>
            </w:pPr>
            <w:r w:rsidRPr="00661FA0">
              <w:t>Standard</w:t>
            </w:r>
          </w:p>
        </w:tc>
      </w:tr>
      <w:tr w:rsidR="007F1005" w:rsidRPr="00661FA0" w14:paraId="3717F73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5D3EE04" w14:textId="77777777" w:rsidR="007F1005" w:rsidRPr="00661FA0" w:rsidRDefault="00131092" w:rsidP="00EB3D1B">
                <w:pPr>
                  <w:pStyle w:val="Tablefont"/>
                  <w:keepLines/>
                </w:pPr>
                <w:r w:rsidRPr="00661FA0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E5ED4D7" w14:textId="77777777" w:rsidR="007F1005" w:rsidRPr="00661FA0" w:rsidRDefault="007F1005" w:rsidP="00EB3D1B">
            <w:pPr>
              <w:pStyle w:val="Tablefont"/>
              <w:keepLines/>
            </w:pPr>
          </w:p>
        </w:tc>
      </w:tr>
    </w:tbl>
    <w:bookmarkEnd w:id="4"/>
    <w:p w14:paraId="2D742B9C" w14:textId="77777777" w:rsidR="00F87D92" w:rsidRPr="00661FA0" w:rsidRDefault="00F87D92" w:rsidP="00EF7F78">
      <w:pPr>
        <w:pStyle w:val="Heading2"/>
        <w:tabs>
          <w:tab w:val="right" w:pos="8505"/>
        </w:tabs>
      </w:pPr>
      <w:r w:rsidRPr="00661FA0">
        <w:t>References</w:t>
      </w:r>
      <w:r w:rsidR="00EF7F78" w:rsidRPr="00661FA0">
        <w:tab/>
      </w:r>
    </w:p>
    <w:p w14:paraId="5CB9DAB5" w14:textId="77777777" w:rsidR="007F1005" w:rsidRPr="00661FA0" w:rsidRDefault="006650FE" w:rsidP="00084859">
      <w:r w:rsidRPr="00661FA0">
        <w:t>American Conference of Industrial Hygienists (ACGIH</w:t>
      </w:r>
      <w:r w:rsidRPr="00661FA0">
        <w:rPr>
          <w:vertAlign w:val="superscript"/>
        </w:rPr>
        <w:t>®</w:t>
      </w:r>
      <w:r w:rsidRPr="00661FA0">
        <w:t>) (201</w:t>
      </w:r>
      <w:r w:rsidR="00F67BBB" w:rsidRPr="00661FA0">
        <w:t>8</w:t>
      </w:r>
      <w:r w:rsidRPr="00661FA0">
        <w:t>) TLVs</w:t>
      </w:r>
      <w:r w:rsidRPr="00661FA0">
        <w:rPr>
          <w:vertAlign w:val="superscript"/>
        </w:rPr>
        <w:t>®</w:t>
      </w:r>
      <w:r w:rsidRPr="00661FA0">
        <w:t xml:space="preserve"> and BEIs</w:t>
      </w:r>
      <w:r w:rsidRPr="00661FA0">
        <w:rPr>
          <w:vertAlign w:val="superscript"/>
        </w:rPr>
        <w:t>®</w:t>
      </w:r>
      <w:r w:rsidRPr="00661FA0">
        <w:t xml:space="preserve"> with 7</w:t>
      </w:r>
      <w:r w:rsidRPr="00661FA0">
        <w:rPr>
          <w:vertAlign w:val="superscript"/>
        </w:rPr>
        <w:t>th</w:t>
      </w:r>
      <w:r w:rsidRPr="00661FA0">
        <w:t xml:space="preserve"> Edition Documentation, CD-ROM, Single User Version. Copyright 201</w:t>
      </w:r>
      <w:r w:rsidR="00F67BBB" w:rsidRPr="00661FA0">
        <w:t>8</w:t>
      </w:r>
      <w:r w:rsidRPr="00661FA0">
        <w:t xml:space="preserve">. Reprinted with permission. See the </w:t>
      </w:r>
      <w:hyperlink r:id="rId17" w:history="1">
        <w:r w:rsidRPr="00661FA0">
          <w:rPr>
            <w:rStyle w:val="Hyperlink"/>
            <w:i/>
          </w:rPr>
          <w:t>TLVs</w:t>
        </w:r>
        <w:r w:rsidRPr="00661FA0">
          <w:rPr>
            <w:rStyle w:val="Hyperlink"/>
            <w:i/>
            <w:vertAlign w:val="superscript"/>
          </w:rPr>
          <w:t>®</w:t>
        </w:r>
        <w:r w:rsidRPr="00661FA0">
          <w:rPr>
            <w:rStyle w:val="Hyperlink"/>
            <w:i/>
          </w:rPr>
          <w:t xml:space="preserve"> and BEIs</w:t>
        </w:r>
        <w:r w:rsidRPr="00661FA0">
          <w:rPr>
            <w:rStyle w:val="Hyperlink"/>
            <w:i/>
            <w:vertAlign w:val="superscript"/>
          </w:rPr>
          <w:t>®</w:t>
        </w:r>
        <w:r w:rsidRPr="00661FA0">
          <w:rPr>
            <w:rStyle w:val="Hyperlink"/>
            <w:i/>
          </w:rPr>
          <w:t xml:space="preserve"> Guidelines section</w:t>
        </w:r>
      </w:hyperlink>
      <w:r w:rsidRPr="00661FA0">
        <w:t xml:space="preserve"> on the ACGIH website.</w:t>
      </w:r>
    </w:p>
    <w:p w14:paraId="61084631" w14:textId="77777777" w:rsidR="001B7CFD" w:rsidRPr="00661FA0" w:rsidRDefault="001B7CFD" w:rsidP="00084859">
      <w:r w:rsidRPr="00661FA0">
        <w:t>Health Council of the Netherlands (HCOTN) (</w:t>
      </w:r>
      <w:r w:rsidR="00683DFC" w:rsidRPr="00661FA0">
        <w:t>2004</w:t>
      </w:r>
      <w:r w:rsidRPr="00661FA0">
        <w:t xml:space="preserve">) </w:t>
      </w:r>
      <w:r w:rsidR="00683DFC" w:rsidRPr="00661FA0">
        <w:t>(2-</w:t>
      </w:r>
      <w:proofErr w:type="gramStart"/>
      <w:r w:rsidR="00683DFC" w:rsidRPr="00661FA0">
        <w:t>Chlorobenzylidene)malononitrile</w:t>
      </w:r>
      <w:proofErr w:type="gramEnd"/>
      <w:r w:rsidRPr="00661FA0">
        <w:t xml:space="preserve">. </w:t>
      </w:r>
      <w:r w:rsidR="00683DFC" w:rsidRPr="00A66AAE">
        <w:rPr>
          <w:rFonts w:cs="Arial"/>
          <w:szCs w:val="20"/>
        </w:rPr>
        <w:t>Health-based Reassessment of Administrative Occupational Exposure Limits</w:t>
      </w:r>
      <w:r w:rsidRPr="00661FA0">
        <w:t xml:space="preserve">. The Hague: Health Council of the Netherlands; publication no. </w:t>
      </w:r>
      <w:r w:rsidR="00F05C27" w:rsidRPr="00661FA0">
        <w:t>2000/15OSH/098</w:t>
      </w:r>
      <w:r w:rsidRPr="00661FA0">
        <w:t>.</w:t>
      </w:r>
    </w:p>
    <w:p w14:paraId="1579A9FC" w14:textId="77777777" w:rsidR="001B7CFD" w:rsidRPr="00661FA0" w:rsidRDefault="001B7CFD" w:rsidP="00084859">
      <w:r w:rsidRPr="00661FA0">
        <w:t>US National Institute for Occupational Safety and Health (NIOSH) (</w:t>
      </w:r>
      <w:sdt>
        <w:sdtPr>
          <w:id w:val="-1194999823"/>
          <w:placeholder>
            <w:docPart w:val="DA9B8C199D4A4E9DAF104AAD9F73DC59"/>
          </w:placeholder>
          <w:temporary/>
          <w:showingPlcHdr/>
        </w:sdtPr>
        <w:sdtContent>
          <w:r w:rsidRPr="00661FA0">
            <w:t>1994</w:t>
          </w:r>
        </w:sdtContent>
      </w:sdt>
      <w:r w:rsidRPr="00661FA0">
        <w:t xml:space="preserve">) Immediately dangerous to life or health concentrations – </w:t>
      </w:r>
      <w:r w:rsidR="00F05C27" w:rsidRPr="00661FA0">
        <w:t>o-</w:t>
      </w:r>
      <w:proofErr w:type="spellStart"/>
      <w:r w:rsidR="00F05C27" w:rsidRPr="00661FA0">
        <w:t>chlorobenzylidene</w:t>
      </w:r>
      <w:proofErr w:type="spellEnd"/>
      <w:r w:rsidR="00F05C27" w:rsidRPr="00661FA0">
        <w:t xml:space="preserve"> malononitrile</w:t>
      </w:r>
      <w:r w:rsidRPr="00661FA0">
        <w:t>.</w:t>
      </w:r>
    </w:p>
    <w:sectPr w:rsidR="001B7CFD" w:rsidRPr="00661FA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C6027" w14:textId="77777777" w:rsidR="001D0604" w:rsidRDefault="001D0604" w:rsidP="00F43AD5">
      <w:pPr>
        <w:spacing w:after="0" w:line="240" w:lineRule="auto"/>
      </w:pPr>
      <w:r>
        <w:separator/>
      </w:r>
    </w:p>
  </w:endnote>
  <w:endnote w:type="continuationSeparator" w:id="0">
    <w:p w14:paraId="2A204227" w14:textId="77777777" w:rsidR="001D0604" w:rsidRDefault="001D060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0391B" w14:textId="77777777" w:rsidR="00A66AAE" w:rsidRDefault="00A66A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3C8753" w14:textId="77777777" w:rsidR="008A36CF" w:rsidRPr="001F27EB" w:rsidRDefault="00EE3364" w:rsidP="0034744C">
        <w:pPr>
          <w:pStyle w:val="Footer"/>
          <w:rPr>
            <w:sz w:val="18"/>
            <w:szCs w:val="18"/>
          </w:rPr>
        </w:pPr>
        <w:r w:rsidRPr="001F27EB">
          <w:rPr>
            <w:b/>
            <w:sz w:val="18"/>
            <w:szCs w:val="18"/>
          </w:rPr>
          <w:t>o-</w:t>
        </w:r>
        <w:proofErr w:type="spellStart"/>
        <w:r w:rsidRPr="001F27EB">
          <w:rPr>
            <w:b/>
            <w:sz w:val="18"/>
            <w:szCs w:val="18"/>
          </w:rPr>
          <w:t>Chlorobenzylidene</w:t>
        </w:r>
        <w:proofErr w:type="spellEnd"/>
        <w:r w:rsidRPr="001F27EB">
          <w:rPr>
            <w:b/>
            <w:sz w:val="18"/>
            <w:szCs w:val="18"/>
          </w:rPr>
          <w:t xml:space="preserve"> malononitrile</w:t>
        </w:r>
        <w:r w:rsidR="008A36CF" w:rsidRPr="001F27EB">
          <w:rPr>
            <w:b/>
            <w:sz w:val="18"/>
            <w:szCs w:val="18"/>
          </w:rPr>
          <w:t xml:space="preserve"> (</w:t>
        </w:r>
        <w:r w:rsidRPr="001F27EB">
          <w:rPr>
            <w:b/>
            <w:sz w:val="18"/>
            <w:szCs w:val="18"/>
          </w:rPr>
          <w:t>2698-41-1</w:t>
        </w:r>
        <w:r w:rsidR="008A36CF" w:rsidRPr="001F27EB">
          <w:rPr>
            <w:b/>
            <w:sz w:val="18"/>
            <w:szCs w:val="18"/>
          </w:rPr>
          <w:t>)</w:t>
        </w:r>
        <w:r w:rsidR="008A36CF" w:rsidRPr="001F27EB">
          <w:rPr>
            <w:sz w:val="18"/>
            <w:szCs w:val="18"/>
          </w:rPr>
          <w:br/>
          <w:t xml:space="preserve">Safe Work Australia </w:t>
        </w:r>
        <w:r w:rsidR="008A36CF" w:rsidRPr="001F27EB">
          <w:rPr>
            <w:rFonts w:ascii="Courier New" w:hAnsi="Courier New" w:cs="Courier New"/>
            <w:sz w:val="18"/>
            <w:szCs w:val="18"/>
          </w:rPr>
          <w:t>—</w:t>
        </w:r>
        <w:r w:rsidR="008A36CF" w:rsidRPr="001F27EB">
          <w:rPr>
            <w:sz w:val="18"/>
            <w:szCs w:val="18"/>
          </w:rPr>
          <w:t xml:space="preserve"> 201</w:t>
        </w:r>
        <w:r w:rsidR="00351FE0" w:rsidRPr="001F27EB">
          <w:rPr>
            <w:sz w:val="18"/>
            <w:szCs w:val="18"/>
          </w:rPr>
          <w:t>9</w:t>
        </w:r>
      </w:p>
      <w:p w14:paraId="60204BB3" w14:textId="1C1AB2E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A4532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DB901" w14:textId="77777777" w:rsidR="00A66AAE" w:rsidRDefault="00A66A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C7B187" w14:textId="77777777" w:rsidR="001D0604" w:rsidRDefault="001D0604" w:rsidP="00F43AD5">
      <w:pPr>
        <w:spacing w:after="0" w:line="240" w:lineRule="auto"/>
      </w:pPr>
      <w:r>
        <w:separator/>
      </w:r>
    </w:p>
  </w:footnote>
  <w:footnote w:type="continuationSeparator" w:id="0">
    <w:p w14:paraId="18D3789E" w14:textId="77777777" w:rsidR="001D0604" w:rsidRDefault="001D060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78369" w14:textId="3D863507" w:rsidR="00A66AAE" w:rsidRDefault="00A66A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385AD" w14:textId="60AD25F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AD0C3C1" wp14:editId="45F2A1E6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4E027" w14:textId="53CB68F4" w:rsidR="00A66AAE" w:rsidRDefault="00A66AA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BDD95" w14:textId="30BFF6E6" w:rsidR="00BA4532" w:rsidRDefault="00BA453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D83DD" w14:textId="4F6F9CD0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3953B" w14:textId="6D960EBA" w:rsidR="00BA4532" w:rsidRDefault="00BA45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B822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22E3C8A"/>
    <w:multiLevelType w:val="hybridMultilevel"/>
    <w:tmpl w:val="7D50D2A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4C80638"/>
    <w:multiLevelType w:val="hybridMultilevel"/>
    <w:tmpl w:val="8FB239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092610">
    <w:abstractNumId w:val="0"/>
  </w:num>
  <w:num w:numId="2" w16cid:durableId="1670938099">
    <w:abstractNumId w:val="1"/>
  </w:num>
  <w:num w:numId="3" w16cid:durableId="17232906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995"/>
    <w:rsid w:val="00007B80"/>
    <w:rsid w:val="00013A22"/>
    <w:rsid w:val="00014C3F"/>
    <w:rsid w:val="00017C82"/>
    <w:rsid w:val="00023897"/>
    <w:rsid w:val="0003216D"/>
    <w:rsid w:val="00032B88"/>
    <w:rsid w:val="00036DD3"/>
    <w:rsid w:val="000433DB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6EDA"/>
    <w:rsid w:val="000D291C"/>
    <w:rsid w:val="000E5A54"/>
    <w:rsid w:val="000E63D3"/>
    <w:rsid w:val="000E67CF"/>
    <w:rsid w:val="000F03AC"/>
    <w:rsid w:val="0010461E"/>
    <w:rsid w:val="00106FAA"/>
    <w:rsid w:val="00113443"/>
    <w:rsid w:val="001269A7"/>
    <w:rsid w:val="00131092"/>
    <w:rsid w:val="00132F78"/>
    <w:rsid w:val="001372D0"/>
    <w:rsid w:val="00140E6A"/>
    <w:rsid w:val="00146545"/>
    <w:rsid w:val="00146B75"/>
    <w:rsid w:val="0015266D"/>
    <w:rsid w:val="0015288A"/>
    <w:rsid w:val="00160F47"/>
    <w:rsid w:val="001749B4"/>
    <w:rsid w:val="00177CA1"/>
    <w:rsid w:val="00183823"/>
    <w:rsid w:val="00183942"/>
    <w:rsid w:val="001A009E"/>
    <w:rsid w:val="001A1287"/>
    <w:rsid w:val="001A3859"/>
    <w:rsid w:val="001A3C9D"/>
    <w:rsid w:val="001A43F8"/>
    <w:rsid w:val="001A51E2"/>
    <w:rsid w:val="001B79E5"/>
    <w:rsid w:val="001B7CFD"/>
    <w:rsid w:val="001C6319"/>
    <w:rsid w:val="001D0604"/>
    <w:rsid w:val="001D56F0"/>
    <w:rsid w:val="001D663B"/>
    <w:rsid w:val="001D7B41"/>
    <w:rsid w:val="001E46DA"/>
    <w:rsid w:val="001E7D80"/>
    <w:rsid w:val="001F27EB"/>
    <w:rsid w:val="001F4B6C"/>
    <w:rsid w:val="001F62CB"/>
    <w:rsid w:val="001F6ED0"/>
    <w:rsid w:val="001F72E6"/>
    <w:rsid w:val="001F73C5"/>
    <w:rsid w:val="002046A6"/>
    <w:rsid w:val="0020487C"/>
    <w:rsid w:val="00204956"/>
    <w:rsid w:val="00206495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0FC6"/>
    <w:rsid w:val="00263255"/>
    <w:rsid w:val="00276494"/>
    <w:rsid w:val="00277B0C"/>
    <w:rsid w:val="002B1A2C"/>
    <w:rsid w:val="002C34F2"/>
    <w:rsid w:val="002C58FF"/>
    <w:rsid w:val="002C7AFE"/>
    <w:rsid w:val="002D05D2"/>
    <w:rsid w:val="002D5846"/>
    <w:rsid w:val="002D75F3"/>
    <w:rsid w:val="002E0D61"/>
    <w:rsid w:val="002E1ACD"/>
    <w:rsid w:val="002E4C7B"/>
    <w:rsid w:val="0030740C"/>
    <w:rsid w:val="00315833"/>
    <w:rsid w:val="003215EE"/>
    <w:rsid w:val="003224BF"/>
    <w:rsid w:val="00323A0B"/>
    <w:rsid w:val="003241A8"/>
    <w:rsid w:val="003253F0"/>
    <w:rsid w:val="003337DA"/>
    <w:rsid w:val="00334EFB"/>
    <w:rsid w:val="00335CDE"/>
    <w:rsid w:val="003365A5"/>
    <w:rsid w:val="00343F4E"/>
    <w:rsid w:val="00347192"/>
    <w:rsid w:val="0034744C"/>
    <w:rsid w:val="00351FE0"/>
    <w:rsid w:val="00352615"/>
    <w:rsid w:val="0035412B"/>
    <w:rsid w:val="003567A8"/>
    <w:rsid w:val="0036096C"/>
    <w:rsid w:val="00361E5A"/>
    <w:rsid w:val="00362895"/>
    <w:rsid w:val="00363F7B"/>
    <w:rsid w:val="00370DBF"/>
    <w:rsid w:val="00371F8B"/>
    <w:rsid w:val="00386093"/>
    <w:rsid w:val="003904A4"/>
    <w:rsid w:val="00391841"/>
    <w:rsid w:val="00391B6D"/>
    <w:rsid w:val="00392D7F"/>
    <w:rsid w:val="00394922"/>
    <w:rsid w:val="003A0E32"/>
    <w:rsid w:val="003A2B94"/>
    <w:rsid w:val="003B1DB3"/>
    <w:rsid w:val="003B387D"/>
    <w:rsid w:val="003C0D58"/>
    <w:rsid w:val="003D4FA3"/>
    <w:rsid w:val="003E0807"/>
    <w:rsid w:val="003E51FB"/>
    <w:rsid w:val="003E6B39"/>
    <w:rsid w:val="003F07E1"/>
    <w:rsid w:val="003F7C82"/>
    <w:rsid w:val="004030BC"/>
    <w:rsid w:val="00403E33"/>
    <w:rsid w:val="00403F7D"/>
    <w:rsid w:val="00406785"/>
    <w:rsid w:val="004079B4"/>
    <w:rsid w:val="0041040A"/>
    <w:rsid w:val="00415D6F"/>
    <w:rsid w:val="00417A56"/>
    <w:rsid w:val="00420957"/>
    <w:rsid w:val="00422A10"/>
    <w:rsid w:val="00430179"/>
    <w:rsid w:val="004414B5"/>
    <w:rsid w:val="0044190E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682"/>
    <w:rsid w:val="004A5088"/>
    <w:rsid w:val="004C1E3F"/>
    <w:rsid w:val="004C23F4"/>
    <w:rsid w:val="004C32E6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1162"/>
    <w:rsid w:val="005142C4"/>
    <w:rsid w:val="0051509C"/>
    <w:rsid w:val="00524163"/>
    <w:rsid w:val="00524683"/>
    <w:rsid w:val="005272E2"/>
    <w:rsid w:val="0053108F"/>
    <w:rsid w:val="00532B56"/>
    <w:rsid w:val="00534B10"/>
    <w:rsid w:val="00536E27"/>
    <w:rsid w:val="005446A2"/>
    <w:rsid w:val="00544D2F"/>
    <w:rsid w:val="00545F86"/>
    <w:rsid w:val="00546149"/>
    <w:rsid w:val="00551BD8"/>
    <w:rsid w:val="00555CDA"/>
    <w:rsid w:val="00561DFC"/>
    <w:rsid w:val="00580419"/>
    <w:rsid w:val="00581055"/>
    <w:rsid w:val="005843BE"/>
    <w:rsid w:val="00585809"/>
    <w:rsid w:val="00591E38"/>
    <w:rsid w:val="005A19C5"/>
    <w:rsid w:val="005A3034"/>
    <w:rsid w:val="005A462D"/>
    <w:rsid w:val="005B253B"/>
    <w:rsid w:val="005B771D"/>
    <w:rsid w:val="005C5D16"/>
    <w:rsid w:val="005D2FBE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F3C"/>
    <w:rsid w:val="006363A8"/>
    <w:rsid w:val="00636DB7"/>
    <w:rsid w:val="00644841"/>
    <w:rsid w:val="00650905"/>
    <w:rsid w:val="006532ED"/>
    <w:rsid w:val="0065414F"/>
    <w:rsid w:val="00654161"/>
    <w:rsid w:val="0065460A"/>
    <w:rsid w:val="006549F2"/>
    <w:rsid w:val="006567B7"/>
    <w:rsid w:val="00657BFB"/>
    <w:rsid w:val="00661FA0"/>
    <w:rsid w:val="0066333C"/>
    <w:rsid w:val="006639B4"/>
    <w:rsid w:val="006650FE"/>
    <w:rsid w:val="0067305D"/>
    <w:rsid w:val="00677D9B"/>
    <w:rsid w:val="00683DFC"/>
    <w:rsid w:val="006867F3"/>
    <w:rsid w:val="00687890"/>
    <w:rsid w:val="006901A2"/>
    <w:rsid w:val="00690368"/>
    <w:rsid w:val="0069079C"/>
    <w:rsid w:val="00690B53"/>
    <w:rsid w:val="00692E48"/>
    <w:rsid w:val="00694C8A"/>
    <w:rsid w:val="006952FE"/>
    <w:rsid w:val="00695B72"/>
    <w:rsid w:val="006B160A"/>
    <w:rsid w:val="006B4E6C"/>
    <w:rsid w:val="006B50B6"/>
    <w:rsid w:val="006C3AFB"/>
    <w:rsid w:val="006D2C3D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3DE"/>
    <w:rsid w:val="00791847"/>
    <w:rsid w:val="007925F0"/>
    <w:rsid w:val="007939B3"/>
    <w:rsid w:val="0079509C"/>
    <w:rsid w:val="00796708"/>
    <w:rsid w:val="007A032A"/>
    <w:rsid w:val="007A0D11"/>
    <w:rsid w:val="007B070E"/>
    <w:rsid w:val="007B1B42"/>
    <w:rsid w:val="007B6696"/>
    <w:rsid w:val="007C30EB"/>
    <w:rsid w:val="007D680E"/>
    <w:rsid w:val="007E063C"/>
    <w:rsid w:val="007E2A4B"/>
    <w:rsid w:val="007E307D"/>
    <w:rsid w:val="007E669C"/>
    <w:rsid w:val="007E68B8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1EC4"/>
    <w:rsid w:val="008630EE"/>
    <w:rsid w:val="00864D13"/>
    <w:rsid w:val="00866138"/>
    <w:rsid w:val="008700FC"/>
    <w:rsid w:val="00871CD5"/>
    <w:rsid w:val="008745A2"/>
    <w:rsid w:val="008768A8"/>
    <w:rsid w:val="00877B16"/>
    <w:rsid w:val="0088798F"/>
    <w:rsid w:val="00887E4B"/>
    <w:rsid w:val="008915C8"/>
    <w:rsid w:val="00895382"/>
    <w:rsid w:val="008A36CF"/>
    <w:rsid w:val="008A3BC4"/>
    <w:rsid w:val="008B403C"/>
    <w:rsid w:val="008B7983"/>
    <w:rsid w:val="008C2511"/>
    <w:rsid w:val="008C7DD2"/>
    <w:rsid w:val="008D026D"/>
    <w:rsid w:val="008D23AB"/>
    <w:rsid w:val="008D247C"/>
    <w:rsid w:val="008D4B8B"/>
    <w:rsid w:val="008D5A78"/>
    <w:rsid w:val="008E7B64"/>
    <w:rsid w:val="008F1539"/>
    <w:rsid w:val="008F25AD"/>
    <w:rsid w:val="008F5DCD"/>
    <w:rsid w:val="00900324"/>
    <w:rsid w:val="0090047D"/>
    <w:rsid w:val="00900951"/>
    <w:rsid w:val="0090122D"/>
    <w:rsid w:val="00910EA9"/>
    <w:rsid w:val="009118A6"/>
    <w:rsid w:val="0091545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2DB"/>
    <w:rsid w:val="00945418"/>
    <w:rsid w:val="00946044"/>
    <w:rsid w:val="0094660B"/>
    <w:rsid w:val="00946A33"/>
    <w:rsid w:val="0095260E"/>
    <w:rsid w:val="009578DD"/>
    <w:rsid w:val="00960A6F"/>
    <w:rsid w:val="00961124"/>
    <w:rsid w:val="009621B6"/>
    <w:rsid w:val="00974F2D"/>
    <w:rsid w:val="00977524"/>
    <w:rsid w:val="00977E88"/>
    <w:rsid w:val="00984920"/>
    <w:rsid w:val="0099303A"/>
    <w:rsid w:val="00993B15"/>
    <w:rsid w:val="00996428"/>
    <w:rsid w:val="009971C2"/>
    <w:rsid w:val="00997B09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7B2"/>
    <w:rsid w:val="00A01D0C"/>
    <w:rsid w:val="00A0643F"/>
    <w:rsid w:val="00A067EE"/>
    <w:rsid w:val="00A10FCE"/>
    <w:rsid w:val="00A16D91"/>
    <w:rsid w:val="00A174CC"/>
    <w:rsid w:val="00A2073D"/>
    <w:rsid w:val="00A20751"/>
    <w:rsid w:val="00A25F96"/>
    <w:rsid w:val="00A27E2D"/>
    <w:rsid w:val="00A31D99"/>
    <w:rsid w:val="00A357BA"/>
    <w:rsid w:val="00A35ADC"/>
    <w:rsid w:val="00A402A3"/>
    <w:rsid w:val="00A46ED6"/>
    <w:rsid w:val="00A53681"/>
    <w:rsid w:val="00A62C9B"/>
    <w:rsid w:val="00A633D4"/>
    <w:rsid w:val="00A6461A"/>
    <w:rsid w:val="00A66AAE"/>
    <w:rsid w:val="00A83DC2"/>
    <w:rsid w:val="00A84504"/>
    <w:rsid w:val="00A8672F"/>
    <w:rsid w:val="00A93057"/>
    <w:rsid w:val="00A968B0"/>
    <w:rsid w:val="00AA30AE"/>
    <w:rsid w:val="00AB2672"/>
    <w:rsid w:val="00AB2817"/>
    <w:rsid w:val="00AB43C4"/>
    <w:rsid w:val="00AC32E7"/>
    <w:rsid w:val="00AC3A9F"/>
    <w:rsid w:val="00AC6D2F"/>
    <w:rsid w:val="00AD7273"/>
    <w:rsid w:val="00AE2745"/>
    <w:rsid w:val="00AE2F64"/>
    <w:rsid w:val="00AF42CB"/>
    <w:rsid w:val="00AF483F"/>
    <w:rsid w:val="00AF5E07"/>
    <w:rsid w:val="00AF5F06"/>
    <w:rsid w:val="00B00528"/>
    <w:rsid w:val="00B00A25"/>
    <w:rsid w:val="00B1422A"/>
    <w:rsid w:val="00B1765C"/>
    <w:rsid w:val="00B213C4"/>
    <w:rsid w:val="00B32B37"/>
    <w:rsid w:val="00B40C60"/>
    <w:rsid w:val="00B479A9"/>
    <w:rsid w:val="00B52EDF"/>
    <w:rsid w:val="00B71188"/>
    <w:rsid w:val="00B76A41"/>
    <w:rsid w:val="00B87D4C"/>
    <w:rsid w:val="00B93646"/>
    <w:rsid w:val="00BA04AD"/>
    <w:rsid w:val="00BA0B38"/>
    <w:rsid w:val="00BA1DBB"/>
    <w:rsid w:val="00BA4510"/>
    <w:rsid w:val="00BA4532"/>
    <w:rsid w:val="00BA529A"/>
    <w:rsid w:val="00BB612A"/>
    <w:rsid w:val="00BC1FA8"/>
    <w:rsid w:val="00BD3AB5"/>
    <w:rsid w:val="00BD499F"/>
    <w:rsid w:val="00BD56DE"/>
    <w:rsid w:val="00BF2406"/>
    <w:rsid w:val="00C06E43"/>
    <w:rsid w:val="00C16315"/>
    <w:rsid w:val="00C3091E"/>
    <w:rsid w:val="00C309DC"/>
    <w:rsid w:val="00C363CA"/>
    <w:rsid w:val="00C40FF1"/>
    <w:rsid w:val="00C419E2"/>
    <w:rsid w:val="00C5020E"/>
    <w:rsid w:val="00C57452"/>
    <w:rsid w:val="00C61EDF"/>
    <w:rsid w:val="00C6239D"/>
    <w:rsid w:val="00C63AAF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698E"/>
    <w:rsid w:val="00CB1CB1"/>
    <w:rsid w:val="00CB6BC1"/>
    <w:rsid w:val="00CB6CB8"/>
    <w:rsid w:val="00CC1A68"/>
    <w:rsid w:val="00CC2123"/>
    <w:rsid w:val="00CD2836"/>
    <w:rsid w:val="00CD2BFD"/>
    <w:rsid w:val="00CE5AD6"/>
    <w:rsid w:val="00CE617F"/>
    <w:rsid w:val="00CE78EF"/>
    <w:rsid w:val="00CF022C"/>
    <w:rsid w:val="00CF2887"/>
    <w:rsid w:val="00D048F7"/>
    <w:rsid w:val="00D0517E"/>
    <w:rsid w:val="00D140FC"/>
    <w:rsid w:val="00D20AA1"/>
    <w:rsid w:val="00D21D8C"/>
    <w:rsid w:val="00D31357"/>
    <w:rsid w:val="00D33220"/>
    <w:rsid w:val="00D334D1"/>
    <w:rsid w:val="00D445EE"/>
    <w:rsid w:val="00D44C89"/>
    <w:rsid w:val="00D516CD"/>
    <w:rsid w:val="00D654DF"/>
    <w:rsid w:val="00D668E6"/>
    <w:rsid w:val="00D70670"/>
    <w:rsid w:val="00D711A7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5C7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7EDC"/>
    <w:rsid w:val="00E804EA"/>
    <w:rsid w:val="00E80A71"/>
    <w:rsid w:val="00E82337"/>
    <w:rsid w:val="00E84D90"/>
    <w:rsid w:val="00E852CE"/>
    <w:rsid w:val="00E92499"/>
    <w:rsid w:val="00E949AF"/>
    <w:rsid w:val="00E96077"/>
    <w:rsid w:val="00EA0A06"/>
    <w:rsid w:val="00EA6243"/>
    <w:rsid w:val="00EA62A9"/>
    <w:rsid w:val="00EA74AB"/>
    <w:rsid w:val="00EB1DC6"/>
    <w:rsid w:val="00EB3D1B"/>
    <w:rsid w:val="00ED1D89"/>
    <w:rsid w:val="00ED66BC"/>
    <w:rsid w:val="00EE3364"/>
    <w:rsid w:val="00EF233A"/>
    <w:rsid w:val="00EF303E"/>
    <w:rsid w:val="00EF3A40"/>
    <w:rsid w:val="00EF7F78"/>
    <w:rsid w:val="00F01B08"/>
    <w:rsid w:val="00F01C4D"/>
    <w:rsid w:val="00F053FA"/>
    <w:rsid w:val="00F05C27"/>
    <w:rsid w:val="00F10C97"/>
    <w:rsid w:val="00F11C71"/>
    <w:rsid w:val="00F16019"/>
    <w:rsid w:val="00F20521"/>
    <w:rsid w:val="00F20E68"/>
    <w:rsid w:val="00F22093"/>
    <w:rsid w:val="00F236DF"/>
    <w:rsid w:val="00F3098A"/>
    <w:rsid w:val="00F43AD5"/>
    <w:rsid w:val="00F4402E"/>
    <w:rsid w:val="00F52F05"/>
    <w:rsid w:val="00F56DD0"/>
    <w:rsid w:val="00F6491C"/>
    <w:rsid w:val="00F67BBB"/>
    <w:rsid w:val="00F72C8C"/>
    <w:rsid w:val="00F87D92"/>
    <w:rsid w:val="00F90AA7"/>
    <w:rsid w:val="00F92498"/>
    <w:rsid w:val="00F9496B"/>
    <w:rsid w:val="00F970C9"/>
    <w:rsid w:val="00FA06A8"/>
    <w:rsid w:val="00FA3069"/>
    <w:rsid w:val="00FA3DF5"/>
    <w:rsid w:val="00FA741F"/>
    <w:rsid w:val="00FB4E07"/>
    <w:rsid w:val="00FB59C2"/>
    <w:rsid w:val="00FB60C1"/>
    <w:rsid w:val="00FB755A"/>
    <w:rsid w:val="00FC0EC3"/>
    <w:rsid w:val="00FC60A2"/>
    <w:rsid w:val="00FD07C4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0CD35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10EA9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04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040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040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104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1040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2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9B8C199D4A4E9DAF104AAD9F73DC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7E433B-DD6B-4516-A7AD-BDA2B82DD6D0}"/>
      </w:docPartPr>
      <w:docPartBody>
        <w:p w:rsidR="00100D7A" w:rsidRDefault="00355DDE" w:rsidP="00355DDE">
          <w:pPr>
            <w:pStyle w:val="DA9B8C199D4A4E9DAF104AAD9F73DC59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0D7A"/>
    <w:rsid w:val="00355DDE"/>
    <w:rsid w:val="00705F82"/>
    <w:rsid w:val="007B070E"/>
    <w:rsid w:val="00CB2184"/>
    <w:rsid w:val="00D21A9F"/>
    <w:rsid w:val="00F12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55DD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9B8C199D4A4E9DAF104AAD9F73DC59">
    <w:name w:val="DA9B8C199D4A4E9DAF104AAD9F73DC59"/>
    <w:rsid w:val="00355DDE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164F4-DC0D-40B1-A4B2-356E0AAE501A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D28AD-DFE8-4D33-8407-19212A2F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5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23</cp:revision>
  <cp:lastPrinted>2018-10-22T22:41:00Z</cp:lastPrinted>
  <dcterms:created xsi:type="dcterms:W3CDTF">2019-09-19T08:04:00Z</dcterms:created>
  <dcterms:modified xsi:type="dcterms:W3CDTF">2025-12-19T00:27:00Z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2025-12-19T00:27:30Z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ca0cf00f-10e3-46a0-9dcf-8cbbddd302eb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