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1AFF076" w14:textId="27FF25EF" w:rsidR="00BD499F" w:rsidRPr="004C23F4" w:rsidRDefault="008E6AF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E2266E">
            <w:rPr>
              <w:rFonts w:ascii="Arial" w:hAnsi="Arial" w:cs="Arial"/>
            </w:rPr>
            <w:t>hloroform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53B14A12" w14:textId="77777777" w:rsidTr="00B76A41">
        <w:trPr>
          <w:cantSplit/>
          <w:tblHeader/>
        </w:trPr>
        <w:tc>
          <w:tcPr>
            <w:tcW w:w="4077" w:type="dxa"/>
          </w:tcPr>
          <w:p w14:paraId="35A8C0E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5FC1B55" w14:textId="77777777" w:rsidR="00F43AD5" w:rsidRPr="00717D45" w:rsidRDefault="00E2266E" w:rsidP="00B76A41">
            <w:pPr>
              <w:pStyle w:val="Tablefont"/>
            </w:pPr>
            <w:r>
              <w:t>67-66-3</w:t>
            </w:r>
          </w:p>
        </w:tc>
      </w:tr>
      <w:tr w:rsidR="00F43AD5" w:rsidRPr="004C23F4" w14:paraId="45C45D60" w14:textId="77777777" w:rsidTr="00B76A41">
        <w:trPr>
          <w:cantSplit/>
        </w:trPr>
        <w:tc>
          <w:tcPr>
            <w:tcW w:w="4077" w:type="dxa"/>
          </w:tcPr>
          <w:p w14:paraId="5373653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CFFA0B1" w14:textId="53FC011C" w:rsidR="00F43AD5" w:rsidRPr="00717D45" w:rsidRDefault="004505D1" w:rsidP="00B76A41">
            <w:pPr>
              <w:pStyle w:val="Tablefont"/>
            </w:pPr>
            <w:r>
              <w:t xml:space="preserve">Formyl trichloride, methane trichloride, </w:t>
            </w:r>
            <w:r w:rsidR="00E7656F">
              <w:br/>
            </w:r>
            <w:proofErr w:type="spellStart"/>
            <w:r>
              <w:t>methenyl</w:t>
            </w:r>
            <w:proofErr w:type="spellEnd"/>
            <w:r>
              <w:t xml:space="preserve"> trichloride, </w:t>
            </w:r>
            <w:proofErr w:type="spellStart"/>
            <w:r>
              <w:t>trichloroform</w:t>
            </w:r>
            <w:proofErr w:type="spellEnd"/>
            <w:r>
              <w:t>, trichloromethane</w:t>
            </w:r>
          </w:p>
        </w:tc>
      </w:tr>
      <w:tr w:rsidR="00F43AD5" w:rsidRPr="004C23F4" w14:paraId="0A7A7E39" w14:textId="77777777" w:rsidTr="00B76A41">
        <w:trPr>
          <w:cantSplit/>
        </w:trPr>
        <w:tc>
          <w:tcPr>
            <w:tcW w:w="4077" w:type="dxa"/>
          </w:tcPr>
          <w:p w14:paraId="193EF2C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EF3CFE0" w14:textId="77777777" w:rsidR="00F43AD5" w:rsidRPr="00717D45" w:rsidRDefault="00FF5DFC" w:rsidP="00B76A41">
            <w:pPr>
              <w:pStyle w:val="Tablefont"/>
            </w:pPr>
            <w:r>
              <w:t>CHCl</w:t>
            </w:r>
            <w:r w:rsidRPr="00FF5DFC">
              <w:rPr>
                <w:vertAlign w:val="subscript"/>
              </w:rPr>
              <w:t>3</w:t>
            </w:r>
          </w:p>
        </w:tc>
      </w:tr>
      <w:tr w:rsidR="00F43AD5" w:rsidRPr="004C23F4" w14:paraId="51388418" w14:textId="77777777" w:rsidTr="00B76A41">
        <w:trPr>
          <w:cantSplit/>
        </w:trPr>
        <w:tc>
          <w:tcPr>
            <w:tcW w:w="4077" w:type="dxa"/>
          </w:tcPr>
          <w:p w14:paraId="18490CE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57FC1BF" w14:textId="77777777" w:rsidR="00F43AD5" w:rsidRPr="00B40C60" w:rsidRDefault="00560488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0030600B" w14:textId="0098A35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05CB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442CC124" w14:textId="77777777" w:rsidTr="00BD3919">
        <w:trPr>
          <w:cantSplit/>
          <w:tblHeader/>
        </w:trPr>
        <w:tc>
          <w:tcPr>
            <w:tcW w:w="4010" w:type="dxa"/>
            <w:vAlign w:val="center"/>
          </w:tcPr>
          <w:p w14:paraId="5AE138D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D4FA9AB" w14:textId="61854BFA" w:rsidR="002C7AFE" w:rsidRPr="00605CB0" w:rsidRDefault="00605CB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(2.5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BD3919" w:rsidRPr="004C23F4" w14:paraId="655B15B4" w14:textId="77777777" w:rsidTr="00BD3919">
        <w:trPr>
          <w:cantSplit/>
        </w:trPr>
        <w:tc>
          <w:tcPr>
            <w:tcW w:w="4010" w:type="dxa"/>
            <w:vAlign w:val="center"/>
          </w:tcPr>
          <w:p w14:paraId="03FA4884" w14:textId="77777777" w:rsidR="00BD3919" w:rsidRPr="002C58FF" w:rsidRDefault="00BD3919" w:rsidP="00BD3919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3BC998A" w14:textId="77777777" w:rsidR="00BD3919" w:rsidRPr="003F3E7F" w:rsidRDefault="00BD3919" w:rsidP="007E4C0F">
            <w:pPr>
              <w:pStyle w:val="Tablerowheading"/>
            </w:pPr>
            <w:r w:rsidRPr="007E4C0F">
              <w:rPr>
                <w:b w:val="0"/>
              </w:rPr>
              <w:t>—</w:t>
            </w:r>
          </w:p>
        </w:tc>
      </w:tr>
      <w:tr w:rsidR="00BD3919" w:rsidRPr="004C23F4" w14:paraId="4CE7F0CB" w14:textId="77777777" w:rsidTr="00BD3919">
        <w:trPr>
          <w:cantSplit/>
        </w:trPr>
        <w:tc>
          <w:tcPr>
            <w:tcW w:w="4010" w:type="dxa"/>
            <w:vAlign w:val="center"/>
          </w:tcPr>
          <w:p w14:paraId="725C7AAC" w14:textId="77777777" w:rsidR="00BD3919" w:rsidRPr="002C58FF" w:rsidRDefault="00BD3919" w:rsidP="00BD3919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0DB01FB" w14:textId="77777777" w:rsidR="00BD3919" w:rsidRPr="003F3E7F" w:rsidRDefault="00BD3919" w:rsidP="007E4C0F">
            <w:pPr>
              <w:pStyle w:val="Tablerowheading"/>
            </w:pPr>
            <w:r w:rsidRPr="007E4C0F">
              <w:rPr>
                <w:b w:val="0"/>
              </w:rPr>
              <w:t>—</w:t>
            </w:r>
          </w:p>
        </w:tc>
      </w:tr>
      <w:tr w:rsidR="00BD3919" w:rsidRPr="004C23F4" w14:paraId="6FC35DA7" w14:textId="77777777" w:rsidTr="00BD3919">
        <w:trPr>
          <w:cantSplit/>
        </w:trPr>
        <w:tc>
          <w:tcPr>
            <w:tcW w:w="4010" w:type="dxa"/>
          </w:tcPr>
          <w:p w14:paraId="790D8A30" w14:textId="77777777" w:rsidR="00BD3919" w:rsidRPr="002C58FF" w:rsidRDefault="00BD3919" w:rsidP="00BD3919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177B499A" w14:textId="4E379B58" w:rsidR="00BD3919" w:rsidRDefault="00605CB0" w:rsidP="007E4C0F">
            <w:pPr>
              <w:pStyle w:val="Tablerowheading"/>
            </w:pPr>
            <w:proofErr w:type="spellStart"/>
            <w:r>
              <w:t>Carc</w:t>
            </w:r>
            <w:proofErr w:type="spellEnd"/>
            <w:r>
              <w:t>. 2, Sk.</w:t>
            </w:r>
          </w:p>
        </w:tc>
      </w:tr>
      <w:tr w:rsidR="00BD3919" w:rsidRPr="004C23F4" w14:paraId="1C462859" w14:textId="77777777" w:rsidTr="00BD3919">
        <w:trPr>
          <w:cantSplit/>
        </w:trPr>
        <w:tc>
          <w:tcPr>
            <w:tcW w:w="4010" w:type="dxa"/>
            <w:vAlign w:val="center"/>
          </w:tcPr>
          <w:p w14:paraId="34ECBF2A" w14:textId="77777777" w:rsidR="00BD3919" w:rsidRPr="002C58FF" w:rsidRDefault="00BD3919" w:rsidP="00BD3919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96E6C85" w14:textId="5EAA89B7" w:rsidR="00BD3919" w:rsidRDefault="004D7420" w:rsidP="007E4C0F">
            <w:pPr>
              <w:pStyle w:val="Tablerowheading"/>
            </w:pPr>
            <w:r>
              <w:t>500 ppm</w:t>
            </w:r>
          </w:p>
        </w:tc>
      </w:tr>
      <w:tr w:rsidR="00BD3919" w:rsidRPr="004C23F4" w14:paraId="794AB619" w14:textId="77777777" w:rsidTr="00422D9B">
        <w:trPr>
          <w:cantSplit/>
        </w:trPr>
        <w:tc>
          <w:tcPr>
            <w:tcW w:w="4010" w:type="dxa"/>
          </w:tcPr>
          <w:p w14:paraId="4A86A5E3" w14:textId="77777777" w:rsidR="00BD3919" w:rsidRDefault="00BD3919" w:rsidP="00422D9B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2A96E137" w14:textId="225AAA13" w:rsidR="00BD3919" w:rsidRDefault="008B5072" w:rsidP="00F4119C">
            <w:r w:rsidRPr="008B5072">
              <w:t>The recommended value is quantifiable through available sampling and analysis techniques.</w:t>
            </w:r>
          </w:p>
        </w:tc>
      </w:tr>
    </w:tbl>
    <w:p w14:paraId="4238C2F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69D1896" w14:textId="5C91E4E4" w:rsidR="006639B4" w:rsidRPr="00605CB0" w:rsidRDefault="00605CB0" w:rsidP="000C139A">
      <w:pPr>
        <w:rPr>
          <w:rFonts w:cs="Arial"/>
        </w:rPr>
      </w:pPr>
      <w:r>
        <w:rPr>
          <w:rFonts w:cs="Arial"/>
        </w:rPr>
        <w:t>A TWA of 0.5 ppm (2.5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 recommended to protect for liver and kidney effects in exposed workers.</w:t>
      </w:r>
    </w:p>
    <w:p w14:paraId="23C5009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501F1CF" w14:textId="77777777" w:rsidR="00E7656F" w:rsidRDefault="00605CB0" w:rsidP="00191570">
      <w:r>
        <w:rPr>
          <w:rFonts w:cs="Arial"/>
        </w:rPr>
        <w:t xml:space="preserve">Chloroform is </w:t>
      </w:r>
      <w:r>
        <w:t>used as a raw mat</w:t>
      </w:r>
      <w:r w:rsidR="00191570">
        <w:t xml:space="preserve">erial in the chemical industry in the </w:t>
      </w:r>
      <w:r>
        <w:t>manufacture of fluorocarbons and as an extractant and industrial solvent.</w:t>
      </w:r>
      <w:r w:rsidR="00191570">
        <w:t xml:space="preserve"> </w:t>
      </w:r>
    </w:p>
    <w:p w14:paraId="273B18FC" w14:textId="3E620E01" w:rsidR="00191570" w:rsidRDefault="00735E93" w:rsidP="00191570">
      <w:r>
        <w:t xml:space="preserve">A quarter of workers (total 68) had enlarged livers following exposures of 10 to 200 ppm with employment periods between one to four years </w:t>
      </w:r>
      <w:r w:rsidR="00BF1076">
        <w:t xml:space="preserve">(ACGIH, 2018). A NOAEC of 5 ppm </w:t>
      </w:r>
      <w:r w:rsidR="005B1C07">
        <w:t xml:space="preserve">for </w:t>
      </w:r>
      <w:r w:rsidR="00BF1076">
        <w:t xml:space="preserve">kidney and liver </w:t>
      </w:r>
      <w:r w:rsidR="005B1C07">
        <w:t xml:space="preserve">effects </w:t>
      </w:r>
      <w:r w:rsidR="00E7656F">
        <w:t>is reported</w:t>
      </w:r>
      <w:r w:rsidR="00BF1076">
        <w:t xml:space="preserve"> in mice and rats. A 104</w:t>
      </w:r>
      <w:r w:rsidR="00F4119C">
        <w:t>-</w:t>
      </w:r>
      <w:r w:rsidR="00BF1076">
        <w:t xml:space="preserve">week inhalation study also </w:t>
      </w:r>
      <w:r w:rsidR="005B1C07">
        <w:t>report</w:t>
      </w:r>
      <w:r>
        <w:t>ed</w:t>
      </w:r>
      <w:r w:rsidR="005B1C07">
        <w:t xml:space="preserve"> </w:t>
      </w:r>
      <w:r w:rsidR="00BF1076">
        <w:t xml:space="preserve">a NOAEC of 5 ppm </w:t>
      </w:r>
      <w:r w:rsidR="00D75493">
        <w:t xml:space="preserve">in mice and 10 ppm in rats </w:t>
      </w:r>
      <w:r w:rsidR="00BF1076">
        <w:t>for kidney tumour</w:t>
      </w:r>
      <w:r w:rsidR="00E7656F">
        <w:t>s</w:t>
      </w:r>
      <w:r w:rsidR="009D5FCE">
        <w:t xml:space="preserve"> (DFG,</w:t>
      </w:r>
      <w:r w:rsidR="00E11C43">
        <w:t xml:space="preserve"> </w:t>
      </w:r>
      <w:r w:rsidR="009D5FCE">
        <w:t>201</w:t>
      </w:r>
      <w:r w:rsidR="00E3525B">
        <w:t>2</w:t>
      </w:r>
      <w:r w:rsidR="009D5FCE">
        <w:t>; NICNAS, </w:t>
      </w:r>
      <w:r w:rsidR="00BF1076">
        <w:t xml:space="preserve">2014). </w:t>
      </w:r>
      <w:r w:rsidR="00E7656F">
        <w:t>A LOAEL for liver and kidney effects is reported at 25 ppm</w:t>
      </w:r>
      <w:r w:rsidR="00D75493">
        <w:t xml:space="preserve"> in rats, rabbits and guinea pigs (SCOEL, 1995). </w:t>
      </w:r>
      <w:r w:rsidR="00E7656F">
        <w:t xml:space="preserve">Adverse effects on the foetus are reported at 30 ppm in rats (ACGIH, 2001), with no reported embryotoxicity at 10 ppm (DFG, 2012). </w:t>
      </w:r>
      <w:r w:rsidR="00BF1076">
        <w:t>Evidence in animals suggests dermal uptake</w:t>
      </w:r>
      <w:r w:rsidR="008F7E33">
        <w:t xml:space="preserve"> </w:t>
      </w:r>
      <w:r w:rsidR="00E7656F">
        <w:t xml:space="preserve">results in </w:t>
      </w:r>
      <w:r w:rsidR="008F7E33">
        <w:t>effects</w:t>
      </w:r>
      <w:r w:rsidR="00E7656F">
        <w:t xml:space="preserve"> in</w:t>
      </w:r>
      <w:r w:rsidR="008F7E33">
        <w:t xml:space="preserve"> the kidneys and</w:t>
      </w:r>
      <w:r w:rsidR="00BF1076">
        <w:t xml:space="preserve"> significantly contributes to total body burden of chloroform. </w:t>
      </w:r>
    </w:p>
    <w:p w14:paraId="5A5DEA2A" w14:textId="03F027CB" w:rsidR="00605CB0" w:rsidRDefault="00697028" w:rsidP="00F4119C">
      <w:pPr>
        <w:pStyle w:val="Tabletextprimarysource"/>
        <w:spacing w:line="276" w:lineRule="auto"/>
      </w:pPr>
      <w:r>
        <w:t>A TWA of 0.5 ppm is derived using the</w:t>
      </w:r>
      <w:r w:rsidR="008F7E33">
        <w:t xml:space="preserve"> NOAEC of 5 ppm </w:t>
      </w:r>
      <w:r w:rsidR="00E7656F">
        <w:t xml:space="preserve">in animal studies </w:t>
      </w:r>
      <w:r w:rsidR="008F7E33">
        <w:t xml:space="preserve">and </w:t>
      </w:r>
      <w:r>
        <w:t xml:space="preserve">applying </w:t>
      </w:r>
      <w:r w:rsidR="008F7E33">
        <w:t>a</w:t>
      </w:r>
      <w:r w:rsidR="00D75493">
        <w:t>n uncertainty</w:t>
      </w:r>
      <w:r w:rsidR="008F7E33">
        <w:t xml:space="preserve"> factor of </w:t>
      </w:r>
      <w:r w:rsidR="00E7656F">
        <w:t>10</w:t>
      </w:r>
      <w:r w:rsidR="008F7E33">
        <w:t xml:space="preserve"> to account for interspecies </w:t>
      </w:r>
      <w:r w:rsidR="00D75493">
        <w:t>variability</w:t>
      </w:r>
      <w:r w:rsidR="008F7E33">
        <w:t>.</w:t>
      </w:r>
      <w:r w:rsidR="008E6AF1">
        <w:t xml:space="preserve"> </w:t>
      </w:r>
      <w:r w:rsidR="008F7E33">
        <w:t xml:space="preserve">This </w:t>
      </w:r>
      <w:r w:rsidR="00E7656F">
        <w:t xml:space="preserve">TWA </w:t>
      </w:r>
      <w:r w:rsidR="008F7E33">
        <w:t xml:space="preserve">is considered to </w:t>
      </w:r>
      <w:r>
        <w:t xml:space="preserve">protect for </w:t>
      </w:r>
      <w:r w:rsidR="008F7E33">
        <w:t xml:space="preserve">liver and kidney </w:t>
      </w:r>
      <w:r>
        <w:t xml:space="preserve">effects </w:t>
      </w:r>
      <w:r w:rsidR="00E7656F">
        <w:t xml:space="preserve">including kidney tumours </w:t>
      </w:r>
      <w:r>
        <w:t>in</w:t>
      </w:r>
      <w:r w:rsidR="008F7E33">
        <w:t xml:space="preserve"> exposed workers.</w:t>
      </w:r>
    </w:p>
    <w:p w14:paraId="20E20BC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AEAB16E" w14:textId="044D5A77" w:rsidR="00B33EA9" w:rsidRPr="00605CB0" w:rsidRDefault="00605CB0" w:rsidP="00B33EA9">
      <w:pPr>
        <w:rPr>
          <w:rFonts w:cs="Arial"/>
        </w:rPr>
      </w:pPr>
      <w:r w:rsidRPr="00605CB0">
        <w:rPr>
          <w:rFonts w:cs="Arial"/>
        </w:rPr>
        <w:t>C</w:t>
      </w:r>
      <w:r w:rsidR="00B33EA9" w:rsidRPr="00605CB0">
        <w:rPr>
          <w:rFonts w:cs="Arial"/>
        </w:rPr>
        <w:t xml:space="preserve">lassified as a </w:t>
      </w:r>
      <w:r w:rsidR="00A46B78">
        <w:rPr>
          <w:rFonts w:cs="Arial"/>
        </w:rPr>
        <w:t xml:space="preserve">category </w:t>
      </w:r>
      <w:r w:rsidR="00A46B78" w:rsidRPr="00605CB0">
        <w:rPr>
          <w:rFonts w:cs="Arial"/>
        </w:rPr>
        <w:t xml:space="preserve">2 </w:t>
      </w:r>
      <w:r w:rsidR="00B33EA9" w:rsidRPr="00605CB0">
        <w:rPr>
          <w:rFonts w:cs="Arial"/>
        </w:rPr>
        <w:t>carcinogen</w:t>
      </w:r>
      <w:r>
        <w:rPr>
          <w:rFonts w:cs="Arial"/>
        </w:rPr>
        <w:t xml:space="preserve"> </w:t>
      </w:r>
      <w:r w:rsidR="00B33EA9" w:rsidRPr="00605CB0">
        <w:rPr>
          <w:rFonts w:cs="Arial"/>
        </w:rPr>
        <w:t>according to the Globally Harmonized System of Classification and Labelling o</w:t>
      </w:r>
      <w:r w:rsidR="00A76142">
        <w:rPr>
          <w:rFonts w:cs="Arial"/>
        </w:rPr>
        <w:t>f</w:t>
      </w:r>
      <w:r w:rsidR="00B33EA9" w:rsidRPr="00605CB0">
        <w:rPr>
          <w:rFonts w:cs="Arial"/>
        </w:rPr>
        <w:t xml:space="preserve"> Chemicals (GHS). </w:t>
      </w:r>
    </w:p>
    <w:p w14:paraId="38A57E29" w14:textId="37AA7E31" w:rsidR="00B33EA9" w:rsidRPr="00605CB0" w:rsidRDefault="00B33EA9" w:rsidP="00B33EA9">
      <w:pPr>
        <w:rPr>
          <w:rFonts w:cs="Arial"/>
        </w:rPr>
      </w:pPr>
      <w:r w:rsidRPr="00605CB0">
        <w:rPr>
          <w:rFonts w:cs="Arial"/>
        </w:rPr>
        <w:t xml:space="preserve">Not classified as a skin </w:t>
      </w:r>
      <w:r w:rsidR="009D5FCE">
        <w:rPr>
          <w:rFonts w:cs="Arial"/>
        </w:rPr>
        <w:t xml:space="preserve">sensitiser </w:t>
      </w:r>
      <w:r w:rsidRPr="00605CB0">
        <w:rPr>
          <w:rFonts w:cs="Arial"/>
        </w:rPr>
        <w:t>or respiratory sensitiser according to the GHS.</w:t>
      </w:r>
    </w:p>
    <w:p w14:paraId="6C85744B" w14:textId="1E4412F2" w:rsidR="0025734A" w:rsidRPr="004C23F4" w:rsidRDefault="00D75493">
      <w:pPr>
        <w:rPr>
          <w:rFonts w:cs="Arial"/>
        </w:rPr>
      </w:pPr>
      <w:r>
        <w:rPr>
          <w:rFonts w:cs="Arial"/>
        </w:rPr>
        <w:lastRenderedPageBreak/>
        <w:t>While the data available are limited, a</w:t>
      </w:r>
      <w:r w:rsidR="00605CB0">
        <w:rPr>
          <w:rFonts w:cs="Arial"/>
        </w:rPr>
        <w:t xml:space="preserve"> skin notation is recommended based on evidence of dermal absorption in animals and potential contribution to systemic effects.</w:t>
      </w:r>
    </w:p>
    <w:p w14:paraId="56CB5E7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2F34FB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B454B6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A9ECC06" w14:textId="77777777" w:rsidTr="00422D9B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C6ADCA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6C43948" w14:textId="77777777" w:rsidTr="00422D9B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9060395" w14:textId="5FBCF5B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C1BA8" w:rsidRPr="00DC1BA8">
                  <w:t>2001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10B5A">
                  <w:t>TWA: 2 ppm (10 mg/m</w:t>
                </w:r>
                <w:r w:rsidR="00310B5A" w:rsidRPr="00310B5A">
                  <w:rPr>
                    <w:vertAlign w:val="superscript"/>
                  </w:rPr>
                  <w:t>3</w:t>
                </w:r>
                <w:r w:rsidR="00310B5A">
                  <w:t>)</w:t>
                </w:r>
              </w:sdtContent>
            </w:sdt>
          </w:p>
        </w:tc>
      </w:tr>
      <w:tr w:rsidR="00C978F0" w:rsidRPr="00DA352E" w14:paraId="56F944A6" w14:textId="77777777" w:rsidTr="00422D9B">
        <w:trPr>
          <w:gridAfter w:val="1"/>
          <w:wAfter w:w="8" w:type="pct"/>
        </w:trPr>
        <w:tc>
          <w:tcPr>
            <w:tcW w:w="4992" w:type="pct"/>
          </w:tcPr>
          <w:p w14:paraId="20D643F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F4D279B" w14:textId="77777777" w:rsidTr="00422D9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3CB74D0" w14:textId="7CB9546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6465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6465D">
                  <w:t>TLV-TWA: 10 ppm (49 mg/m</w:t>
                </w:r>
                <w:r w:rsidR="0026465D" w:rsidRPr="0026465D">
                  <w:rPr>
                    <w:vertAlign w:val="superscript"/>
                  </w:rPr>
                  <w:t>3</w:t>
                </w:r>
                <w:r w:rsidR="0026465D">
                  <w:t>)</w:t>
                </w:r>
              </w:sdtContent>
            </w:sdt>
          </w:p>
        </w:tc>
      </w:tr>
      <w:tr w:rsidR="00C978F0" w:rsidRPr="00DA352E" w14:paraId="713A2C5E" w14:textId="77777777" w:rsidTr="00422D9B">
        <w:trPr>
          <w:gridAfter w:val="1"/>
          <w:wAfter w:w="8" w:type="pct"/>
        </w:trPr>
        <w:tc>
          <w:tcPr>
            <w:tcW w:w="4992" w:type="pct"/>
          </w:tcPr>
          <w:p w14:paraId="77732201" w14:textId="49FA6E54" w:rsidR="00C978F0" w:rsidRDefault="00515051" w:rsidP="003365A5">
            <w:pPr>
              <w:pStyle w:val="Tabletextprimarysource"/>
            </w:pPr>
            <w:r>
              <w:t>TLV-TWA recommended to minimise the potential for liver toxicity and embryotoxicity.</w:t>
            </w:r>
          </w:p>
          <w:p w14:paraId="687F1BA2" w14:textId="77777777" w:rsidR="00515051" w:rsidRDefault="00515051" w:rsidP="003365A5">
            <w:pPr>
              <w:pStyle w:val="Tabletextprimarysource"/>
            </w:pPr>
            <w:r>
              <w:t>Summary of data:</w:t>
            </w:r>
          </w:p>
          <w:p w14:paraId="697BFD95" w14:textId="77777777" w:rsidR="00EF6606" w:rsidRDefault="00EF6606" w:rsidP="00EF6606">
            <w:pPr>
              <w:pStyle w:val="Tabletextprimarysource"/>
            </w:pPr>
            <w:r>
              <w:t>Human data:</w:t>
            </w:r>
          </w:p>
          <w:p w14:paraId="5CE8F8F7" w14:textId="453DB791" w:rsidR="00E7656F" w:rsidRDefault="003A74BA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Workers exposed </w:t>
            </w:r>
            <w:r w:rsidR="00E7656F">
              <w:t>at</w:t>
            </w:r>
            <w:r>
              <w:t xml:space="preserve"> 80</w:t>
            </w:r>
            <w:r w:rsidR="009D5FCE">
              <w:t>–</w:t>
            </w:r>
            <w:r>
              <w:t>240 ppm reported severe fatigue, digestive disturbance and mental dullness</w:t>
            </w:r>
          </w:p>
          <w:p w14:paraId="25FE7A84" w14:textId="3336A074" w:rsidR="00EF6606" w:rsidRDefault="003A74BA" w:rsidP="00422D9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less severe symptoms reported at 20</w:t>
            </w:r>
            <w:r w:rsidR="009D5FCE">
              <w:t>–</w:t>
            </w:r>
            <w:r>
              <w:t>70 ppm (no further information)</w:t>
            </w:r>
          </w:p>
          <w:p w14:paraId="5AE7BB46" w14:textId="1FF1DB04" w:rsidR="009D5FCE" w:rsidRDefault="00C340F5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study of 68 workers exposed </w:t>
            </w:r>
            <w:r w:rsidR="00E7656F">
              <w:t>at</w:t>
            </w:r>
            <w:r>
              <w:t xml:space="preserve"> 10</w:t>
            </w:r>
            <w:r w:rsidR="009D5FCE">
              <w:t>–</w:t>
            </w:r>
            <w:r>
              <w:t xml:space="preserve">200 ppm </w:t>
            </w:r>
            <w:r w:rsidR="00157CAC">
              <w:t>reported 25% with enlarged livers; employed durations of between 1 and 4 yr</w:t>
            </w:r>
            <w:r w:rsidR="00591A7E">
              <w:t>.</w:t>
            </w:r>
          </w:p>
          <w:p w14:paraId="767DF29F" w14:textId="43FCF8F6" w:rsidR="00157CAC" w:rsidRDefault="00157CAC" w:rsidP="00157CAC">
            <w:pPr>
              <w:pStyle w:val="Tabletextprimarysource"/>
            </w:pPr>
            <w:r>
              <w:t>Animal data:</w:t>
            </w:r>
          </w:p>
          <w:p w14:paraId="0FE10B0B" w14:textId="731A3186" w:rsidR="003A74BA" w:rsidRDefault="00157CAC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Mice exposed </w:t>
            </w:r>
            <w:r w:rsidR="00E7656F">
              <w:t>at</w:t>
            </w:r>
            <w:r>
              <w:t xml:space="preserve"> 100 ppm</w:t>
            </w:r>
            <w:r w:rsidR="00C340F5">
              <w:t xml:space="preserve"> </w:t>
            </w:r>
            <w:r>
              <w:t>for 4 h produced fatty infiltration in the liver</w:t>
            </w:r>
            <w:r w:rsidR="00E7656F">
              <w:t xml:space="preserve"> with liver</w:t>
            </w:r>
            <w:r>
              <w:t xml:space="preserve"> </w:t>
            </w:r>
            <w:r w:rsidR="000C3840">
              <w:t>necrosis at higher concentrations (no further information)</w:t>
            </w:r>
          </w:p>
          <w:p w14:paraId="7CB8BC49" w14:textId="224A7F79" w:rsidR="00E7656F" w:rsidRDefault="000C3840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organ injury</w:t>
            </w:r>
            <w:r w:rsidR="00E7656F">
              <w:t xml:space="preserve"> reported</w:t>
            </w:r>
            <w:r>
              <w:t xml:space="preserve"> in rats exposed </w:t>
            </w:r>
            <w:r w:rsidR="00E7656F">
              <w:t>at</w:t>
            </w:r>
            <w:r>
              <w:t xml:space="preserve"> 25</w:t>
            </w:r>
            <w:r w:rsidR="009D5FCE">
              <w:t>–</w:t>
            </w:r>
            <w:r>
              <w:t>30 ppm 7 h/d, 5 d/</w:t>
            </w:r>
            <w:proofErr w:type="spellStart"/>
            <w:r>
              <w:t>w</w:t>
            </w:r>
            <w:r w:rsidR="003F3E7F">
              <w:t>k</w:t>
            </w:r>
            <w:proofErr w:type="spellEnd"/>
            <w:r>
              <w:t xml:space="preserve"> for 6 </w:t>
            </w:r>
            <w:proofErr w:type="spellStart"/>
            <w:r>
              <w:t>mo</w:t>
            </w:r>
            <w:proofErr w:type="spellEnd"/>
          </w:p>
          <w:p w14:paraId="1FBCC8FD" w14:textId="269888FA" w:rsidR="00E7656F" w:rsidRDefault="000C3840" w:rsidP="00422D9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liver and kidney injury</w:t>
            </w:r>
            <w:r w:rsidR="00E7656F">
              <w:t xml:space="preserve"> reported</w:t>
            </w:r>
            <w:r>
              <w:t xml:space="preserve"> at </w:t>
            </w:r>
            <w:r w:rsidR="00E7656F">
              <w:rPr>
                <w:rFonts w:cs="Arial"/>
              </w:rPr>
              <w:t>≥</w:t>
            </w:r>
            <w:r>
              <w:t>50 ppm same frequency and duration</w:t>
            </w:r>
          </w:p>
          <w:p w14:paraId="1A315C55" w14:textId="350BD146" w:rsidR="000C3840" w:rsidRDefault="000C3840" w:rsidP="00422D9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severity is concentration dependant</w:t>
            </w:r>
          </w:p>
          <w:p w14:paraId="1C9C7F5E" w14:textId="77777777" w:rsidR="000C3840" w:rsidRDefault="000C3840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more sensitive species</w:t>
            </w:r>
          </w:p>
          <w:p w14:paraId="3A0F4B03" w14:textId="1752048A" w:rsidR="000C3840" w:rsidRDefault="000C3840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Significant increases in epithelial tumours of the kidney in rats and hepatocellular carcinomas in mice fed with </w:t>
            </w:r>
            <w:r w:rsidR="0027453A">
              <w:t xml:space="preserve">90–180 mg/kg </w:t>
            </w:r>
            <w:proofErr w:type="spellStart"/>
            <w:r w:rsidR="0027453A">
              <w:t>bw</w:t>
            </w:r>
            <w:proofErr w:type="spellEnd"/>
            <w:r w:rsidR="0027453A">
              <w:t xml:space="preserve"> </w:t>
            </w:r>
            <w:r>
              <w:t>chloroform in corn oil for 111 days</w:t>
            </w:r>
            <w:r w:rsidR="0027453A">
              <w:t xml:space="preserve">  </w:t>
            </w:r>
          </w:p>
          <w:p w14:paraId="3D3F5FB3" w14:textId="4B9D3A67" w:rsidR="000C3840" w:rsidRDefault="007F17E8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Considered embryotoxic; </w:t>
            </w:r>
            <w:r w:rsidR="00BB2D14">
              <w:t xml:space="preserve">in </w:t>
            </w:r>
            <w:r>
              <w:t xml:space="preserve">rats exposed for 7 h/d on </w:t>
            </w:r>
            <w:r w:rsidR="00E7656F">
              <w:t>GD</w:t>
            </w:r>
            <w:r w:rsidR="005D74F7">
              <w:t xml:space="preserve"> </w:t>
            </w:r>
            <w:r w:rsidR="00E7656F">
              <w:t>6</w:t>
            </w:r>
            <w:r w:rsidR="005D74F7">
              <w:t>–</w:t>
            </w:r>
            <w:r w:rsidR="00E7656F">
              <w:t>15 at</w:t>
            </w:r>
            <w:r>
              <w:t xml:space="preserve"> 30, 100 or 300 ppm</w:t>
            </w:r>
            <w:r w:rsidR="00BB2D14">
              <w:t>:</w:t>
            </w:r>
          </w:p>
          <w:p w14:paraId="79B82428" w14:textId="57CEED5F" w:rsidR="00BB2D14" w:rsidRDefault="00741890" w:rsidP="00422D9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d</w:t>
            </w:r>
            <w:r w:rsidR="00BB2D14">
              <w:t>ecreased conception rate and high incidence of foetal resorption at 300 ppm</w:t>
            </w:r>
          </w:p>
          <w:p w14:paraId="51DF5CAC" w14:textId="7364C9A9" w:rsidR="00BB2D14" w:rsidRDefault="00741890" w:rsidP="00422D9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r</w:t>
            </w:r>
            <w:r w:rsidR="00BB2D14">
              <w:t>etarded foetal development at 30, 100 and 300 ppm</w:t>
            </w:r>
          </w:p>
          <w:p w14:paraId="02D8874D" w14:textId="44C3C191" w:rsidR="00BB2D14" w:rsidRDefault="00741890" w:rsidP="00422D9B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d</w:t>
            </w:r>
            <w:r w:rsidR="00BB2D14">
              <w:t>ecreased foetal body measurements at 30 and 300 ppm</w:t>
            </w:r>
            <w:r w:rsidR="003F3E7F">
              <w:t>.</w:t>
            </w:r>
          </w:p>
          <w:p w14:paraId="1F9776AB" w14:textId="77777777" w:rsidR="009D5FCE" w:rsidRDefault="009D5FCE" w:rsidP="00BB2D14">
            <w:pPr>
              <w:pStyle w:val="Tabletextprimarysource"/>
            </w:pPr>
          </w:p>
          <w:p w14:paraId="405F08AF" w14:textId="77777777" w:rsidR="00BB2D14" w:rsidRDefault="00741890" w:rsidP="00BB2D14">
            <w:pPr>
              <w:pStyle w:val="Tabletextprimarysource"/>
            </w:pPr>
            <w:r>
              <w:t>Insufficient evidence to recommend skin notation, sensitiser notations or a STEL.</w:t>
            </w:r>
          </w:p>
          <w:p w14:paraId="6DF52931" w14:textId="7E633E6E" w:rsidR="009D5FCE" w:rsidRPr="00DA352E" w:rsidRDefault="009D5FCE" w:rsidP="00BB2D14">
            <w:pPr>
              <w:pStyle w:val="Tabletextprimarysource"/>
            </w:pPr>
          </w:p>
        </w:tc>
      </w:tr>
      <w:tr w:rsidR="00C978F0" w:rsidRPr="00DA352E" w14:paraId="234A3BE1" w14:textId="77777777" w:rsidTr="00422D9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FC4FDD2" w14:textId="2DC8BA5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B58FC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B19BC">
                  <w:t>MAK: 0.5 ppm (2.5 mg/m</w:t>
                </w:r>
                <w:r w:rsidR="00BB19BC" w:rsidRPr="00BB19BC">
                  <w:rPr>
                    <w:vertAlign w:val="superscript"/>
                  </w:rPr>
                  <w:t>3</w:t>
                </w:r>
                <w:r w:rsidR="00BB19BC">
                  <w:t>)</w:t>
                </w:r>
              </w:sdtContent>
            </w:sdt>
          </w:p>
        </w:tc>
      </w:tr>
      <w:tr w:rsidR="00C978F0" w:rsidRPr="00DA352E" w14:paraId="6A2379B0" w14:textId="77777777" w:rsidTr="00422D9B">
        <w:trPr>
          <w:gridAfter w:val="1"/>
          <w:wAfter w:w="8" w:type="pct"/>
        </w:trPr>
        <w:tc>
          <w:tcPr>
            <w:tcW w:w="4992" w:type="pct"/>
          </w:tcPr>
          <w:p w14:paraId="11BB7755" w14:textId="387C8E13" w:rsidR="00C978F0" w:rsidRDefault="00EF1692" w:rsidP="003365A5">
            <w:pPr>
              <w:pStyle w:val="Tabletextprimarysource"/>
            </w:pPr>
            <w:r>
              <w:t xml:space="preserve">MAK </w:t>
            </w:r>
            <w:r w:rsidR="005469D1">
              <w:t>established provisionally</w:t>
            </w:r>
            <w:r>
              <w:t xml:space="preserve"> </w:t>
            </w:r>
            <w:r w:rsidR="00BF52F9">
              <w:t xml:space="preserve">in 1999 </w:t>
            </w:r>
            <w:r>
              <w:t xml:space="preserve">to protect for liver </w:t>
            </w:r>
            <w:r w:rsidR="005469D1">
              <w:t xml:space="preserve">and kidney </w:t>
            </w:r>
            <w:r>
              <w:t xml:space="preserve">effects </w:t>
            </w:r>
            <w:r w:rsidR="00E7656F">
              <w:t>reported</w:t>
            </w:r>
            <w:r>
              <w:t xml:space="preserve"> in animal studies</w:t>
            </w:r>
            <w:r w:rsidR="003F3E7F">
              <w:t>.</w:t>
            </w:r>
          </w:p>
          <w:p w14:paraId="5F8DC99A" w14:textId="77777777" w:rsidR="00EF1692" w:rsidRDefault="00EF1692" w:rsidP="003365A5">
            <w:pPr>
              <w:pStyle w:val="Tabletextprimarysource"/>
            </w:pPr>
            <w:r>
              <w:t>Summary of additional data:</w:t>
            </w:r>
          </w:p>
          <w:p w14:paraId="197EC42E" w14:textId="1D6351F6" w:rsidR="009D5FCE" w:rsidRDefault="00EF1692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</w:t>
            </w:r>
            <w:r w:rsidR="00E7656F">
              <w:t xml:space="preserve"> 5 ppm (rats and mice, 13 </w:t>
            </w:r>
            <w:proofErr w:type="spellStart"/>
            <w:r w:rsidR="00E7656F">
              <w:t>wk</w:t>
            </w:r>
            <w:proofErr w:type="spellEnd"/>
            <w:r w:rsidR="00E7656F">
              <w:t>) for</w:t>
            </w:r>
            <w:r>
              <w:t xml:space="preserve"> increased cell proliferation in liver and kidney: </w:t>
            </w:r>
          </w:p>
          <w:p w14:paraId="428151E4" w14:textId="73F7FA8B" w:rsidR="009D5FCE" w:rsidRDefault="00A752DF" w:rsidP="00422D9B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no increase in tumour incidence </w:t>
            </w:r>
          </w:p>
          <w:p w14:paraId="42CEE0B3" w14:textId="0BB1E3EA" w:rsidR="00EF1692" w:rsidRDefault="00223A3F" w:rsidP="00422D9B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cytotoxic effects seen from 10 ppm </w:t>
            </w:r>
          </w:p>
          <w:p w14:paraId="6A55E9AE" w14:textId="0B53958B" w:rsidR="00EF1692" w:rsidRDefault="00223A3F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More recent study </w:t>
            </w:r>
            <w:r w:rsidR="00E7656F">
              <w:t>reports no embryotoxic effects in rats at 10 ppm</w:t>
            </w:r>
          </w:p>
          <w:p w14:paraId="21D630FE" w14:textId="33EE214C" w:rsidR="002902D0" w:rsidRDefault="002902D0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based on NOAEL of 5 ppm; assumed factor of 10 applied (no further information)</w:t>
            </w:r>
            <w:r w:rsidR="005469D1">
              <w:t>; supported by PBPK modelling</w:t>
            </w:r>
          </w:p>
          <w:p w14:paraId="32AB529E" w14:textId="77777777" w:rsidR="000E256B" w:rsidRDefault="000E256B" w:rsidP="00422D9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notation:</w:t>
            </w:r>
          </w:p>
          <w:p w14:paraId="2FA4E683" w14:textId="209CB078" w:rsidR="00363F8F" w:rsidRDefault="00123671" w:rsidP="00422D9B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lastRenderedPageBreak/>
              <w:t>evidence in</w:t>
            </w:r>
            <w:r w:rsidR="00363F8F">
              <w:t xml:space="preserve"> dermal exposure studies</w:t>
            </w:r>
            <w:r w:rsidR="00DC1BA8">
              <w:t xml:space="preserve"> in rats</w:t>
            </w:r>
            <w:r w:rsidR="000E256B">
              <w:t xml:space="preserve">, concluded that dermal uptake could be much higher than uptake by inhalation at the recommended MAK </w:t>
            </w:r>
          </w:p>
          <w:p w14:paraId="15210BF9" w14:textId="77777777" w:rsidR="000E256B" w:rsidRDefault="002902D0" w:rsidP="00422D9B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 xml:space="preserve">dose-dependent </w:t>
            </w:r>
            <w:r w:rsidR="00123671">
              <w:t>d</w:t>
            </w:r>
            <w:r w:rsidR="000E256B">
              <w:t>egenerative changes in kidneys of rabbits</w:t>
            </w:r>
            <w:r w:rsidR="00123671">
              <w:t xml:space="preserve"> after</w:t>
            </w:r>
            <w:r>
              <w:t xml:space="preserve"> single application to skin </w:t>
            </w:r>
          </w:p>
          <w:p w14:paraId="79A8D7EF" w14:textId="21CDFDCA" w:rsidR="00CA7A99" w:rsidRDefault="00605827" w:rsidP="00422D9B">
            <w:pPr>
              <w:pStyle w:val="ListBullet"/>
              <w:numPr>
                <w:ilvl w:val="0"/>
                <w:numId w:val="4"/>
              </w:numPr>
              <w:ind w:left="714" w:hanging="357"/>
            </w:pPr>
            <w:r>
              <w:t>I</w:t>
            </w:r>
            <w:r w:rsidR="00CA7A99">
              <w:t>ncreased incidence of kidney tumours in male mice</w:t>
            </w:r>
            <w:r>
              <w:t xml:space="preserve"> following inhalation</w:t>
            </w:r>
            <w:r w:rsidR="00CA7A99">
              <w:t>; mechanisms of tumour development are non-genotoxic</w:t>
            </w:r>
            <w:r>
              <w:t xml:space="preserve"> based on negative results </w:t>
            </w:r>
            <w:r>
              <w:rPr>
                <w:i/>
              </w:rPr>
              <w:t>in vitro</w:t>
            </w:r>
            <w:r w:rsidR="00BF52F9">
              <w:rPr>
                <w:i/>
              </w:rPr>
              <w:t>,</w:t>
            </w:r>
            <w:r>
              <w:t xml:space="preserve"> also tumour development only when there are also cytotoxic effects</w:t>
            </w:r>
            <w:r w:rsidR="003F3E7F">
              <w:t>.</w:t>
            </w:r>
          </w:p>
          <w:p w14:paraId="71E7F15D" w14:textId="3824DFC2" w:rsidR="009D5FCE" w:rsidRPr="00DA352E" w:rsidRDefault="009D5FCE" w:rsidP="00422D9B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1CA42534" w14:textId="77777777" w:rsidTr="00422D9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E004D58" w14:textId="022AAE7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02DEB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02DEB">
                  <w:t>TWA: 2 ppm (10 mg/m</w:t>
                </w:r>
                <w:r w:rsidR="00602DEB" w:rsidRPr="00602DEB">
                  <w:rPr>
                    <w:vertAlign w:val="superscript"/>
                  </w:rPr>
                  <w:t>3</w:t>
                </w:r>
                <w:r w:rsidR="00602DEB">
                  <w:t>)</w:t>
                </w:r>
              </w:sdtContent>
            </w:sdt>
          </w:p>
        </w:tc>
      </w:tr>
      <w:tr w:rsidR="00C978F0" w:rsidRPr="00DA352E" w14:paraId="44642FF5" w14:textId="77777777" w:rsidTr="00422D9B">
        <w:trPr>
          <w:gridAfter w:val="1"/>
          <w:wAfter w:w="8" w:type="pct"/>
        </w:trPr>
        <w:tc>
          <w:tcPr>
            <w:tcW w:w="4992" w:type="pct"/>
          </w:tcPr>
          <w:p w14:paraId="390C6EAD" w14:textId="39CA5F3D" w:rsidR="00C978F0" w:rsidRDefault="00605827" w:rsidP="003365A5">
            <w:pPr>
              <w:pStyle w:val="Tabletextprimarysource"/>
            </w:pPr>
            <w:r>
              <w:t>TWA recommended to protect for liver and kidney damage</w:t>
            </w:r>
            <w:r w:rsidR="003F3E7F">
              <w:t>.</w:t>
            </w:r>
          </w:p>
          <w:p w14:paraId="6B8F0E6A" w14:textId="77777777" w:rsidR="00605827" w:rsidRDefault="00605827" w:rsidP="003365A5">
            <w:pPr>
              <w:pStyle w:val="Tabletextprimarysource"/>
            </w:pPr>
            <w:r>
              <w:t>Summary of additional data:</w:t>
            </w:r>
          </w:p>
          <w:p w14:paraId="34E78FEC" w14:textId="7D88D78F" w:rsidR="00605827" w:rsidRDefault="00605827" w:rsidP="00422D9B">
            <w:pPr>
              <w:pStyle w:val="ListBullet"/>
              <w:ind w:left="714" w:hanging="357"/>
            </w:pPr>
            <w:r>
              <w:t>LOAEL for kidney and liver damage: 25 ppm (124 mg/m</w:t>
            </w:r>
            <w:r>
              <w:rPr>
                <w:vertAlign w:val="superscript"/>
              </w:rPr>
              <w:t>3</w:t>
            </w:r>
            <w:r>
              <w:t>) (rats, rabbits and guinea pigs, 6</w:t>
            </w:r>
            <w:r w:rsidR="00E66E72">
              <w:t> 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1D832673" w14:textId="77777777" w:rsidR="00605827" w:rsidRDefault="00605827" w:rsidP="00422D9B">
            <w:pPr>
              <w:pStyle w:val="ListBullet"/>
              <w:ind w:left="714" w:hanging="357"/>
            </w:pPr>
            <w:r>
              <w:t>TWA derived from LOAEL of 25 ppm with factor of 10 applied to account for no NOAEL and rounded down</w:t>
            </w:r>
            <w:r w:rsidR="003F3E7F">
              <w:t>.</w:t>
            </w:r>
          </w:p>
          <w:p w14:paraId="6033F5A9" w14:textId="79CBE0FC" w:rsidR="009D5FCE" w:rsidRPr="00DA352E" w:rsidRDefault="009D5FCE" w:rsidP="00422D9B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DA352E" w:rsidRPr="00DA352E" w14:paraId="11B6A979" w14:textId="77777777" w:rsidTr="00422D9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290A27E" w14:textId="7D754B3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70DE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70DED">
                  <w:t>NA</w:t>
                </w:r>
                <w:proofErr w:type="spellEnd"/>
              </w:sdtContent>
            </w:sdt>
          </w:p>
        </w:tc>
      </w:tr>
      <w:tr w:rsidR="00DA352E" w:rsidRPr="00DA352E" w14:paraId="62AB8B2B" w14:textId="77777777" w:rsidTr="00422D9B">
        <w:trPr>
          <w:gridAfter w:val="1"/>
          <w:wAfter w:w="8" w:type="pct"/>
        </w:trPr>
        <w:tc>
          <w:tcPr>
            <w:tcW w:w="4992" w:type="pct"/>
          </w:tcPr>
          <w:p w14:paraId="27903770" w14:textId="30D993C1" w:rsidR="00DA352E" w:rsidRPr="00DA352E" w:rsidRDefault="00B70DED" w:rsidP="003365A5">
            <w:pPr>
              <w:pStyle w:val="Tabletextprimarysource"/>
            </w:pPr>
            <w:r>
              <w:t>No report</w:t>
            </w:r>
            <w:r w:rsidR="00E410C3">
              <w:t>.</w:t>
            </w:r>
          </w:p>
        </w:tc>
      </w:tr>
      <w:tr w:rsidR="00DA352E" w:rsidRPr="00DA352E" w14:paraId="23358FA9" w14:textId="77777777" w:rsidTr="00422D9B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A06D566" w14:textId="534600D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13C75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13C75">
                  <w:t>Not assigned</w:t>
                </w:r>
              </w:sdtContent>
            </w:sdt>
          </w:p>
        </w:tc>
      </w:tr>
      <w:tr w:rsidR="00DA352E" w:rsidRPr="00DA352E" w14:paraId="7F431D81" w14:textId="77777777" w:rsidTr="00422D9B">
        <w:trPr>
          <w:gridAfter w:val="1"/>
          <w:wAfter w:w="8" w:type="pct"/>
        </w:trPr>
        <w:tc>
          <w:tcPr>
            <w:tcW w:w="4992" w:type="pct"/>
          </w:tcPr>
          <w:p w14:paraId="5E17A88F" w14:textId="77777777" w:rsidR="00DA352E" w:rsidRDefault="00A752DF" w:rsidP="003365A5">
            <w:pPr>
              <w:pStyle w:val="Tabletextprimarysource"/>
            </w:pPr>
            <w:r>
              <w:t>Summary of additional data:</w:t>
            </w:r>
          </w:p>
          <w:p w14:paraId="3B281381" w14:textId="77777777" w:rsidR="00A752DF" w:rsidRDefault="00A752DF" w:rsidP="003365A5">
            <w:pPr>
              <w:pStyle w:val="Tabletextprimarysource"/>
            </w:pPr>
            <w:r>
              <w:t>A lack of appropriate data precludes the assessment of chloroform for effects on fertility</w:t>
            </w:r>
            <w:r w:rsidR="003F3E7F">
              <w:t>.</w:t>
            </w:r>
          </w:p>
          <w:p w14:paraId="58D5058F" w14:textId="3F79B52B" w:rsidR="009D5FCE" w:rsidRPr="00DA352E" w:rsidRDefault="009D5FCE" w:rsidP="003365A5">
            <w:pPr>
              <w:pStyle w:val="Tabletextprimarysource"/>
            </w:pPr>
          </w:p>
        </w:tc>
      </w:tr>
    </w:tbl>
    <w:p w14:paraId="4CCFE6E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473594F2" w14:textId="77777777" w:rsidTr="00605CB0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5EDA34A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423243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3303BC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6C71076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B1BD2E6" w14:textId="77777777" w:rsidTr="00605CB0">
        <w:trPr>
          <w:cantSplit/>
        </w:trPr>
        <w:tc>
          <w:tcPr>
            <w:tcW w:w="1495" w:type="dxa"/>
          </w:tcPr>
          <w:p w14:paraId="7011B3B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2275561" w14:textId="56BD274B" w:rsidR="004966BF" w:rsidRPr="00CE617F" w:rsidRDefault="004710F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752D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A03608C" w14:textId="2B817A7C" w:rsidR="004966BF" w:rsidRPr="004C23F4" w:rsidRDefault="00A752D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7" w:type="dxa"/>
          </w:tcPr>
          <w:p w14:paraId="3D957F62" w14:textId="1A4F7883" w:rsidR="00A752DF" w:rsidRDefault="00A752DF" w:rsidP="00A752DF">
            <w:pPr>
              <w:pStyle w:val="ListBullet"/>
              <w:rPr>
                <w:rFonts w:cs="Arial"/>
              </w:rPr>
            </w:pPr>
            <w:r>
              <w:rPr>
                <w:rFonts w:cs="Arial"/>
              </w:rPr>
              <w:t>NOAEC: 25 mg/m</w:t>
            </w:r>
            <w:r>
              <w:rPr>
                <w:rFonts w:cs="Arial"/>
                <w:vertAlign w:val="superscript"/>
              </w:rPr>
              <w:t>3</w:t>
            </w:r>
            <w:r>
              <w:rPr>
                <w:rFonts w:cs="Arial"/>
              </w:rPr>
              <w:t xml:space="preserve"> (5.15 ppm) </w:t>
            </w:r>
            <w:r w:rsidRPr="00BF1076">
              <w:rPr>
                <w:rFonts w:cs="Arial"/>
              </w:rPr>
              <w:t>renal effects and atypical tubule hyperplasia; (</w:t>
            </w:r>
            <w:r>
              <w:rPr>
                <w:rFonts w:cs="Arial"/>
              </w:rPr>
              <w:t xml:space="preserve">mice, 104 </w:t>
            </w:r>
            <w:proofErr w:type="spellStart"/>
            <w:r>
              <w:rPr>
                <w:rFonts w:cs="Arial"/>
              </w:rPr>
              <w:t>wk</w:t>
            </w:r>
            <w:proofErr w:type="spellEnd"/>
            <w:r>
              <w:rPr>
                <w:rFonts w:cs="Arial"/>
              </w:rPr>
              <w:t>)</w:t>
            </w:r>
          </w:p>
          <w:p w14:paraId="75CF0C88" w14:textId="6D839607" w:rsidR="00605CB0" w:rsidRDefault="00605CB0" w:rsidP="00605CB0">
            <w:pPr>
              <w:pStyle w:val="ListBullet"/>
              <w:rPr>
                <w:rFonts w:cs="Arial"/>
              </w:rPr>
            </w:pPr>
            <w:r>
              <w:rPr>
                <w:rFonts w:cs="Arial"/>
              </w:rPr>
              <w:t>N</w:t>
            </w:r>
            <w:r w:rsidRPr="00605CB0">
              <w:rPr>
                <w:rFonts w:cs="Arial"/>
              </w:rPr>
              <w:t>OAEC</w:t>
            </w:r>
            <w:r>
              <w:rPr>
                <w:rFonts w:cs="Arial"/>
              </w:rPr>
              <w:t>:</w:t>
            </w:r>
            <w:r w:rsidRPr="00605CB0">
              <w:rPr>
                <w:rFonts w:cs="Arial"/>
              </w:rPr>
              <w:t xml:space="preserve"> 5 ppm</w:t>
            </w:r>
            <w:r>
              <w:rPr>
                <w:rFonts w:cs="Arial"/>
              </w:rPr>
              <w:t xml:space="preserve"> </w:t>
            </w:r>
            <w:r w:rsidRPr="00605CB0">
              <w:rPr>
                <w:rFonts w:cs="Arial"/>
              </w:rPr>
              <w:t>kidney tumours</w:t>
            </w:r>
            <w:r>
              <w:rPr>
                <w:rFonts w:cs="Arial"/>
              </w:rPr>
              <w:t>; (mice)</w:t>
            </w:r>
            <w:r w:rsidRPr="00605CB0">
              <w:rPr>
                <w:rFonts w:cs="Arial"/>
              </w:rPr>
              <w:t xml:space="preserve"> 10 ppm</w:t>
            </w:r>
            <w:r>
              <w:rPr>
                <w:rFonts w:cs="Arial"/>
              </w:rPr>
              <w:t xml:space="preserve"> (</w:t>
            </w:r>
            <w:r w:rsidRPr="00605CB0">
              <w:rPr>
                <w:rFonts w:cs="Arial"/>
              </w:rPr>
              <w:t>rats</w:t>
            </w:r>
            <w:r>
              <w:rPr>
                <w:rFonts w:cs="Arial"/>
              </w:rPr>
              <w:t xml:space="preserve">); 104 </w:t>
            </w:r>
            <w:proofErr w:type="spellStart"/>
            <w:r>
              <w:rPr>
                <w:rFonts w:cs="Arial"/>
              </w:rPr>
              <w:t>wk</w:t>
            </w:r>
            <w:proofErr w:type="spellEnd"/>
          </w:p>
          <w:p w14:paraId="6C1F6C06" w14:textId="1F05B22B" w:rsidR="00605CB0" w:rsidRPr="00A752DF" w:rsidRDefault="00605CB0" w:rsidP="00605CB0">
            <w:pPr>
              <w:pStyle w:val="ListBullet"/>
              <w:rPr>
                <w:rFonts w:cs="Arial"/>
              </w:rPr>
            </w:pPr>
            <w:r>
              <w:rPr>
                <w:rFonts w:cs="Arial"/>
              </w:rPr>
              <w:t>NOAEC: 10 ppm developmental toxicity (rats, gestation days 7 to 16)</w:t>
            </w:r>
          </w:p>
          <w:p w14:paraId="24C688D8" w14:textId="77777777" w:rsidR="004966BF" w:rsidRPr="00771153" w:rsidRDefault="00A752DF" w:rsidP="00A752DF">
            <w:pPr>
              <w:pStyle w:val="ListBullet"/>
              <w:rPr>
                <w:rFonts w:cs="Arial"/>
              </w:rPr>
            </w:pPr>
            <w:r w:rsidRPr="00422D9B">
              <w:rPr>
                <w:rFonts w:cs="Arial"/>
              </w:rPr>
              <w:t>Not likely to be a skin sensitiser</w:t>
            </w:r>
          </w:p>
          <w:p w14:paraId="1E9BD3DF" w14:textId="64F97E53" w:rsidR="00A752DF" w:rsidRPr="004C23F4" w:rsidRDefault="00A752DF" w:rsidP="00A752DF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422D9B">
              <w:rPr>
                <w:rFonts w:cs="Arial"/>
              </w:rPr>
              <w:t>No direct mutagenic or genotoxic potential</w:t>
            </w:r>
            <w:r w:rsidR="003F3E7F" w:rsidRPr="00422D9B">
              <w:rPr>
                <w:rFonts w:cs="Arial"/>
              </w:rPr>
              <w:t>.</w:t>
            </w:r>
          </w:p>
        </w:tc>
      </w:tr>
    </w:tbl>
    <w:bookmarkEnd w:id="0"/>
    <w:p w14:paraId="5ED9281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9466D7D" w14:textId="77777777" w:rsidTr="00605CB0">
        <w:trPr>
          <w:trHeight w:val="454"/>
          <w:tblHeader/>
        </w:trPr>
        <w:tc>
          <w:tcPr>
            <w:tcW w:w="6603" w:type="dxa"/>
            <w:vAlign w:val="center"/>
          </w:tcPr>
          <w:p w14:paraId="4BE482B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87706A4" w14:textId="38EAF684" w:rsidR="002E0D61" w:rsidRDefault="00605CB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BE60703" w14:textId="77777777" w:rsidTr="00605CB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73D88DD" w14:textId="12919355" w:rsidR="008A36CF" w:rsidRPr="006901A2" w:rsidRDefault="00605CB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EB8356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A2B892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750C4E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338B62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1B0664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E1BE0AD" w14:textId="77777777" w:rsidTr="00812887">
        <w:trPr>
          <w:cantSplit/>
        </w:trPr>
        <w:tc>
          <w:tcPr>
            <w:tcW w:w="3227" w:type="dxa"/>
          </w:tcPr>
          <w:p w14:paraId="309DB4B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D2ACD8A" w14:textId="61A0C727" w:rsidR="00687890" w:rsidRPr="00DD2F9B" w:rsidRDefault="00881453" w:rsidP="00881453">
            <w:pPr>
              <w:pStyle w:val="Tablefont"/>
            </w:pPr>
            <w:r w:rsidRPr="007A3BFA">
              <w:t>NA</w:t>
            </w:r>
          </w:p>
        </w:tc>
      </w:tr>
      <w:tr w:rsidR="007925F0" w:rsidRPr="004C23F4" w14:paraId="793BC138" w14:textId="77777777" w:rsidTr="00812887">
        <w:trPr>
          <w:cantSplit/>
        </w:trPr>
        <w:tc>
          <w:tcPr>
            <w:tcW w:w="3227" w:type="dxa"/>
          </w:tcPr>
          <w:p w14:paraId="6E8739D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4C3DE80" w14:textId="65197B9A" w:rsidR="007925F0" w:rsidRPr="00DD2F9B" w:rsidRDefault="00BB19BC" w:rsidP="00DD2F9B">
            <w:pPr>
              <w:pStyle w:val="Tablefont"/>
            </w:pPr>
            <w:r w:rsidRPr="007A3BFA">
              <w:t>Carcinogenicity – category 2</w:t>
            </w:r>
          </w:p>
        </w:tc>
      </w:tr>
      <w:tr w:rsidR="00AF483F" w:rsidRPr="004C23F4" w14:paraId="59654E23" w14:textId="77777777" w:rsidTr="00812887">
        <w:trPr>
          <w:cantSplit/>
        </w:trPr>
        <w:tc>
          <w:tcPr>
            <w:tcW w:w="3227" w:type="dxa"/>
          </w:tcPr>
          <w:p w14:paraId="047070B1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689FE6C7" w14:textId="47F97715" w:rsidR="00AF483F" w:rsidRPr="007A3BFA" w:rsidRDefault="003A00E1" w:rsidP="00DD2F9B">
            <w:pPr>
              <w:pStyle w:val="Tablefont"/>
            </w:pPr>
            <w:proofErr w:type="spellStart"/>
            <w:r w:rsidRPr="007A3BFA">
              <w:t>Carc</w:t>
            </w:r>
            <w:proofErr w:type="spellEnd"/>
            <w:r w:rsidRPr="007A3BFA">
              <w:t>. Cat</w:t>
            </w:r>
            <w:r w:rsidR="007A3BFA">
              <w:t>.</w:t>
            </w:r>
            <w:r w:rsidRPr="007A3BFA">
              <w:t xml:space="preserve"> 3</w:t>
            </w:r>
          </w:p>
        </w:tc>
      </w:tr>
      <w:tr w:rsidR="00687890" w:rsidRPr="004C23F4" w14:paraId="1D2F9468" w14:textId="77777777" w:rsidTr="00812887">
        <w:trPr>
          <w:cantSplit/>
        </w:trPr>
        <w:tc>
          <w:tcPr>
            <w:tcW w:w="3227" w:type="dxa"/>
          </w:tcPr>
          <w:p w14:paraId="1E73797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F08BC60" w14:textId="70ECBD31" w:rsidR="00687890" w:rsidRPr="00DD2F9B" w:rsidRDefault="007A3BFA" w:rsidP="007A3BFA">
            <w:r>
              <w:t>Carcinogenicity – category 2</w:t>
            </w:r>
          </w:p>
        </w:tc>
      </w:tr>
      <w:tr w:rsidR="00E41A26" w:rsidRPr="004C23F4" w14:paraId="503FBECE" w14:textId="77777777" w:rsidTr="00812887">
        <w:trPr>
          <w:cantSplit/>
        </w:trPr>
        <w:tc>
          <w:tcPr>
            <w:tcW w:w="3227" w:type="dxa"/>
          </w:tcPr>
          <w:p w14:paraId="455D11F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E878681" w14:textId="69E95D3B" w:rsidR="00E41A26" w:rsidRPr="00DD2F9B" w:rsidRDefault="00AB4C8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0442A37" w14:textId="77777777" w:rsidTr="00812887">
        <w:trPr>
          <w:cantSplit/>
        </w:trPr>
        <w:tc>
          <w:tcPr>
            <w:tcW w:w="3227" w:type="dxa"/>
          </w:tcPr>
          <w:p w14:paraId="3887CAA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C76AFD4" w14:textId="4FA89BE4" w:rsidR="002E0D61" w:rsidRPr="00DD2F9B" w:rsidRDefault="004E5502" w:rsidP="004E5502">
            <w:r>
              <w:t>Carcinogenicity – A3</w:t>
            </w:r>
          </w:p>
        </w:tc>
      </w:tr>
      <w:tr w:rsidR="002E0D61" w:rsidRPr="004C23F4" w14:paraId="298E6695" w14:textId="77777777" w:rsidTr="00812887">
        <w:trPr>
          <w:cantSplit/>
        </w:trPr>
        <w:tc>
          <w:tcPr>
            <w:tcW w:w="3227" w:type="dxa"/>
          </w:tcPr>
          <w:p w14:paraId="52143D6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D852FF9" w14:textId="7A8A9FE6" w:rsidR="002E0D61" w:rsidRPr="00DD2F9B" w:rsidRDefault="004E5502" w:rsidP="004E5502">
            <w:r>
              <w:t xml:space="preserve">Carcinogenicity – 1, </w:t>
            </w:r>
            <w:r w:rsidR="00BB19BC">
              <w:t>H</w:t>
            </w:r>
            <w:r>
              <w:t xml:space="preserve"> (skin)</w:t>
            </w:r>
          </w:p>
        </w:tc>
      </w:tr>
      <w:tr w:rsidR="002E0D61" w:rsidRPr="004C23F4" w14:paraId="51494197" w14:textId="77777777" w:rsidTr="00812887">
        <w:trPr>
          <w:cantSplit/>
        </w:trPr>
        <w:tc>
          <w:tcPr>
            <w:tcW w:w="3227" w:type="dxa"/>
          </w:tcPr>
          <w:p w14:paraId="5702372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B0B730C" w14:textId="4C2F7972" w:rsidR="002E0D61" w:rsidRPr="00DD2F9B" w:rsidRDefault="004E5502" w:rsidP="00DD2F9B">
            <w:pPr>
              <w:pStyle w:val="Tablefont"/>
            </w:pPr>
            <w:r>
              <w:t>S</w:t>
            </w:r>
            <w:r w:rsidR="00602DEB">
              <w:t>kin</w:t>
            </w:r>
          </w:p>
        </w:tc>
      </w:tr>
      <w:tr w:rsidR="002E0D61" w:rsidRPr="004C23F4" w14:paraId="2F76DF97" w14:textId="77777777" w:rsidTr="00812887">
        <w:trPr>
          <w:cantSplit/>
        </w:trPr>
        <w:tc>
          <w:tcPr>
            <w:tcW w:w="3227" w:type="dxa"/>
          </w:tcPr>
          <w:p w14:paraId="02661A7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212348E" w14:textId="5B5AC25D" w:rsidR="002E0D61" w:rsidRPr="00DD2F9B" w:rsidRDefault="003A00E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17B44D8" w14:textId="77777777" w:rsidTr="00812887">
        <w:trPr>
          <w:cantSplit/>
        </w:trPr>
        <w:tc>
          <w:tcPr>
            <w:tcW w:w="3227" w:type="dxa"/>
          </w:tcPr>
          <w:p w14:paraId="7E6C709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127DDF8" w14:textId="0ED1C604" w:rsidR="00386093" w:rsidRPr="00DD2F9B" w:rsidRDefault="00F713DF" w:rsidP="00F713DF">
            <w:r>
              <w:t>Carcinogenicity – Group 2B</w:t>
            </w:r>
          </w:p>
        </w:tc>
      </w:tr>
      <w:tr w:rsidR="00386093" w:rsidRPr="004C23F4" w14:paraId="3A7B9E5F" w14:textId="77777777" w:rsidTr="00812887">
        <w:trPr>
          <w:cantSplit/>
        </w:trPr>
        <w:tc>
          <w:tcPr>
            <w:tcW w:w="3227" w:type="dxa"/>
          </w:tcPr>
          <w:p w14:paraId="410CCC7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30CBB56" w14:textId="186880E7" w:rsidR="00386093" w:rsidRPr="007A3BFA" w:rsidRDefault="007C14E2" w:rsidP="007A3BFA">
            <w:pPr>
              <w:pStyle w:val="Tablefont"/>
            </w:pPr>
            <w:r w:rsidRPr="007A3BFA">
              <w:t>NA</w:t>
            </w:r>
          </w:p>
        </w:tc>
      </w:tr>
    </w:tbl>
    <w:bookmarkEnd w:id="2"/>
    <w:p w14:paraId="33776AF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74F786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4976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8983"/>
      </w:tblGrid>
      <w:tr w:rsidR="00932DCE" w:rsidRPr="004C23F4" w14:paraId="69AE4A50" w14:textId="77777777" w:rsidTr="00DC1BA8">
        <w:trPr>
          <w:cantSplit/>
          <w:trHeight w:val="316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EC9AAE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4CB8A09" w14:textId="77777777" w:rsidTr="00DC1BA8">
        <w:trPr>
          <w:cantSplit/>
          <w:trHeight w:val="2934"/>
          <w:tblHeader/>
        </w:trPr>
        <w:tc>
          <w:tcPr>
            <w:tcW w:w="5000" w:type="pct"/>
            <w:vAlign w:val="center"/>
          </w:tcPr>
          <w:tbl>
            <w:tblPr>
              <w:tblW w:w="8718" w:type="dxa"/>
              <w:tblLook w:val="04A0" w:firstRow="1" w:lastRow="0" w:firstColumn="1" w:lastColumn="0" w:noHBand="0" w:noVBand="1"/>
            </w:tblPr>
            <w:tblGrid>
              <w:gridCol w:w="3298"/>
              <w:gridCol w:w="971"/>
              <w:gridCol w:w="971"/>
              <w:gridCol w:w="1159"/>
              <w:gridCol w:w="1159"/>
              <w:gridCol w:w="1160"/>
            </w:tblGrid>
            <w:tr w:rsidR="00363F8F" w:rsidRPr="00363F8F" w14:paraId="3FF4C0DB" w14:textId="77777777" w:rsidTr="00DC1BA8">
              <w:trPr>
                <w:trHeight w:val="314"/>
              </w:trPr>
              <w:tc>
                <w:tcPr>
                  <w:tcW w:w="3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91F382" w14:textId="77777777" w:rsidR="00363F8F" w:rsidRPr="00363F8F" w:rsidRDefault="00363F8F" w:rsidP="00363F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37A32F" w14:textId="77777777" w:rsidR="00363F8F" w:rsidRPr="00363F8F" w:rsidRDefault="00363F8F" w:rsidP="00363F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7C1D90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86EED5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855332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D57BA1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63F8F" w:rsidRPr="00363F8F" w14:paraId="487D173A" w14:textId="77777777" w:rsidTr="00DC1BA8">
              <w:trPr>
                <w:trHeight w:val="314"/>
              </w:trPr>
              <w:tc>
                <w:tcPr>
                  <w:tcW w:w="3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976495" w14:textId="77777777" w:rsidR="00363F8F" w:rsidRPr="00363F8F" w:rsidRDefault="00363F8F" w:rsidP="00363F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FA657E" w14:textId="77777777" w:rsidR="00363F8F" w:rsidRPr="00363F8F" w:rsidRDefault="00363F8F" w:rsidP="00363F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1489E9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FB8225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BC7864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6381F4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63F8F" w:rsidRPr="00363F8F" w14:paraId="0A4DA391" w14:textId="77777777" w:rsidTr="00DC1BA8">
              <w:trPr>
                <w:trHeight w:val="314"/>
              </w:trPr>
              <w:tc>
                <w:tcPr>
                  <w:tcW w:w="3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F0DEA5" w14:textId="77777777" w:rsidR="00363F8F" w:rsidRPr="00363F8F" w:rsidRDefault="00363F8F" w:rsidP="00363F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9A19DD" w14:textId="77777777" w:rsidR="00363F8F" w:rsidRPr="00363F8F" w:rsidRDefault="00363F8F" w:rsidP="00363F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DEF66D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A0747C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A19E6E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47A339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63F8F" w:rsidRPr="00363F8F" w14:paraId="36DB6AAA" w14:textId="77777777" w:rsidTr="00DC1BA8">
              <w:trPr>
                <w:trHeight w:val="314"/>
              </w:trPr>
              <w:tc>
                <w:tcPr>
                  <w:tcW w:w="3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88ADB1" w14:textId="77777777" w:rsidR="00363F8F" w:rsidRPr="00363F8F" w:rsidRDefault="00363F8F" w:rsidP="00363F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7C4C19" w14:textId="77777777" w:rsidR="00363F8F" w:rsidRPr="00363F8F" w:rsidRDefault="00363F8F" w:rsidP="00363F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802B08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FFA47A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55BC9A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314973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63F8F" w:rsidRPr="00363F8F" w14:paraId="147A4F95" w14:textId="77777777" w:rsidTr="00DC1BA8">
              <w:trPr>
                <w:trHeight w:val="314"/>
              </w:trPr>
              <w:tc>
                <w:tcPr>
                  <w:tcW w:w="3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97C3D7" w14:textId="77777777" w:rsidR="00363F8F" w:rsidRPr="00363F8F" w:rsidRDefault="00363F8F" w:rsidP="00363F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40DEE7" w14:textId="77777777" w:rsidR="00363F8F" w:rsidRPr="00363F8F" w:rsidRDefault="00363F8F" w:rsidP="00363F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B42EEB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78AF89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F2DD28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1B1ED2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63F8F" w:rsidRPr="00363F8F" w14:paraId="623FB43F" w14:textId="77777777" w:rsidTr="00DC1BA8">
              <w:trPr>
                <w:trHeight w:val="314"/>
              </w:trPr>
              <w:tc>
                <w:tcPr>
                  <w:tcW w:w="3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4BD32F" w14:textId="77777777" w:rsidR="00363F8F" w:rsidRPr="00363F8F" w:rsidRDefault="00363F8F" w:rsidP="00363F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EF1738F" w14:textId="77777777" w:rsidR="00363F8F" w:rsidRPr="00363F8F" w:rsidRDefault="00363F8F" w:rsidP="00363F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EB2BB7" w14:textId="77777777" w:rsidR="00363F8F" w:rsidRPr="00363F8F" w:rsidRDefault="00363F8F" w:rsidP="00363F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F8BB36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32D525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7ADB4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63F8F" w:rsidRPr="00363F8F" w14:paraId="62A1B29D" w14:textId="77777777" w:rsidTr="00DC1BA8">
              <w:trPr>
                <w:trHeight w:val="314"/>
              </w:trPr>
              <w:tc>
                <w:tcPr>
                  <w:tcW w:w="32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F2B745" w14:textId="77777777" w:rsidR="00363F8F" w:rsidRPr="00363F8F" w:rsidRDefault="00363F8F" w:rsidP="00363F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6D9880" w14:textId="77777777" w:rsidR="00363F8F" w:rsidRPr="00363F8F" w:rsidRDefault="00363F8F" w:rsidP="00363F8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803673" w14:textId="77777777" w:rsidR="00363F8F" w:rsidRPr="00363F8F" w:rsidRDefault="00363F8F" w:rsidP="00363F8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47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B5AC59" w14:textId="77777777" w:rsidR="00363F8F" w:rsidRPr="00363F8F" w:rsidRDefault="00363F8F" w:rsidP="00363F8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63F8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5E65DC9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F7B293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7782E5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2E870A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A35A7EE" w14:textId="5DB19B4C" w:rsidR="00EB3D1B" w:rsidRDefault="0041184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896275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AF4260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36FA10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C8239E6" w14:textId="77777777" w:rsidR="001B79E5" w:rsidRDefault="00202753" w:rsidP="001B79E5">
                <w:pPr>
                  <w:pStyle w:val="Tablefont"/>
                </w:pPr>
                <w:r>
                  <w:t>119.38</w:t>
                </w:r>
              </w:p>
            </w:tc>
          </w:sdtContent>
        </w:sdt>
      </w:tr>
      <w:tr w:rsidR="00A31D99" w:rsidRPr="004C23F4" w14:paraId="2141E30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632BD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E9690E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C34263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AF802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2D40E4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D745BB" w14:textId="77777777" w:rsidTr="00EA6243">
        <w:trPr>
          <w:cantSplit/>
        </w:trPr>
        <w:tc>
          <w:tcPr>
            <w:tcW w:w="4077" w:type="dxa"/>
            <w:vAlign w:val="center"/>
          </w:tcPr>
          <w:p w14:paraId="37ABBC5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26528B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DBB3190" w14:textId="77777777" w:rsidTr="00EA6243">
        <w:trPr>
          <w:cantSplit/>
        </w:trPr>
        <w:tc>
          <w:tcPr>
            <w:tcW w:w="4077" w:type="dxa"/>
            <w:vAlign w:val="center"/>
          </w:tcPr>
          <w:p w14:paraId="169ABD3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95A069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D5E74AD" w14:textId="77777777" w:rsidTr="00EA6243">
        <w:trPr>
          <w:cantSplit/>
        </w:trPr>
        <w:tc>
          <w:tcPr>
            <w:tcW w:w="4077" w:type="dxa"/>
            <w:vAlign w:val="center"/>
          </w:tcPr>
          <w:p w14:paraId="316913F7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72FBC7B" w14:textId="77777777" w:rsidR="00E06F40" w:rsidRPr="00A006A0" w:rsidRDefault="004710F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BAF0150" w14:textId="7382CDF6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94E582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3D24CA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5D28BE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6E7E4F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D991A06" w14:textId="6EC9BD0F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5883F0E" w14:textId="0FD813DC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9487CC6" w14:textId="665A6A65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CE7A0FB" w14:textId="04E5966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7896DBE" w14:textId="3B74036F" w:rsidR="00F713DF" w:rsidRDefault="00F713DF" w:rsidP="00F713D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</w:t>
      </w:r>
      <w:r w:rsidR="00E3525B">
        <w:t>12</w:t>
      </w:r>
      <w:r>
        <w:t>) Chloroform – MAK value documentation.</w:t>
      </w:r>
    </w:p>
    <w:p w14:paraId="3D60F816" w14:textId="77777777" w:rsidR="003F3E7F" w:rsidRDefault="003F3E7F" w:rsidP="003F3E7F">
      <w:r w:rsidRPr="002022B6">
        <w:t>EU Scientific Committee on Occupational Exposure Limits (SCOEL)</w:t>
      </w:r>
      <w:r>
        <w:t xml:space="preserve"> (1995) Recommendation from the Scientific Committee on Occupational Exposure Limits for chloroform. SEG/SUM/30.</w:t>
      </w:r>
    </w:p>
    <w:p w14:paraId="2A09E2D4" w14:textId="6996D17F" w:rsidR="00685F3A" w:rsidRDefault="00685F3A" w:rsidP="00685F3A">
      <w:r w:rsidRPr="002022B6">
        <w:t>Health Council of the Netherlands</w:t>
      </w:r>
      <w:r>
        <w:t xml:space="preserve"> (HCOTN) (2000) Chloroform</w:t>
      </w:r>
      <w:r w:rsidRPr="005F7416">
        <w:t xml:space="preserve">. </w:t>
      </w:r>
      <w:r w:rsidRPr="00F72BD8">
        <w:t>Evaluation of the effects on reproduction, recommendation for classification</w:t>
      </w:r>
      <w:r w:rsidRPr="005F7416">
        <w:t xml:space="preserve">. The Hague: Health Council of the Netherlands; publication no. </w:t>
      </w:r>
      <w:r>
        <w:t>2000/07OSH.</w:t>
      </w:r>
    </w:p>
    <w:p w14:paraId="0F5D5EB7" w14:textId="1E10F047" w:rsidR="00F274BC" w:rsidRDefault="002B13AB" w:rsidP="00F274BC">
      <w:r w:rsidRPr="002B13AB">
        <w:t>International Agency for Research on Cancer (IARC) (1999) Volume 7</w:t>
      </w:r>
      <w:r>
        <w:t>3</w:t>
      </w:r>
      <w:r w:rsidRPr="002B13AB">
        <w:t xml:space="preserve"> </w:t>
      </w:r>
      <w:r>
        <w:t xml:space="preserve">some chemicals that cause tumours of the kidney or urinary bladder in rodents </w:t>
      </w:r>
      <w:r w:rsidRPr="002B13AB">
        <w:t>and some other substances. IARC Monographs on the evaluation of the carcinogenic risk to humans.</w:t>
      </w:r>
    </w:p>
    <w:p w14:paraId="5664D496" w14:textId="546A4CB4" w:rsidR="00464700" w:rsidRDefault="00464700" w:rsidP="00464700">
      <w:pPr>
        <w:rPr>
          <w:b/>
        </w:rPr>
      </w:pPr>
      <w:r w:rsidRPr="002022B6">
        <w:t>National Industrial Chemicals Notification and Assessment Scheme (NICNAS)</w:t>
      </w:r>
      <w:r>
        <w:t xml:space="preserve"> (2014) Methan</w:t>
      </w:r>
      <w:r w:rsidR="0050041F">
        <w:t>e</w:t>
      </w:r>
      <w:r>
        <w:t>, trichloro</w:t>
      </w:r>
      <w:r w:rsidRPr="0071660C">
        <w:t xml:space="preserve">: Human health </w:t>
      </w:r>
      <w:sdt>
        <w:sdtPr>
          <w:id w:val="-1295753243"/>
          <w:placeholder>
            <w:docPart w:val="7B981F6F3D8243C8A37BB902F7B3BAF9"/>
          </w:placeholder>
          <w:temporary/>
          <w:showingPlcHdr/>
        </w:sdtPr>
        <w:sdtEndPr/>
        <w:sdtContent>
          <w:r w:rsidRPr="00422D9B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43311C2D" w14:textId="77777777" w:rsidR="003F3E7F" w:rsidRDefault="003F3E7F" w:rsidP="003F3E7F">
      <w:r w:rsidRPr="00D5409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2D9E355" w14:textId="49A6C9F2" w:rsidR="00464700" w:rsidRDefault="00DC57B5" w:rsidP="00DC57B5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sdt>
        <w:sdtPr>
          <w:id w:val="-1194999823"/>
          <w:placeholder>
            <w:docPart w:val="F5C83191ADC540A5B869205747CD9BF2"/>
          </w:placeholder>
          <w:temporary/>
          <w:showingPlcHdr/>
        </w:sdtPr>
        <w:sdtEndPr/>
        <w:sdtContent>
          <w:r w:rsidRPr="00422D9B">
            <w:t>1994</w:t>
          </w:r>
        </w:sdtContent>
      </w:sdt>
      <w:r>
        <w:t>) Immediately dangerous to life or health concentrations – chloroform.</w:t>
      </w:r>
    </w:p>
    <w:p w14:paraId="1DD74ACE" w14:textId="77777777" w:rsidR="00685F3A" w:rsidRDefault="00685F3A" w:rsidP="00F713DF">
      <w:pPr>
        <w:rPr>
          <w:b/>
        </w:rPr>
      </w:pPr>
    </w:p>
    <w:p w14:paraId="76C83D44" w14:textId="77777777" w:rsidR="00F713DF" w:rsidRPr="00351FE0" w:rsidRDefault="00F713DF" w:rsidP="00084859"/>
    <w:sectPr w:rsidR="00F713D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6199C" w14:textId="77777777" w:rsidR="00742250" w:rsidRDefault="00742250" w:rsidP="00F43AD5">
      <w:pPr>
        <w:spacing w:after="0" w:line="240" w:lineRule="auto"/>
      </w:pPr>
      <w:r>
        <w:separator/>
      </w:r>
    </w:p>
  </w:endnote>
  <w:endnote w:type="continuationSeparator" w:id="0">
    <w:p w14:paraId="7E44819B" w14:textId="77777777" w:rsidR="00742250" w:rsidRDefault="0074225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BF2068E" w14:textId="77777777" w:rsidR="008A36CF" w:rsidRDefault="00FF474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Chloroform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67-66-3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EF2526D" w14:textId="056587F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24F8F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D31628" w14:textId="77777777" w:rsidR="00742250" w:rsidRDefault="00742250" w:rsidP="00F43AD5">
      <w:pPr>
        <w:spacing w:after="0" w:line="240" w:lineRule="auto"/>
      </w:pPr>
      <w:r>
        <w:separator/>
      </w:r>
    </w:p>
  </w:footnote>
  <w:footnote w:type="continuationSeparator" w:id="0">
    <w:p w14:paraId="64214FB1" w14:textId="77777777" w:rsidR="00742250" w:rsidRDefault="0074225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261BA" w14:textId="56F3F5A8" w:rsidR="00024F8F" w:rsidRDefault="00024F8F" w:rsidP="00024F8F">
    <w:pPr>
      <w:pStyle w:val="Header"/>
      <w:jc w:val="right"/>
    </w:pPr>
    <w:r>
      <w:rPr>
        <w:noProof/>
        <w:lang w:eastAsia="en-AU"/>
      </w:rPr>
      <w:drawing>
        <wp:inline distT="0" distB="0" distL="0" distR="0" wp14:anchorId="7EBBDE21" wp14:editId="084595B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19BAC4E" w14:textId="2BEB5192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CB5EC3" w14:textId="08ED02AE" w:rsidR="00024F8F" w:rsidRDefault="00024F8F" w:rsidP="00024F8F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FF4B69" wp14:editId="6AFCDCA0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0BEE16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5686D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2842B0"/>
    <w:multiLevelType w:val="hybridMultilevel"/>
    <w:tmpl w:val="5BB804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EC52659"/>
    <w:multiLevelType w:val="hybridMultilevel"/>
    <w:tmpl w:val="B2749D8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F9B1AFC"/>
    <w:multiLevelType w:val="hybridMultilevel"/>
    <w:tmpl w:val="BA0250B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FB96A77"/>
    <w:multiLevelType w:val="hybridMultilevel"/>
    <w:tmpl w:val="44D2A6C0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FCE042C"/>
    <w:multiLevelType w:val="hybridMultilevel"/>
    <w:tmpl w:val="8856DEB8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6" w15:restartNumberingAfterBreak="0">
    <w:nsid w:val="5BDA0BE5"/>
    <w:multiLevelType w:val="hybridMultilevel"/>
    <w:tmpl w:val="295863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ECA02E8"/>
    <w:multiLevelType w:val="hybridMultilevel"/>
    <w:tmpl w:val="41B8AE4A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8663097">
    <w:abstractNumId w:val="0"/>
  </w:num>
  <w:num w:numId="2" w16cid:durableId="2056538731">
    <w:abstractNumId w:val="1"/>
  </w:num>
  <w:num w:numId="3" w16cid:durableId="1007833436">
    <w:abstractNumId w:val="2"/>
  </w:num>
  <w:num w:numId="4" w16cid:durableId="239290570">
    <w:abstractNumId w:val="6"/>
  </w:num>
  <w:num w:numId="5" w16cid:durableId="1798449306">
    <w:abstractNumId w:val="3"/>
  </w:num>
  <w:num w:numId="6" w16cid:durableId="1251541623">
    <w:abstractNumId w:val="4"/>
  </w:num>
  <w:num w:numId="7" w16cid:durableId="292247757">
    <w:abstractNumId w:val="5"/>
  </w:num>
  <w:num w:numId="8" w16cid:durableId="1054700802">
    <w:abstractNumId w:val="7"/>
  </w:num>
  <w:num w:numId="9" w16cid:durableId="665522602">
    <w:abstractNumId w:val="0"/>
  </w:num>
  <w:num w:numId="10" w16cid:durableId="189345001">
    <w:abstractNumId w:val="0"/>
  </w:num>
  <w:num w:numId="11" w16cid:durableId="1678192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4F8F"/>
    <w:rsid w:val="00032B88"/>
    <w:rsid w:val="00046DF5"/>
    <w:rsid w:val="000471CC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3840"/>
    <w:rsid w:val="000D291C"/>
    <w:rsid w:val="000E256B"/>
    <w:rsid w:val="000E5A54"/>
    <w:rsid w:val="000E63D3"/>
    <w:rsid w:val="000E67CF"/>
    <w:rsid w:val="000F1E5C"/>
    <w:rsid w:val="0010111A"/>
    <w:rsid w:val="0010461E"/>
    <w:rsid w:val="00106FAA"/>
    <w:rsid w:val="00113443"/>
    <w:rsid w:val="00123671"/>
    <w:rsid w:val="001269A7"/>
    <w:rsid w:val="00131092"/>
    <w:rsid w:val="0014097D"/>
    <w:rsid w:val="00140E6A"/>
    <w:rsid w:val="001431E4"/>
    <w:rsid w:val="00146545"/>
    <w:rsid w:val="00146B75"/>
    <w:rsid w:val="0015266D"/>
    <w:rsid w:val="0015288A"/>
    <w:rsid w:val="00157CAC"/>
    <w:rsid w:val="00160F47"/>
    <w:rsid w:val="00163FF3"/>
    <w:rsid w:val="00177CA1"/>
    <w:rsid w:val="00183823"/>
    <w:rsid w:val="00183942"/>
    <w:rsid w:val="00191570"/>
    <w:rsid w:val="00193699"/>
    <w:rsid w:val="00193931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1F03"/>
    <w:rsid w:val="00202753"/>
    <w:rsid w:val="002046A6"/>
    <w:rsid w:val="00204956"/>
    <w:rsid w:val="00213640"/>
    <w:rsid w:val="00221547"/>
    <w:rsid w:val="002216FC"/>
    <w:rsid w:val="00222533"/>
    <w:rsid w:val="00222F30"/>
    <w:rsid w:val="00223A3F"/>
    <w:rsid w:val="00224EE2"/>
    <w:rsid w:val="00227EC7"/>
    <w:rsid w:val="00244AD1"/>
    <w:rsid w:val="002463BC"/>
    <w:rsid w:val="002465CE"/>
    <w:rsid w:val="0025734A"/>
    <w:rsid w:val="00260237"/>
    <w:rsid w:val="00263255"/>
    <w:rsid w:val="0026465D"/>
    <w:rsid w:val="0027453A"/>
    <w:rsid w:val="00276494"/>
    <w:rsid w:val="00277B0C"/>
    <w:rsid w:val="002902D0"/>
    <w:rsid w:val="002B13AB"/>
    <w:rsid w:val="002B1A2C"/>
    <w:rsid w:val="002C34F2"/>
    <w:rsid w:val="002C58FF"/>
    <w:rsid w:val="002C7AFE"/>
    <w:rsid w:val="002D05D2"/>
    <w:rsid w:val="002E0D61"/>
    <w:rsid w:val="002E4C7B"/>
    <w:rsid w:val="00301C19"/>
    <w:rsid w:val="0030740C"/>
    <w:rsid w:val="00310B5A"/>
    <w:rsid w:val="00313C75"/>
    <w:rsid w:val="00315833"/>
    <w:rsid w:val="003215EE"/>
    <w:rsid w:val="0032168A"/>
    <w:rsid w:val="003224A2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3F8F"/>
    <w:rsid w:val="00370DBF"/>
    <w:rsid w:val="00386093"/>
    <w:rsid w:val="003904A4"/>
    <w:rsid w:val="00391841"/>
    <w:rsid w:val="00391B6D"/>
    <w:rsid w:val="00394922"/>
    <w:rsid w:val="003A00E1"/>
    <w:rsid w:val="003A0E32"/>
    <w:rsid w:val="003A2B94"/>
    <w:rsid w:val="003A74BA"/>
    <w:rsid w:val="003B387D"/>
    <w:rsid w:val="003C0D58"/>
    <w:rsid w:val="003D297C"/>
    <w:rsid w:val="003D4FA3"/>
    <w:rsid w:val="003E0807"/>
    <w:rsid w:val="003E51FB"/>
    <w:rsid w:val="003E6B39"/>
    <w:rsid w:val="003F07E1"/>
    <w:rsid w:val="003F3E7F"/>
    <w:rsid w:val="004030BC"/>
    <w:rsid w:val="00403F7D"/>
    <w:rsid w:val="00406785"/>
    <w:rsid w:val="004079B4"/>
    <w:rsid w:val="0041184A"/>
    <w:rsid w:val="00417A56"/>
    <w:rsid w:val="00420957"/>
    <w:rsid w:val="00422A10"/>
    <w:rsid w:val="00422D9B"/>
    <w:rsid w:val="00430179"/>
    <w:rsid w:val="004414B5"/>
    <w:rsid w:val="00444482"/>
    <w:rsid w:val="00444B42"/>
    <w:rsid w:val="00445E44"/>
    <w:rsid w:val="004461A1"/>
    <w:rsid w:val="004505D1"/>
    <w:rsid w:val="004509E2"/>
    <w:rsid w:val="004515EE"/>
    <w:rsid w:val="004529F0"/>
    <w:rsid w:val="00460A03"/>
    <w:rsid w:val="00464700"/>
    <w:rsid w:val="004710F6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0187"/>
    <w:rsid w:val="004D16A3"/>
    <w:rsid w:val="004D4AA1"/>
    <w:rsid w:val="004D6D68"/>
    <w:rsid w:val="004D7420"/>
    <w:rsid w:val="004E5502"/>
    <w:rsid w:val="004E5EDD"/>
    <w:rsid w:val="004F448A"/>
    <w:rsid w:val="004F493D"/>
    <w:rsid w:val="004F65E8"/>
    <w:rsid w:val="0050005E"/>
    <w:rsid w:val="0050041F"/>
    <w:rsid w:val="00502B88"/>
    <w:rsid w:val="005142C4"/>
    <w:rsid w:val="00515051"/>
    <w:rsid w:val="0051509C"/>
    <w:rsid w:val="005207F5"/>
    <w:rsid w:val="00520A6E"/>
    <w:rsid w:val="00526A9E"/>
    <w:rsid w:val="005272E2"/>
    <w:rsid w:val="0053108F"/>
    <w:rsid w:val="00531EF0"/>
    <w:rsid w:val="00532B56"/>
    <w:rsid w:val="00534B10"/>
    <w:rsid w:val="005446A2"/>
    <w:rsid w:val="00544D2F"/>
    <w:rsid w:val="005469D1"/>
    <w:rsid w:val="00551BD8"/>
    <w:rsid w:val="00560488"/>
    <w:rsid w:val="00581055"/>
    <w:rsid w:val="00591A7E"/>
    <w:rsid w:val="00591E38"/>
    <w:rsid w:val="005A19C5"/>
    <w:rsid w:val="005A3034"/>
    <w:rsid w:val="005A462D"/>
    <w:rsid w:val="005B1C07"/>
    <w:rsid w:val="005B253B"/>
    <w:rsid w:val="005B771D"/>
    <w:rsid w:val="005C5D16"/>
    <w:rsid w:val="005D3193"/>
    <w:rsid w:val="005D4A6E"/>
    <w:rsid w:val="005D74F7"/>
    <w:rsid w:val="005E6979"/>
    <w:rsid w:val="005E75CB"/>
    <w:rsid w:val="005F6944"/>
    <w:rsid w:val="006013C1"/>
    <w:rsid w:val="00602DEB"/>
    <w:rsid w:val="00605827"/>
    <w:rsid w:val="00605CB0"/>
    <w:rsid w:val="0060669E"/>
    <w:rsid w:val="00610F2E"/>
    <w:rsid w:val="00611399"/>
    <w:rsid w:val="00624C4E"/>
    <w:rsid w:val="00625200"/>
    <w:rsid w:val="006363A8"/>
    <w:rsid w:val="00636DB7"/>
    <w:rsid w:val="0065014E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5F3A"/>
    <w:rsid w:val="006867F3"/>
    <w:rsid w:val="00687890"/>
    <w:rsid w:val="006901A2"/>
    <w:rsid w:val="00690368"/>
    <w:rsid w:val="0069079C"/>
    <w:rsid w:val="00690B53"/>
    <w:rsid w:val="00695B72"/>
    <w:rsid w:val="00697028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5E93"/>
    <w:rsid w:val="007365D1"/>
    <w:rsid w:val="00740E0E"/>
    <w:rsid w:val="00741890"/>
    <w:rsid w:val="00742250"/>
    <w:rsid w:val="00750212"/>
    <w:rsid w:val="00754779"/>
    <w:rsid w:val="0075716D"/>
    <w:rsid w:val="00761A02"/>
    <w:rsid w:val="00765F14"/>
    <w:rsid w:val="00770E31"/>
    <w:rsid w:val="00771153"/>
    <w:rsid w:val="007770F1"/>
    <w:rsid w:val="00782CA0"/>
    <w:rsid w:val="00783FB1"/>
    <w:rsid w:val="00785CDD"/>
    <w:rsid w:val="00791847"/>
    <w:rsid w:val="007925F0"/>
    <w:rsid w:val="007939B3"/>
    <w:rsid w:val="0079509C"/>
    <w:rsid w:val="00796708"/>
    <w:rsid w:val="007A3BFA"/>
    <w:rsid w:val="007B1B42"/>
    <w:rsid w:val="007C14E2"/>
    <w:rsid w:val="007C30EB"/>
    <w:rsid w:val="007C4A3B"/>
    <w:rsid w:val="007E063C"/>
    <w:rsid w:val="007E2A4B"/>
    <w:rsid w:val="007E307D"/>
    <w:rsid w:val="007E4C0F"/>
    <w:rsid w:val="007E6A4E"/>
    <w:rsid w:val="007E6C94"/>
    <w:rsid w:val="007F1005"/>
    <w:rsid w:val="007F17E8"/>
    <w:rsid w:val="007F25E0"/>
    <w:rsid w:val="007F5328"/>
    <w:rsid w:val="00804F5A"/>
    <w:rsid w:val="00810C6D"/>
    <w:rsid w:val="00812887"/>
    <w:rsid w:val="0081337C"/>
    <w:rsid w:val="00826F21"/>
    <w:rsid w:val="00834CC8"/>
    <w:rsid w:val="00835E00"/>
    <w:rsid w:val="00837113"/>
    <w:rsid w:val="008414E4"/>
    <w:rsid w:val="00841513"/>
    <w:rsid w:val="00843E21"/>
    <w:rsid w:val="0084508E"/>
    <w:rsid w:val="00857A8A"/>
    <w:rsid w:val="008630EE"/>
    <w:rsid w:val="00864D13"/>
    <w:rsid w:val="00871CD5"/>
    <w:rsid w:val="008745A2"/>
    <w:rsid w:val="008768A8"/>
    <w:rsid w:val="00881453"/>
    <w:rsid w:val="0088798F"/>
    <w:rsid w:val="00887E4B"/>
    <w:rsid w:val="008915C8"/>
    <w:rsid w:val="008A36CF"/>
    <w:rsid w:val="008A3BC4"/>
    <w:rsid w:val="008B403C"/>
    <w:rsid w:val="008B5072"/>
    <w:rsid w:val="008B7983"/>
    <w:rsid w:val="008C14A5"/>
    <w:rsid w:val="008C2511"/>
    <w:rsid w:val="008D026D"/>
    <w:rsid w:val="008D23AB"/>
    <w:rsid w:val="008D3412"/>
    <w:rsid w:val="008D4B8B"/>
    <w:rsid w:val="008D5A78"/>
    <w:rsid w:val="008E6AF1"/>
    <w:rsid w:val="008E7B64"/>
    <w:rsid w:val="008F5DCD"/>
    <w:rsid w:val="008F7E33"/>
    <w:rsid w:val="00900951"/>
    <w:rsid w:val="009118A6"/>
    <w:rsid w:val="009167C4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6E1C"/>
    <w:rsid w:val="00974F2D"/>
    <w:rsid w:val="00977524"/>
    <w:rsid w:val="00977E88"/>
    <w:rsid w:val="00984920"/>
    <w:rsid w:val="0099303A"/>
    <w:rsid w:val="009971C2"/>
    <w:rsid w:val="009A1254"/>
    <w:rsid w:val="009A7AB4"/>
    <w:rsid w:val="009B2FF2"/>
    <w:rsid w:val="009B380C"/>
    <w:rsid w:val="009B4843"/>
    <w:rsid w:val="009B5AE6"/>
    <w:rsid w:val="009B6543"/>
    <w:rsid w:val="009C199D"/>
    <w:rsid w:val="009C278F"/>
    <w:rsid w:val="009C2B94"/>
    <w:rsid w:val="009C5874"/>
    <w:rsid w:val="009D3B5A"/>
    <w:rsid w:val="009D5FCE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733"/>
    <w:rsid w:val="00A27E2D"/>
    <w:rsid w:val="00A31D99"/>
    <w:rsid w:val="00A357BA"/>
    <w:rsid w:val="00A35ADC"/>
    <w:rsid w:val="00A402A3"/>
    <w:rsid w:val="00A46B78"/>
    <w:rsid w:val="00A47985"/>
    <w:rsid w:val="00A53681"/>
    <w:rsid w:val="00A53CC3"/>
    <w:rsid w:val="00A633D4"/>
    <w:rsid w:val="00A6461A"/>
    <w:rsid w:val="00A752DF"/>
    <w:rsid w:val="00A76142"/>
    <w:rsid w:val="00A84504"/>
    <w:rsid w:val="00A8672F"/>
    <w:rsid w:val="00A93057"/>
    <w:rsid w:val="00A968B0"/>
    <w:rsid w:val="00A9783F"/>
    <w:rsid w:val="00AB2672"/>
    <w:rsid w:val="00AB2817"/>
    <w:rsid w:val="00AB43C4"/>
    <w:rsid w:val="00AB4C8D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2B13"/>
    <w:rsid w:val="00B33EA9"/>
    <w:rsid w:val="00B40C60"/>
    <w:rsid w:val="00B41635"/>
    <w:rsid w:val="00B479A9"/>
    <w:rsid w:val="00B52EDF"/>
    <w:rsid w:val="00B70DED"/>
    <w:rsid w:val="00B71188"/>
    <w:rsid w:val="00B76A41"/>
    <w:rsid w:val="00B87D4C"/>
    <w:rsid w:val="00B93646"/>
    <w:rsid w:val="00BA0B38"/>
    <w:rsid w:val="00BA1DBB"/>
    <w:rsid w:val="00BA4510"/>
    <w:rsid w:val="00BA529A"/>
    <w:rsid w:val="00BB19BC"/>
    <w:rsid w:val="00BB2D14"/>
    <w:rsid w:val="00BB612A"/>
    <w:rsid w:val="00BD17E1"/>
    <w:rsid w:val="00BD3919"/>
    <w:rsid w:val="00BD499F"/>
    <w:rsid w:val="00BD56DE"/>
    <w:rsid w:val="00BE6C78"/>
    <w:rsid w:val="00BF1076"/>
    <w:rsid w:val="00BF2406"/>
    <w:rsid w:val="00BF52F9"/>
    <w:rsid w:val="00C06E43"/>
    <w:rsid w:val="00C16315"/>
    <w:rsid w:val="00C216BC"/>
    <w:rsid w:val="00C24079"/>
    <w:rsid w:val="00C3091E"/>
    <w:rsid w:val="00C340F5"/>
    <w:rsid w:val="00C40FF1"/>
    <w:rsid w:val="00C419E2"/>
    <w:rsid w:val="00C47C27"/>
    <w:rsid w:val="00C5020E"/>
    <w:rsid w:val="00C51021"/>
    <w:rsid w:val="00C57452"/>
    <w:rsid w:val="00C61EDF"/>
    <w:rsid w:val="00C6239D"/>
    <w:rsid w:val="00C64974"/>
    <w:rsid w:val="00C6594B"/>
    <w:rsid w:val="00C67FFB"/>
    <w:rsid w:val="00C7155E"/>
    <w:rsid w:val="00C71D1E"/>
    <w:rsid w:val="00C71D7D"/>
    <w:rsid w:val="00C74833"/>
    <w:rsid w:val="00C83C9B"/>
    <w:rsid w:val="00C850A0"/>
    <w:rsid w:val="00C85A86"/>
    <w:rsid w:val="00C95D85"/>
    <w:rsid w:val="00C978F0"/>
    <w:rsid w:val="00CA1B3A"/>
    <w:rsid w:val="00CA58FE"/>
    <w:rsid w:val="00CA7A99"/>
    <w:rsid w:val="00CB1CB1"/>
    <w:rsid w:val="00CB3AFE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514E"/>
    <w:rsid w:val="00D31357"/>
    <w:rsid w:val="00D33220"/>
    <w:rsid w:val="00D334D1"/>
    <w:rsid w:val="00D44C89"/>
    <w:rsid w:val="00D516CD"/>
    <w:rsid w:val="00D5409C"/>
    <w:rsid w:val="00D64BEC"/>
    <w:rsid w:val="00D668E6"/>
    <w:rsid w:val="00D70670"/>
    <w:rsid w:val="00D74D80"/>
    <w:rsid w:val="00D75493"/>
    <w:rsid w:val="00D76624"/>
    <w:rsid w:val="00D809F3"/>
    <w:rsid w:val="00D87570"/>
    <w:rsid w:val="00D91CB9"/>
    <w:rsid w:val="00D97989"/>
    <w:rsid w:val="00D97D8D"/>
    <w:rsid w:val="00DA352E"/>
    <w:rsid w:val="00DB0EE1"/>
    <w:rsid w:val="00DC1BA8"/>
    <w:rsid w:val="00DC33A5"/>
    <w:rsid w:val="00DC57B5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1C43"/>
    <w:rsid w:val="00E2266E"/>
    <w:rsid w:val="00E26A07"/>
    <w:rsid w:val="00E32595"/>
    <w:rsid w:val="00E3525B"/>
    <w:rsid w:val="00E37CFD"/>
    <w:rsid w:val="00E410C3"/>
    <w:rsid w:val="00E41A26"/>
    <w:rsid w:val="00E46BCB"/>
    <w:rsid w:val="00E51CAF"/>
    <w:rsid w:val="00E60F04"/>
    <w:rsid w:val="00E62AAC"/>
    <w:rsid w:val="00E65E6A"/>
    <w:rsid w:val="00E66E72"/>
    <w:rsid w:val="00E67C2F"/>
    <w:rsid w:val="00E67EF5"/>
    <w:rsid w:val="00E73E2E"/>
    <w:rsid w:val="00E7656F"/>
    <w:rsid w:val="00E804EA"/>
    <w:rsid w:val="00E80A71"/>
    <w:rsid w:val="00E81D96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D7F66"/>
    <w:rsid w:val="00EE0081"/>
    <w:rsid w:val="00EF1692"/>
    <w:rsid w:val="00EF233A"/>
    <w:rsid w:val="00EF303E"/>
    <w:rsid w:val="00EF3A40"/>
    <w:rsid w:val="00EF6606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74BC"/>
    <w:rsid w:val="00F40A63"/>
    <w:rsid w:val="00F4119C"/>
    <w:rsid w:val="00F43AD5"/>
    <w:rsid w:val="00F4402E"/>
    <w:rsid w:val="00F56DD0"/>
    <w:rsid w:val="00F62796"/>
    <w:rsid w:val="00F6491C"/>
    <w:rsid w:val="00F67BBB"/>
    <w:rsid w:val="00F713DF"/>
    <w:rsid w:val="00F72BD8"/>
    <w:rsid w:val="00F87D92"/>
    <w:rsid w:val="00F90AA7"/>
    <w:rsid w:val="00F92498"/>
    <w:rsid w:val="00F9496B"/>
    <w:rsid w:val="00F970C9"/>
    <w:rsid w:val="00FA06A8"/>
    <w:rsid w:val="00FA3DF5"/>
    <w:rsid w:val="00FA741F"/>
    <w:rsid w:val="00FB3A2F"/>
    <w:rsid w:val="00FB4E07"/>
    <w:rsid w:val="00FB58FC"/>
    <w:rsid w:val="00FB755A"/>
    <w:rsid w:val="00FB7CCB"/>
    <w:rsid w:val="00FC60A2"/>
    <w:rsid w:val="00FD1871"/>
    <w:rsid w:val="00FD3110"/>
    <w:rsid w:val="00FF4744"/>
    <w:rsid w:val="00FF5C3D"/>
    <w:rsid w:val="00FF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5DE77D5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10B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0B5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0B5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0B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0B5A"/>
    <w:rPr>
      <w:b/>
      <w:bCs/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F713D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51505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52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B981F6F3D8243C8A37BB902F7B3BA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FC6EA-FF33-4E8C-B9FA-378856BA1AF6}"/>
      </w:docPartPr>
      <w:docPartBody>
        <w:p w:rsidR="007D2506" w:rsidRDefault="004F51CF" w:rsidP="004F51CF">
          <w:pPr>
            <w:pStyle w:val="7B981F6F3D8243C8A37BB902F7B3BAF9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F5C83191ADC540A5B869205747CD9B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77DF4-9470-4B7C-A4AB-23D14EC74234}"/>
      </w:docPartPr>
      <w:docPartBody>
        <w:p w:rsidR="007D2506" w:rsidRDefault="004F51CF" w:rsidP="004F51CF">
          <w:pPr>
            <w:pStyle w:val="F5C83191ADC540A5B869205747CD9BF2"/>
          </w:pPr>
          <w:r w:rsidRPr="00262278">
            <w:rPr>
              <w:color w:val="00B050"/>
            </w:rPr>
            <w:t>1994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B277A"/>
    <w:rsid w:val="0034335B"/>
    <w:rsid w:val="004F51CF"/>
    <w:rsid w:val="005F2461"/>
    <w:rsid w:val="00726E73"/>
    <w:rsid w:val="007D2506"/>
    <w:rsid w:val="00966E1C"/>
    <w:rsid w:val="00BE6C78"/>
    <w:rsid w:val="00D21A9F"/>
    <w:rsid w:val="00D92799"/>
    <w:rsid w:val="00F51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335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B981F6F3D8243C8A37BB902F7B3BAF9">
    <w:name w:val="7B981F6F3D8243C8A37BB902F7B3BAF9"/>
    <w:rsid w:val="004F51CF"/>
    <w:rPr>
      <w:lang w:val="en-US" w:eastAsia="en-US"/>
    </w:rPr>
  </w:style>
  <w:style w:type="paragraph" w:customStyle="1" w:styleId="F5C83191ADC540A5B869205747CD9BF2">
    <w:name w:val="F5C83191ADC540A5B869205747CD9BF2"/>
    <w:rsid w:val="004F51CF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0DF08B-4D9B-4C0B-9653-4C91793A74B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1c567317-0c4d-4a62-8516-c22afd1b5354"/>
    <ds:schemaRef ds:uri="a0509f21-ed56-4150-9955-96be669e5f2d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</ds:schemaRefs>
</ds:datastoreItem>
</file>

<file path=customXml/itemProps4.xml><?xml version="1.0" encoding="utf-8"?>
<ds:datastoreItem xmlns:ds="http://schemas.openxmlformats.org/officeDocument/2006/customXml" ds:itemID="{CF847A76-C8F8-4143-9F6F-22F88907F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2091</TotalTime>
  <Pages>6</Pages>
  <Words>1296</Words>
  <Characters>7390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32</cp:revision>
  <cp:lastPrinted>2018-10-22T22:41:00Z</cp:lastPrinted>
  <dcterms:created xsi:type="dcterms:W3CDTF">2019-08-15T03:18:00Z</dcterms:created>
  <dcterms:modified xsi:type="dcterms:W3CDTF">2026-01-09T00:54:00Z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2025-12-18T06:05:03Z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c1aab1d4-e46c-4e00-9171-14748b171d6f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