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A5D9062" w14:textId="77777777" w:rsidR="00BD499F" w:rsidRPr="004C23F4" w:rsidRDefault="00DB2A4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3449C9">
            <w:rPr>
              <w:rFonts w:ascii="Arial" w:hAnsi="Arial" w:cs="Arial"/>
            </w:rPr>
            <w:t>hloroacetyl 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3AE71FB9" w14:textId="77777777" w:rsidTr="00B76A41">
        <w:trPr>
          <w:cantSplit/>
          <w:tblHeader/>
        </w:trPr>
        <w:tc>
          <w:tcPr>
            <w:tcW w:w="4077" w:type="dxa"/>
          </w:tcPr>
          <w:p w14:paraId="5278F62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5878432" w14:textId="77777777" w:rsidR="00F43AD5" w:rsidRPr="00717D45" w:rsidRDefault="001F2755" w:rsidP="00B76A41">
            <w:pPr>
              <w:pStyle w:val="Tablefont"/>
            </w:pPr>
            <w:r>
              <w:t>79-04-9</w:t>
            </w:r>
          </w:p>
        </w:tc>
      </w:tr>
      <w:tr w:rsidR="00F43AD5" w:rsidRPr="004C23F4" w14:paraId="43B857C9" w14:textId="77777777" w:rsidTr="00B76A41">
        <w:trPr>
          <w:cantSplit/>
        </w:trPr>
        <w:tc>
          <w:tcPr>
            <w:tcW w:w="4077" w:type="dxa"/>
          </w:tcPr>
          <w:p w14:paraId="4FB8C07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DBC8146" w14:textId="77777777" w:rsidR="00F43AD5" w:rsidRPr="00717D45" w:rsidRDefault="008531D5" w:rsidP="00B76A41">
            <w:pPr>
              <w:pStyle w:val="Tablefont"/>
            </w:pPr>
            <w:r>
              <w:t xml:space="preserve">Chloroacetic acid chloride, chloroacetic chloride, </w:t>
            </w:r>
            <w:proofErr w:type="spellStart"/>
            <w:r>
              <w:t>monochloroacetyl</w:t>
            </w:r>
            <w:proofErr w:type="spellEnd"/>
            <w:r>
              <w:t xml:space="preserve"> chloride</w:t>
            </w:r>
          </w:p>
        </w:tc>
      </w:tr>
      <w:tr w:rsidR="00F43AD5" w:rsidRPr="004C23F4" w14:paraId="6C0E12F3" w14:textId="77777777" w:rsidTr="00B76A41">
        <w:trPr>
          <w:cantSplit/>
        </w:trPr>
        <w:tc>
          <w:tcPr>
            <w:tcW w:w="4077" w:type="dxa"/>
          </w:tcPr>
          <w:p w14:paraId="120C8F8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6EA7819" w14:textId="77777777" w:rsidR="00F43AD5" w:rsidRPr="00717D45" w:rsidRDefault="004D5834" w:rsidP="00B76A41">
            <w:pPr>
              <w:pStyle w:val="Tablefont"/>
            </w:pPr>
            <w:r>
              <w:t>C</w:t>
            </w:r>
            <w:r w:rsidRPr="004D5834">
              <w:rPr>
                <w:vertAlign w:val="subscript"/>
              </w:rPr>
              <w:t>2</w:t>
            </w:r>
            <w:r>
              <w:t>H</w:t>
            </w:r>
            <w:r w:rsidRPr="004D5834">
              <w:rPr>
                <w:vertAlign w:val="subscript"/>
              </w:rPr>
              <w:t>2</w:t>
            </w:r>
            <w:r>
              <w:t>Cl</w:t>
            </w:r>
            <w:r w:rsidRPr="004D5834">
              <w:rPr>
                <w:vertAlign w:val="subscript"/>
              </w:rPr>
              <w:t>2</w:t>
            </w:r>
            <w:r>
              <w:t>O</w:t>
            </w:r>
          </w:p>
        </w:tc>
      </w:tr>
      <w:tr w:rsidR="00F43AD5" w:rsidRPr="004C23F4" w14:paraId="43F8FEEB" w14:textId="77777777" w:rsidTr="00B76A41">
        <w:trPr>
          <w:cantSplit/>
        </w:trPr>
        <w:tc>
          <w:tcPr>
            <w:tcW w:w="4077" w:type="dxa"/>
          </w:tcPr>
          <w:p w14:paraId="72F9D32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525BE0D" w14:textId="77777777" w:rsidR="00F43AD5" w:rsidRPr="00B40C60" w:rsidRDefault="00C6434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4258638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65EC3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C6E80E9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3EDEF1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69F9BA57" w14:textId="77777777" w:rsidR="002C7AFE" w:rsidRPr="009F0D6C" w:rsidRDefault="009F0D6C" w:rsidP="00017C82">
            <w:pPr>
              <w:pStyle w:val="Tablefont"/>
              <w:rPr>
                <w:b/>
              </w:rPr>
            </w:pPr>
            <w:r w:rsidRPr="009F0D6C">
              <w:rPr>
                <w:b/>
              </w:rPr>
              <w:t>0.05 ppm (0.23 mg/m</w:t>
            </w:r>
            <w:r w:rsidRPr="009F0D6C">
              <w:rPr>
                <w:b/>
                <w:vertAlign w:val="superscript"/>
              </w:rPr>
              <w:t>3</w:t>
            </w:r>
            <w:r w:rsidRPr="009F0D6C">
              <w:rPr>
                <w:b/>
              </w:rPr>
              <w:t>)</w:t>
            </w:r>
          </w:p>
        </w:tc>
      </w:tr>
      <w:tr w:rsidR="002C7AFE" w:rsidRPr="004C23F4" w14:paraId="1DA885DA" w14:textId="77777777" w:rsidTr="00921DE7">
        <w:trPr>
          <w:cantSplit/>
        </w:trPr>
        <w:tc>
          <w:tcPr>
            <w:tcW w:w="4077" w:type="dxa"/>
            <w:vAlign w:val="center"/>
          </w:tcPr>
          <w:p w14:paraId="2654344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76736A8" w14:textId="77777777" w:rsidR="002C7AFE" w:rsidRPr="00EB3D1B" w:rsidRDefault="009F0D6C" w:rsidP="00017C82">
            <w:pPr>
              <w:pStyle w:val="Tablefont"/>
              <w:rPr>
                <w:b/>
              </w:rPr>
            </w:pPr>
            <w:r w:rsidRPr="009F0D6C">
              <w:rPr>
                <w:b/>
              </w:rPr>
              <w:t>0.15 ppm (0.69 mg/m</w:t>
            </w:r>
            <w:r w:rsidRPr="009F0D6C">
              <w:rPr>
                <w:b/>
                <w:vertAlign w:val="superscript"/>
              </w:rPr>
              <w:t>3</w:t>
            </w:r>
            <w:r w:rsidRPr="009F0D6C">
              <w:rPr>
                <w:b/>
              </w:rPr>
              <w:t>)</w:t>
            </w:r>
          </w:p>
        </w:tc>
      </w:tr>
      <w:tr w:rsidR="002C7AFE" w:rsidRPr="004C23F4" w14:paraId="2DA9F803" w14:textId="77777777" w:rsidTr="00921DE7">
        <w:trPr>
          <w:cantSplit/>
        </w:trPr>
        <w:tc>
          <w:tcPr>
            <w:tcW w:w="4077" w:type="dxa"/>
            <w:vAlign w:val="center"/>
          </w:tcPr>
          <w:p w14:paraId="6523C63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878643B" w14:textId="77777777" w:rsidR="002C7AFE" w:rsidRPr="00EB3D1B" w:rsidRDefault="00C6434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78C9213" w14:textId="77777777" w:rsidTr="00A2073D">
        <w:trPr>
          <w:cantSplit/>
        </w:trPr>
        <w:tc>
          <w:tcPr>
            <w:tcW w:w="4077" w:type="dxa"/>
          </w:tcPr>
          <w:p w14:paraId="6C9C56F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44C22830" w14:textId="77777777" w:rsidR="002C7AFE" w:rsidRPr="00EB3D1B" w:rsidRDefault="00B6599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1BB90BE" w14:textId="77777777" w:rsidTr="00921DE7">
        <w:trPr>
          <w:cantSplit/>
        </w:trPr>
        <w:tc>
          <w:tcPr>
            <w:tcW w:w="4077" w:type="dxa"/>
            <w:vAlign w:val="center"/>
          </w:tcPr>
          <w:p w14:paraId="16CCDE89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C81FC5E" w14:textId="77777777" w:rsidR="002C7AFE" w:rsidRPr="00EB3D1B" w:rsidRDefault="00C5356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1.3 ppm (66 mg/m</w:t>
            </w:r>
            <w:r w:rsidRPr="00C53567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9F04D2" w:rsidRPr="004C23F4" w14:paraId="66CE17B5" w14:textId="77777777" w:rsidTr="00DE48FF">
        <w:trPr>
          <w:cantSplit/>
        </w:trPr>
        <w:tc>
          <w:tcPr>
            <w:tcW w:w="4077" w:type="dxa"/>
          </w:tcPr>
          <w:p w14:paraId="03ACA6C3" w14:textId="77777777" w:rsidR="009F04D2" w:rsidRDefault="009F04D2" w:rsidP="00DE48FF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1186433C" w14:textId="77777777" w:rsidR="009F04D2" w:rsidRPr="00DE48FF" w:rsidRDefault="0006709B" w:rsidP="00017C82">
            <w:pPr>
              <w:pStyle w:val="Tablefont"/>
            </w:pPr>
            <w:r w:rsidRPr="0006709B">
              <w:t>The recommended value is quantifiable through available sampling and analysis techniques.</w:t>
            </w:r>
          </w:p>
        </w:tc>
      </w:tr>
    </w:tbl>
    <w:p w14:paraId="0B705C7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097EF4F" w14:textId="77777777" w:rsidR="00DE48FF" w:rsidRDefault="009F0D6C" w:rsidP="000C139A">
      <w:r>
        <w:rPr>
          <w:rFonts w:cs="Arial"/>
        </w:rPr>
        <w:t>A TWA of 0.05 ppm (0.23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="00DE48FF">
        <w:rPr>
          <w:rFonts w:cs="Arial"/>
        </w:rPr>
        <w:t xml:space="preserve">is recommended to </w:t>
      </w:r>
      <w:r w:rsidR="00DE48FF">
        <w:t xml:space="preserve">protect for eye and respiratory tract irritation in exposed workers. </w:t>
      </w:r>
    </w:p>
    <w:p w14:paraId="0FC49EBE" w14:textId="77777777" w:rsidR="006639B4" w:rsidRPr="009F0D6C" w:rsidRDefault="00DE48FF" w:rsidP="000C139A">
      <w:pPr>
        <w:rPr>
          <w:rFonts w:cs="Arial"/>
        </w:rPr>
      </w:pPr>
      <w:r>
        <w:t xml:space="preserve">A </w:t>
      </w:r>
      <w:r w:rsidR="009F0D6C">
        <w:rPr>
          <w:rFonts w:cs="Arial"/>
        </w:rPr>
        <w:t xml:space="preserve">STEL </w:t>
      </w:r>
      <w:r w:rsidR="00CD0554">
        <w:rPr>
          <w:rFonts w:cs="Arial"/>
        </w:rPr>
        <w:t>0.15 ppm (0.69</w:t>
      </w:r>
      <w:r w:rsidR="00CD0554" w:rsidRPr="00CD0554">
        <w:rPr>
          <w:rFonts w:cs="Arial"/>
        </w:rPr>
        <w:t xml:space="preserve"> mg/m</w:t>
      </w:r>
      <w:r w:rsidR="00CD0554" w:rsidRPr="00CD0554">
        <w:rPr>
          <w:rFonts w:cs="Arial"/>
          <w:vertAlign w:val="superscript"/>
        </w:rPr>
        <w:t>3</w:t>
      </w:r>
      <w:r w:rsidR="00CD0554" w:rsidRPr="00CD0554">
        <w:rPr>
          <w:rFonts w:cs="Arial"/>
        </w:rPr>
        <w:t>)</w:t>
      </w:r>
      <w:r w:rsidR="00CD0554">
        <w:rPr>
          <w:rFonts w:cs="Arial"/>
        </w:rPr>
        <w:t xml:space="preserve"> </w:t>
      </w:r>
      <w:r>
        <w:t xml:space="preserve">is </w:t>
      </w:r>
      <w:r w:rsidR="001C3093">
        <w:t xml:space="preserve">recommended </w:t>
      </w:r>
      <w:r w:rsidR="00CD0554">
        <w:t xml:space="preserve">to </w:t>
      </w:r>
      <w:r>
        <w:t xml:space="preserve">protect for </w:t>
      </w:r>
      <w:r w:rsidR="003E28F3">
        <w:t>corrosive effects of the eyes and skin</w:t>
      </w:r>
    </w:p>
    <w:p w14:paraId="050A880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0109C48" w14:textId="77777777" w:rsidR="003E28F3" w:rsidRDefault="00CD0554" w:rsidP="007F185D">
      <w:proofErr w:type="spellStart"/>
      <w:r>
        <w:t>Chloroacetyl</w:t>
      </w:r>
      <w:proofErr w:type="spellEnd"/>
      <w:r>
        <w:t xml:space="preserve"> chloride (CAC) is primarily used as an intermediate in the manufacture of chloroacetophenone and other chemicals</w:t>
      </w:r>
      <w:r w:rsidR="00CD7B90">
        <w:t xml:space="preserve">. </w:t>
      </w:r>
    </w:p>
    <w:p w14:paraId="18482AAF" w14:textId="6BA44EE5" w:rsidR="003E28F3" w:rsidRDefault="00CD0554" w:rsidP="007F185D">
      <w:r>
        <w:t>It is extremely irritating to the eye</w:t>
      </w:r>
      <w:r w:rsidR="00CD7B90">
        <w:t>s and respiratory tract</w:t>
      </w:r>
      <w:r w:rsidR="003E28F3">
        <w:t xml:space="preserve"> and at higher concentrations can cause corrosion of the skin and eyes</w:t>
      </w:r>
      <w:r w:rsidR="00CD7B90">
        <w:t xml:space="preserve">. </w:t>
      </w:r>
      <w:r w:rsidR="00BD193C">
        <w:t>One report note</w:t>
      </w:r>
      <w:r w:rsidR="00DE48FF">
        <w:t>s</w:t>
      </w:r>
      <w:r w:rsidR="00CD7B90">
        <w:t xml:space="preserve"> no eye irritation in an individual at a concentration of 0.14 ppm</w:t>
      </w:r>
      <w:r w:rsidR="00DE48FF">
        <w:t xml:space="preserve">, but painful irritation and lacrimation at 1 ppm. </w:t>
      </w:r>
      <w:r w:rsidR="00C37050">
        <w:t>A sub-chronic inhalation study of rats, mice and hamsters showed r</w:t>
      </w:r>
      <w:r w:rsidR="00B31E29">
        <w:t>espiratory and eye irritation in all animals at</w:t>
      </w:r>
      <w:r w:rsidR="00CD7B90">
        <w:t xml:space="preserve"> 0.5</w:t>
      </w:r>
      <w:r w:rsidR="00BA7FD3">
        <w:t> </w:t>
      </w:r>
      <w:r w:rsidR="00CD7B90">
        <w:t>ppm,</w:t>
      </w:r>
      <w:r w:rsidR="00C37050">
        <w:t xml:space="preserve"> the lowest concentration tested</w:t>
      </w:r>
      <w:r w:rsidR="003E28F3">
        <w:t>, with respiratory tract lesions reported at 2.5 ppm (ACGIH, 20</w:t>
      </w:r>
      <w:r w:rsidR="00A02A6D">
        <w:t>18</w:t>
      </w:r>
      <w:r w:rsidR="003E28F3">
        <w:t>)</w:t>
      </w:r>
      <w:r w:rsidR="00B31E29">
        <w:t>.</w:t>
      </w:r>
      <w:r w:rsidR="00DB2A49">
        <w:t xml:space="preserve"> </w:t>
      </w:r>
    </w:p>
    <w:p w14:paraId="239A3BB7" w14:textId="687350BA" w:rsidR="00CD0554" w:rsidRDefault="00E04D8B" w:rsidP="007F185D">
      <w:r>
        <w:t xml:space="preserve">Noting irritation and corrosive effects reported in animals, </w:t>
      </w:r>
      <w:r w:rsidR="00695B9A">
        <w:t xml:space="preserve">the current </w:t>
      </w:r>
      <w:r w:rsidR="00C37050">
        <w:t xml:space="preserve">TWA of 0.05 ppm and </w:t>
      </w:r>
      <w:r w:rsidR="007F185D">
        <w:t>STEL</w:t>
      </w:r>
      <w:r w:rsidR="00C37050">
        <w:t xml:space="preserve"> of 0.15 ppm are considered to provide an adequate safety margin </w:t>
      </w:r>
      <w:r>
        <w:t>to protect exposed workers</w:t>
      </w:r>
      <w:r w:rsidR="00C37050">
        <w:t>.</w:t>
      </w:r>
      <w:r w:rsidR="007F185D">
        <w:t xml:space="preserve"> </w:t>
      </w:r>
    </w:p>
    <w:p w14:paraId="6EF1AF3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8DADF04" w14:textId="77777777" w:rsidR="009E08D1" w:rsidRPr="009F0D6C" w:rsidRDefault="009E08D1" w:rsidP="009E08D1">
      <w:pPr>
        <w:rPr>
          <w:rFonts w:cs="Arial"/>
        </w:rPr>
      </w:pPr>
      <w:r w:rsidRPr="009F0D6C">
        <w:rPr>
          <w:rFonts w:cs="Arial"/>
        </w:rPr>
        <w:t>Not classified as a carcinogen according to the Globally Harmonized System of Classification and Labelling o</w:t>
      </w:r>
      <w:r w:rsidR="00AE7010">
        <w:rPr>
          <w:rFonts w:cs="Arial"/>
        </w:rPr>
        <w:t>f</w:t>
      </w:r>
      <w:r w:rsidRPr="009F0D6C">
        <w:rPr>
          <w:rFonts w:cs="Arial"/>
        </w:rPr>
        <w:t xml:space="preserve"> Chemicals (GHS). </w:t>
      </w:r>
    </w:p>
    <w:p w14:paraId="0FAA6BCE" w14:textId="77777777" w:rsidR="009E08D1" w:rsidRPr="009F0D6C" w:rsidRDefault="009E08D1" w:rsidP="009E08D1">
      <w:pPr>
        <w:rPr>
          <w:rFonts w:cs="Arial"/>
        </w:rPr>
      </w:pPr>
      <w:r w:rsidRPr="009F0D6C">
        <w:rPr>
          <w:rFonts w:cs="Arial"/>
        </w:rPr>
        <w:t>Not classified as a skin</w:t>
      </w:r>
      <w:r w:rsidR="001C3093">
        <w:rPr>
          <w:rFonts w:cs="Arial"/>
        </w:rPr>
        <w:t xml:space="preserve"> sensitiser</w:t>
      </w:r>
      <w:r w:rsidRPr="009F0D6C">
        <w:rPr>
          <w:rFonts w:cs="Arial"/>
        </w:rPr>
        <w:t xml:space="preserve"> or respiratory sensitiser according to the GHS.</w:t>
      </w:r>
    </w:p>
    <w:p w14:paraId="17F67F07" w14:textId="77777777" w:rsidR="0025734A" w:rsidRPr="004C23F4" w:rsidRDefault="009F0D6C" w:rsidP="009E08D1">
      <w:pPr>
        <w:rPr>
          <w:rFonts w:cs="Arial"/>
        </w:rPr>
      </w:pPr>
      <w:r w:rsidRPr="009F0D6C">
        <w:rPr>
          <w:rFonts w:cs="Arial"/>
        </w:rPr>
        <w:t>A skin notation is recommended based on systemic effects following skin contact exposure in humans.</w:t>
      </w:r>
    </w:p>
    <w:p w14:paraId="6673E41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70146A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701474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D336FF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717F58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E53C5E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95A7553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84D4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84D49">
                  <w:t>TWA: 0.05 ppm (0.23 mg/m</w:t>
                </w:r>
                <w:r w:rsidR="00E84D49" w:rsidRPr="00CA7733">
                  <w:rPr>
                    <w:vertAlign w:val="superscript"/>
                  </w:rPr>
                  <w:t>3</w:t>
                </w:r>
                <w:r w:rsidR="00E84D49">
                  <w:t>); STEL: 0.15 ppm</w:t>
                </w:r>
                <w:r w:rsidR="00CA7733">
                  <w:t xml:space="preserve"> (0.69 mg/m</w:t>
                </w:r>
                <w:r w:rsidR="00CA7733" w:rsidRPr="00CA7733">
                  <w:rPr>
                    <w:vertAlign w:val="superscript"/>
                  </w:rPr>
                  <w:t>3</w:t>
                </w:r>
                <w:r w:rsidR="00CA7733">
                  <w:t>)</w:t>
                </w:r>
              </w:sdtContent>
            </w:sdt>
          </w:p>
        </w:tc>
      </w:tr>
      <w:tr w:rsidR="00C978F0" w:rsidRPr="00DA352E" w14:paraId="014A53E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DBCCB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1FFB8A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811497" w14:textId="77777777" w:rsidR="00C978F0" w:rsidRPr="00DA352E" w:rsidRDefault="00DA352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47" w:hanging="284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35E3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35E3E">
                  <w:t>TLV-TWA:</w:t>
                </w:r>
                <w:r w:rsidR="00375A79">
                  <w:t xml:space="preserve"> </w:t>
                </w:r>
                <w:r w:rsidR="00935E3E">
                  <w:t>0.05 ppm (0.23 mg/m</w:t>
                </w:r>
                <w:r w:rsidR="00935E3E" w:rsidRPr="00CA7733">
                  <w:rPr>
                    <w:vertAlign w:val="superscript"/>
                  </w:rPr>
                  <w:t>3</w:t>
                </w:r>
                <w:r w:rsidR="003E28F3">
                  <w:t>)</w:t>
                </w:r>
                <w:r w:rsidR="003E28F3">
                  <w:br/>
                </w:r>
                <w:r w:rsidR="00375A79">
                  <w:t>TLV-</w:t>
                </w:r>
                <w:r w:rsidR="00935E3E">
                  <w:t>STEL: 0.15 ppm (0.69</w:t>
                </w:r>
                <w:r w:rsidR="00DE3AF0">
                  <w:t> </w:t>
                </w:r>
                <w:r w:rsidR="00935E3E">
                  <w:t>mg/m</w:t>
                </w:r>
                <w:r w:rsidR="00935E3E" w:rsidRPr="00CA7733">
                  <w:rPr>
                    <w:vertAlign w:val="superscript"/>
                  </w:rPr>
                  <w:t>3</w:t>
                </w:r>
                <w:r w:rsidR="00935E3E">
                  <w:t xml:space="preserve">) </w:t>
                </w:r>
              </w:sdtContent>
            </w:sdt>
          </w:p>
        </w:tc>
      </w:tr>
      <w:tr w:rsidR="00C978F0" w:rsidRPr="00DA352E" w14:paraId="22CED3E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A5ABA51" w14:textId="5698504B" w:rsidR="00C978F0" w:rsidRDefault="003E28F3" w:rsidP="002375C6">
            <w:pPr>
              <w:pStyle w:val="Tabletextprimarysource"/>
            </w:pPr>
            <w:r>
              <w:t>TLV-TWA and TLV-STEL</w:t>
            </w:r>
            <w:r w:rsidR="00EC6AF7">
              <w:t xml:space="preserve"> recommended to minimise the potential for </w:t>
            </w:r>
            <w:r w:rsidR="00B65EC3">
              <w:t xml:space="preserve">eye </w:t>
            </w:r>
            <w:r>
              <w:t>irritation,</w:t>
            </w:r>
            <w:r w:rsidR="00B65EC3">
              <w:t xml:space="preserve"> </w:t>
            </w:r>
            <w:r w:rsidR="00EC6AF7">
              <w:t>lacrimation</w:t>
            </w:r>
            <w:r>
              <w:t>,</w:t>
            </w:r>
            <w:r w:rsidR="00EC6AF7">
              <w:t xml:space="preserve"> skin erythema and burns</w:t>
            </w:r>
            <w:r>
              <w:t>,</w:t>
            </w:r>
            <w:r w:rsidR="00EC6AF7">
              <w:t xml:space="preserve"> respiratory effects including </w:t>
            </w:r>
            <w:r w:rsidR="00695B9A">
              <w:t>dyspnoea</w:t>
            </w:r>
            <w:r w:rsidR="00EC6AF7">
              <w:t>, cyanosis</w:t>
            </w:r>
            <w:r w:rsidR="00C81BA8">
              <w:t xml:space="preserve">, </w:t>
            </w:r>
            <w:r w:rsidR="00EC6AF7">
              <w:t>cough</w:t>
            </w:r>
            <w:r w:rsidR="00C81BA8">
              <w:t>,</w:t>
            </w:r>
            <w:r w:rsidR="00EC6AF7">
              <w:t xml:space="preserve"> and </w:t>
            </w:r>
            <w:r>
              <w:t>GIT</w:t>
            </w:r>
            <w:r w:rsidR="00EC6AF7">
              <w:t xml:space="preserve"> effects.</w:t>
            </w:r>
          </w:p>
          <w:p w14:paraId="55AA6BAC" w14:textId="77777777" w:rsidR="00EC6AF7" w:rsidRDefault="00EC6AF7" w:rsidP="005969E6">
            <w:pPr>
              <w:pStyle w:val="Tabletextprimarysource"/>
            </w:pPr>
            <w:r>
              <w:t>Summary of data:</w:t>
            </w:r>
          </w:p>
          <w:p w14:paraId="05F192CF" w14:textId="77777777" w:rsidR="00825411" w:rsidRDefault="00825411">
            <w:pPr>
              <w:pStyle w:val="Tabletextprimarysource"/>
            </w:pPr>
            <w:r>
              <w:t>Human data:</w:t>
            </w:r>
          </w:p>
          <w:p w14:paraId="1F99C334" w14:textId="77777777" w:rsidR="00EC6AF7" w:rsidRDefault="00EC6AF7" w:rsidP="00503562">
            <w:pPr>
              <w:pStyle w:val="ListBullet"/>
              <w:spacing w:before="60" w:after="60"/>
              <w:ind w:left="720"/>
              <w:contextualSpacing w:val="0"/>
            </w:pPr>
            <w:r>
              <w:t>Extremely irritating to the eyes and respiratory tract</w:t>
            </w:r>
            <w:r w:rsidR="003E28F3">
              <w:t xml:space="preserve"> including</w:t>
            </w:r>
            <w:r>
              <w:t xml:space="preserve"> lacrimation</w:t>
            </w:r>
          </w:p>
          <w:p w14:paraId="68E2579D" w14:textId="2C4D2A3C" w:rsidR="00EC6AF7" w:rsidRDefault="00EC6AF7" w:rsidP="00503562">
            <w:pPr>
              <w:pStyle w:val="ListBullet"/>
              <w:spacing w:before="60" w:after="60"/>
              <w:ind w:left="720"/>
              <w:contextualSpacing w:val="0"/>
            </w:pPr>
            <w:r>
              <w:t>Acute exposure reported to produce skin erythema and burns</w:t>
            </w:r>
            <w:r w:rsidR="003E28F3">
              <w:t>,</w:t>
            </w:r>
            <w:r>
              <w:t xml:space="preserve"> eye irritation, lacrimation, and burns</w:t>
            </w:r>
            <w:r w:rsidR="003E28F3">
              <w:t>,</w:t>
            </w:r>
            <w:r>
              <w:t xml:space="preserve"> respiratory effects including </w:t>
            </w:r>
            <w:r w:rsidR="00695B9A">
              <w:t>dyspnoea</w:t>
            </w:r>
            <w:r>
              <w:t>, cyanosis</w:t>
            </w:r>
            <w:r w:rsidR="00C81BA8">
              <w:t xml:space="preserve">, </w:t>
            </w:r>
            <w:r>
              <w:t xml:space="preserve">cough and </w:t>
            </w:r>
            <w:r w:rsidR="003E28F3">
              <w:t xml:space="preserve">GIT </w:t>
            </w:r>
            <w:r>
              <w:t>effects</w:t>
            </w:r>
          </w:p>
          <w:p w14:paraId="4E4804F1" w14:textId="77777777" w:rsidR="00CD22A1" w:rsidRDefault="00CD22A1" w:rsidP="00503562">
            <w:pPr>
              <w:pStyle w:val="ListBullet"/>
              <w:spacing w:before="60" w:after="60"/>
              <w:ind w:left="720"/>
              <w:contextualSpacing w:val="0"/>
            </w:pPr>
            <w:r>
              <w:t>Report from an individual industrial hygienist</w:t>
            </w:r>
            <w:r w:rsidR="00CD7B90">
              <w:t xml:space="preserve"> (no further information)</w:t>
            </w:r>
            <w:r>
              <w:t>:</w:t>
            </w:r>
          </w:p>
          <w:p w14:paraId="3BF26266" w14:textId="77777777" w:rsidR="00CD22A1" w:rsidRDefault="00CD22A1" w:rsidP="00503562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>1 ppm painful eye irritation and lacrimation</w:t>
            </w:r>
          </w:p>
          <w:p w14:paraId="5CB5BC85" w14:textId="77777777" w:rsidR="00CD22A1" w:rsidRDefault="00CD22A1" w:rsidP="00503562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>0.140 ppm no eye irritation</w:t>
            </w:r>
            <w:r w:rsidR="006D0226">
              <w:t>, strong odour</w:t>
            </w:r>
          </w:p>
          <w:p w14:paraId="430E0F83" w14:textId="77777777" w:rsidR="00CD22A1" w:rsidRDefault="00CD22A1" w:rsidP="00503562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>0.011 ppm no odour detected</w:t>
            </w:r>
          </w:p>
          <w:p w14:paraId="0D75DC3A" w14:textId="77777777" w:rsidR="00CD22A1" w:rsidRDefault="00CD22A1" w:rsidP="00503562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>0.023 ppm odour barely detectable</w:t>
            </w:r>
          </w:p>
          <w:p w14:paraId="7D8E430E" w14:textId="77777777" w:rsidR="001C3093" w:rsidRDefault="00825411" w:rsidP="003E28F3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Report of respiratory difficulties and coma soon after large skin exposure to mixture of CAC, xylidine and benzene; another report of </w:t>
            </w:r>
            <w:r w:rsidR="002375C6">
              <w:t xml:space="preserve">2 </w:t>
            </w:r>
            <w:r>
              <w:t xml:space="preserve">fatalities following exposure to CAC, </w:t>
            </w:r>
            <w:r w:rsidR="002375C6">
              <w:t xml:space="preserve">1 </w:t>
            </w:r>
            <w:r>
              <w:t>involving massive skin contact</w:t>
            </w:r>
            <w:r w:rsidR="001C3093">
              <w:t>.</w:t>
            </w:r>
          </w:p>
          <w:p w14:paraId="55AF73CF" w14:textId="77777777" w:rsidR="00825411" w:rsidRDefault="00825411" w:rsidP="002375C6">
            <w:pPr>
              <w:pStyle w:val="Tabletextprimarysource"/>
            </w:pPr>
            <w:r>
              <w:t>Animal data:</w:t>
            </w:r>
          </w:p>
          <w:p w14:paraId="46FAB2A0" w14:textId="77777777" w:rsidR="0079269B" w:rsidRDefault="0079269B" w:rsidP="00503562">
            <w:pPr>
              <w:pStyle w:val="ListBullet"/>
              <w:spacing w:before="60" w:after="60"/>
              <w:ind w:left="720"/>
              <w:contextualSpacing w:val="0"/>
            </w:pPr>
            <w:r>
              <w:t>Sub-</w:t>
            </w:r>
            <w:r w:rsidR="00133D25">
              <w:t>chronic inhalation study in rats, mice and hamsters; 6 h/d, 5 d/</w:t>
            </w:r>
            <w:proofErr w:type="spellStart"/>
            <w:r w:rsidR="00133D25">
              <w:t>wk</w:t>
            </w:r>
            <w:proofErr w:type="spellEnd"/>
            <w:r w:rsidR="00133D25">
              <w:t xml:space="preserve"> for 4 </w:t>
            </w:r>
            <w:proofErr w:type="spellStart"/>
            <w:proofErr w:type="gramStart"/>
            <w:r w:rsidR="00133D25">
              <w:t>w</w:t>
            </w:r>
            <w:r w:rsidR="002375C6">
              <w:t>k</w:t>
            </w:r>
            <w:proofErr w:type="spellEnd"/>
            <w:r>
              <w:t>;</w:t>
            </w:r>
            <w:proofErr w:type="gramEnd"/>
          </w:p>
          <w:p w14:paraId="1AA38995" w14:textId="77777777" w:rsidR="0079269B" w:rsidRDefault="00373A82" w:rsidP="00503562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 xml:space="preserve">slight </w:t>
            </w:r>
            <w:r w:rsidR="0079269B">
              <w:t>irritation effects at 0.5 ppm</w:t>
            </w:r>
            <w:r w:rsidR="003E28F3">
              <w:t xml:space="preserve"> including slight to moderate inflammation, hypertrophy, hyperplasia and occasionally, squamous metaplasia in the respiratory epithelium of the nasal mucosa</w:t>
            </w:r>
          </w:p>
          <w:p w14:paraId="0EE1CA5C" w14:textId="77777777" w:rsidR="00825411" w:rsidRDefault="00373A82" w:rsidP="00503562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 xml:space="preserve">severity </w:t>
            </w:r>
            <w:r w:rsidR="0079269B">
              <w:t>and incidence of irritation</w:t>
            </w:r>
            <w:r>
              <w:t xml:space="preserve"> are</w:t>
            </w:r>
            <w:r w:rsidR="0079269B">
              <w:t xml:space="preserve"> concentration dependant</w:t>
            </w:r>
          </w:p>
          <w:p w14:paraId="071CEBDD" w14:textId="77777777" w:rsidR="0079269B" w:rsidRDefault="00373A82" w:rsidP="009A07D0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 xml:space="preserve">grossly </w:t>
            </w:r>
            <w:r w:rsidR="0079269B">
              <w:t>visible respiratory tract lesions in rats and mice at 2.5 or 5 ppm; most severe in nasal region</w:t>
            </w:r>
          </w:p>
          <w:p w14:paraId="7B9138DA" w14:textId="77777777" w:rsidR="00F20E65" w:rsidRDefault="00373A82" w:rsidP="00503562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>n</w:t>
            </w:r>
            <w:r w:rsidR="00F20E65">
              <w:t>o gross pathologic respiratory effects in hamsters</w:t>
            </w:r>
          </w:p>
          <w:p w14:paraId="0D3EEC8C" w14:textId="77777777" w:rsidR="00F20E65" w:rsidRDefault="00F20E65" w:rsidP="00503562">
            <w:pPr>
              <w:pStyle w:val="ListBullet"/>
              <w:spacing w:before="60" w:after="60"/>
              <w:ind w:left="720"/>
              <w:contextualSpacing w:val="0"/>
            </w:pPr>
            <w:r>
              <w:t>Corrosive to the skin and eyes</w:t>
            </w:r>
          </w:p>
          <w:p w14:paraId="42057952" w14:textId="731050C4" w:rsidR="00F20E65" w:rsidRDefault="00F20E65" w:rsidP="00503562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Acute </w:t>
            </w:r>
            <w:r w:rsidR="00AE0444">
              <w:t xml:space="preserve">minimum </w:t>
            </w:r>
            <w:r>
              <w:t xml:space="preserve">lethal dose by skin in rabbits </w:t>
            </w:r>
            <w:r w:rsidR="00AE0444">
              <w:t xml:space="preserve">reported as </w:t>
            </w:r>
            <w:r>
              <w:t>between 316</w:t>
            </w:r>
            <w:r w:rsidR="001C3093">
              <w:t>–</w:t>
            </w:r>
            <w:r>
              <w:t>501 mg/kg</w:t>
            </w:r>
            <w:r w:rsidR="003F3538">
              <w:t xml:space="preserve"> </w:t>
            </w:r>
          </w:p>
          <w:p w14:paraId="340C644A" w14:textId="44BE989B" w:rsidR="005A2B4A" w:rsidRDefault="005A2B4A" w:rsidP="005A2B4A">
            <w:pPr>
              <w:pStyle w:val="ListBullet"/>
              <w:numPr>
                <w:ilvl w:val="0"/>
                <w:numId w:val="4"/>
              </w:numPr>
              <w:spacing w:before="60" w:after="60"/>
              <w:ind w:left="1080"/>
              <w:contextualSpacing w:val="0"/>
            </w:pPr>
            <w:r>
              <w:t xml:space="preserve">corrosion of dermal barrier likely to facilitate systemic absorption </w:t>
            </w:r>
          </w:p>
          <w:p w14:paraId="6EB8B065" w14:textId="77777777" w:rsidR="00325EAD" w:rsidRDefault="00F20E65" w:rsidP="00503562">
            <w:pPr>
              <w:pStyle w:val="ListBullet"/>
              <w:spacing w:before="60" w:after="60"/>
              <w:ind w:left="720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in rats (1</w:t>
            </w:r>
            <w:r w:rsidR="00695B9A">
              <w:t xml:space="preserve"> </w:t>
            </w:r>
            <w:r>
              <w:t>h) 660 ppm for males, &gt;747 ppm for females</w:t>
            </w:r>
          </w:p>
          <w:p w14:paraId="670C1D0C" w14:textId="1AB9FD67" w:rsidR="00F20E65" w:rsidRDefault="005B1C56" w:rsidP="00503562">
            <w:pPr>
              <w:pStyle w:val="ListBullet"/>
              <w:spacing w:before="60" w:after="60"/>
              <w:ind w:left="720"/>
              <w:contextualSpacing w:val="0"/>
            </w:pPr>
            <w:r>
              <w:t>B</w:t>
            </w:r>
            <w:r w:rsidR="00325EAD">
              <w:t xml:space="preserve">ased on findings from other analytical studies, actual concentrations in acute studies </w:t>
            </w:r>
            <w:r w:rsidR="007B7ADC">
              <w:t>may be</w:t>
            </w:r>
            <w:r w:rsidR="00325EAD">
              <w:t xml:space="preserve"> lower than reported concentration</w:t>
            </w:r>
            <w:r w:rsidR="007B7ADC">
              <w:t>s</w:t>
            </w:r>
            <w:r w:rsidR="00325EAD">
              <w:t>, possibly due to degradation to chloroacetic acid and hydrochloric acid in presence of moisture</w:t>
            </w:r>
            <w:r w:rsidR="002375C6">
              <w:t>.</w:t>
            </w:r>
          </w:p>
          <w:p w14:paraId="56C34287" w14:textId="77777777" w:rsidR="001C3093" w:rsidRDefault="001C3093" w:rsidP="003E28F3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</w:p>
          <w:p w14:paraId="1BDC27D6" w14:textId="77777777" w:rsidR="001C3093" w:rsidRDefault="00F20E65" w:rsidP="002375C6">
            <w:pPr>
              <w:pStyle w:val="Tabletextprimarysource"/>
            </w:pPr>
            <w:r>
              <w:t xml:space="preserve">Negative mutagenicity results in five strains of </w:t>
            </w:r>
            <w:r w:rsidRPr="00F20E65">
              <w:rPr>
                <w:i/>
              </w:rPr>
              <w:t>Salmonella</w:t>
            </w:r>
            <w:r>
              <w:t>, with or without metabolic activation</w:t>
            </w:r>
            <w:r w:rsidR="002375C6">
              <w:t>.</w:t>
            </w:r>
          </w:p>
          <w:p w14:paraId="67F0FAB5" w14:textId="77777777" w:rsidR="001C3093" w:rsidRPr="00DA352E" w:rsidRDefault="001C3093" w:rsidP="002375C6">
            <w:pPr>
              <w:pStyle w:val="Tabletextprimarysource"/>
            </w:pPr>
          </w:p>
        </w:tc>
      </w:tr>
      <w:tr w:rsidR="00C978F0" w:rsidRPr="00DA352E" w14:paraId="0571891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A4698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8201C">
                  <w:t>1983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8201C">
                  <w:t>Not assigned</w:t>
                </w:r>
              </w:sdtContent>
            </w:sdt>
          </w:p>
        </w:tc>
      </w:tr>
      <w:tr w:rsidR="00C978F0" w:rsidRPr="00DA352E" w14:paraId="5B6D7AF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A4BC13" w14:textId="77777777" w:rsidR="00C978F0" w:rsidRDefault="00B65EC3" w:rsidP="003365A5">
            <w:pPr>
              <w:pStyle w:val="Tabletextprimarysource"/>
            </w:pPr>
            <w:r>
              <w:t>A MAK cannot be derived based on the available evidence.</w:t>
            </w:r>
          </w:p>
          <w:p w14:paraId="1DD00FC1" w14:textId="77777777" w:rsidR="00B65EC3" w:rsidRDefault="00B65EC3" w:rsidP="003365A5">
            <w:pPr>
              <w:pStyle w:val="Tabletextprimarysource"/>
            </w:pPr>
            <w:r>
              <w:t>No further information</w:t>
            </w:r>
            <w:r w:rsidR="002375C6">
              <w:t>.</w:t>
            </w:r>
          </w:p>
          <w:p w14:paraId="51F9137D" w14:textId="77777777" w:rsidR="00373A82" w:rsidRPr="00DA352E" w:rsidRDefault="00373A82" w:rsidP="003365A5">
            <w:pPr>
              <w:pStyle w:val="Tabletextprimarysource"/>
            </w:pPr>
          </w:p>
        </w:tc>
      </w:tr>
      <w:tr w:rsidR="00C978F0" w:rsidRPr="00DA352E" w14:paraId="149952F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13972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05F9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E05F9A">
                  <w:t>NA</w:t>
                </w:r>
                <w:proofErr w:type="spellEnd"/>
              </w:sdtContent>
            </w:sdt>
          </w:p>
        </w:tc>
      </w:tr>
      <w:tr w:rsidR="00C978F0" w:rsidRPr="00DA352E" w14:paraId="090631A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115567" w14:textId="77777777" w:rsidR="00C978F0" w:rsidRPr="00DA352E" w:rsidRDefault="00E05F9A" w:rsidP="003365A5">
            <w:pPr>
              <w:pStyle w:val="Tabletextprimarysource"/>
            </w:pPr>
            <w:r>
              <w:t>No report</w:t>
            </w:r>
            <w:r w:rsidR="003E28F3">
              <w:t>.</w:t>
            </w:r>
          </w:p>
        </w:tc>
      </w:tr>
      <w:tr w:rsidR="00DA352E" w:rsidRPr="00DA352E" w14:paraId="6F5767D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AC8AD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05F9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05F9A">
                  <w:t>NA</w:t>
                </w:r>
                <w:proofErr w:type="spellEnd"/>
              </w:sdtContent>
            </w:sdt>
          </w:p>
        </w:tc>
      </w:tr>
      <w:tr w:rsidR="00DA352E" w:rsidRPr="00DA352E" w14:paraId="22D0A63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738A2F8" w14:textId="77777777" w:rsidR="00DA352E" w:rsidRPr="00DA352E" w:rsidRDefault="00E05F9A" w:rsidP="003365A5">
            <w:pPr>
              <w:pStyle w:val="Tabletextprimarysource"/>
            </w:pPr>
            <w:r>
              <w:t>No report</w:t>
            </w:r>
            <w:r w:rsidR="003E28F3">
              <w:t>.</w:t>
            </w:r>
          </w:p>
        </w:tc>
      </w:tr>
      <w:tr w:rsidR="00DA352E" w:rsidRPr="00DA352E" w14:paraId="235981E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844BB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E2EA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7E2EA4">
                  <w:t>NA</w:t>
                </w:r>
                <w:proofErr w:type="spellEnd"/>
              </w:sdtContent>
            </w:sdt>
          </w:p>
        </w:tc>
      </w:tr>
      <w:tr w:rsidR="00DA352E" w:rsidRPr="00DA352E" w14:paraId="7012BD4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D83269" w14:textId="77777777" w:rsidR="00DA352E" w:rsidRPr="00DA352E" w:rsidRDefault="007E2EA4" w:rsidP="003365A5">
            <w:pPr>
              <w:pStyle w:val="Tabletextprimarysource"/>
            </w:pPr>
            <w:r>
              <w:t>No report</w:t>
            </w:r>
            <w:r w:rsidR="003E28F3">
              <w:t>.</w:t>
            </w:r>
          </w:p>
        </w:tc>
      </w:tr>
    </w:tbl>
    <w:p w14:paraId="19F47CE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36771D1" w14:textId="77777777" w:rsidR="007E2A4B" w:rsidRDefault="00503562">
      <w:r>
        <w:t>NIL</w:t>
      </w:r>
      <w:r w:rsidR="003E28F3">
        <w:t>.</w:t>
      </w:r>
    </w:p>
    <w:bookmarkEnd w:id="0"/>
    <w:p w14:paraId="428653F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5E73109" w14:textId="77777777" w:rsidTr="009F0D6C">
        <w:trPr>
          <w:trHeight w:val="454"/>
          <w:tblHeader/>
        </w:trPr>
        <w:tc>
          <w:tcPr>
            <w:tcW w:w="6603" w:type="dxa"/>
            <w:vAlign w:val="center"/>
          </w:tcPr>
          <w:p w14:paraId="364FF9E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533F913" w14:textId="77777777" w:rsidR="002E0D61" w:rsidRDefault="009F0D6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D4E4B74" w14:textId="77777777" w:rsidTr="009F0D6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150E5A9" w14:textId="77777777" w:rsidR="008A36CF" w:rsidRPr="006901A2" w:rsidRDefault="009F0D6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787518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FB1849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20B1E3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837B06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B763CE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9E228CF" w14:textId="77777777" w:rsidTr="00812887">
        <w:trPr>
          <w:cantSplit/>
        </w:trPr>
        <w:tc>
          <w:tcPr>
            <w:tcW w:w="3227" w:type="dxa"/>
          </w:tcPr>
          <w:p w14:paraId="5F931BF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9A3BEF9" w14:textId="77777777" w:rsidR="00687890" w:rsidRPr="00DD2F9B" w:rsidRDefault="004B40E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22838CF" w14:textId="77777777" w:rsidTr="00812887">
        <w:trPr>
          <w:cantSplit/>
        </w:trPr>
        <w:tc>
          <w:tcPr>
            <w:tcW w:w="3227" w:type="dxa"/>
          </w:tcPr>
          <w:p w14:paraId="4444323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747377C" w14:textId="77777777" w:rsidR="007925F0" w:rsidRPr="00DD2F9B" w:rsidRDefault="000D268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D88705E" w14:textId="77777777" w:rsidTr="00812887">
        <w:trPr>
          <w:cantSplit/>
        </w:trPr>
        <w:tc>
          <w:tcPr>
            <w:tcW w:w="3227" w:type="dxa"/>
          </w:tcPr>
          <w:p w14:paraId="6C182FD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6F058B8" w14:textId="77777777" w:rsidR="00AF483F" w:rsidRPr="00DD2F9B" w:rsidRDefault="000D268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987147C" w14:textId="77777777" w:rsidTr="00812887">
        <w:trPr>
          <w:cantSplit/>
        </w:trPr>
        <w:tc>
          <w:tcPr>
            <w:tcW w:w="3227" w:type="dxa"/>
          </w:tcPr>
          <w:p w14:paraId="764BCB2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4BD342A" w14:textId="77777777" w:rsidR="00687890" w:rsidRPr="00DD2F9B" w:rsidRDefault="000D268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5DC4FA6" w14:textId="77777777" w:rsidTr="00812887">
        <w:trPr>
          <w:cantSplit/>
        </w:trPr>
        <w:tc>
          <w:tcPr>
            <w:tcW w:w="3227" w:type="dxa"/>
          </w:tcPr>
          <w:p w14:paraId="4E29C21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3080609" w14:textId="77777777" w:rsidR="00E41A26" w:rsidRPr="00DD2F9B" w:rsidRDefault="004E1479" w:rsidP="004E1479">
            <w:pPr>
              <w:pStyle w:val="Tablefont"/>
            </w:pPr>
            <w:r>
              <w:t>NA</w:t>
            </w:r>
          </w:p>
        </w:tc>
      </w:tr>
      <w:tr w:rsidR="002E0D61" w:rsidRPr="004C23F4" w14:paraId="08F801E8" w14:textId="77777777" w:rsidTr="00812887">
        <w:trPr>
          <w:cantSplit/>
        </w:trPr>
        <w:tc>
          <w:tcPr>
            <w:tcW w:w="3227" w:type="dxa"/>
          </w:tcPr>
          <w:p w14:paraId="7FE87EF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55C1756" w14:textId="77777777" w:rsidR="002E0D61" w:rsidRPr="00DD2F9B" w:rsidRDefault="001F2755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5AE85FFD" w14:textId="77777777" w:rsidTr="00812887">
        <w:trPr>
          <w:cantSplit/>
        </w:trPr>
        <w:tc>
          <w:tcPr>
            <w:tcW w:w="3227" w:type="dxa"/>
          </w:tcPr>
          <w:p w14:paraId="2D6DD59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9A786B9" w14:textId="77777777" w:rsidR="002E0D61" w:rsidRPr="00DD2F9B" w:rsidRDefault="0050356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E894495" w14:textId="77777777" w:rsidTr="00812887">
        <w:trPr>
          <w:cantSplit/>
        </w:trPr>
        <w:tc>
          <w:tcPr>
            <w:tcW w:w="3227" w:type="dxa"/>
          </w:tcPr>
          <w:p w14:paraId="1FB7659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9C25023" w14:textId="77777777" w:rsidR="002E0D61" w:rsidRPr="00DD2F9B" w:rsidRDefault="00A24CE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D112236" w14:textId="77777777" w:rsidTr="00812887">
        <w:trPr>
          <w:cantSplit/>
        </w:trPr>
        <w:tc>
          <w:tcPr>
            <w:tcW w:w="3227" w:type="dxa"/>
          </w:tcPr>
          <w:p w14:paraId="4318B0E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546ED7A" w14:textId="77777777" w:rsidR="002E0D61" w:rsidRPr="00DD2F9B" w:rsidRDefault="00766FB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24217E2" w14:textId="77777777" w:rsidTr="00812887">
        <w:trPr>
          <w:cantSplit/>
        </w:trPr>
        <w:tc>
          <w:tcPr>
            <w:tcW w:w="3227" w:type="dxa"/>
          </w:tcPr>
          <w:p w14:paraId="055A30A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0088779" w14:textId="77777777" w:rsidR="00386093" w:rsidRPr="00DD2F9B" w:rsidRDefault="00983CC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F2895B5" w14:textId="77777777" w:rsidTr="00812887">
        <w:trPr>
          <w:cantSplit/>
        </w:trPr>
        <w:tc>
          <w:tcPr>
            <w:tcW w:w="3227" w:type="dxa"/>
          </w:tcPr>
          <w:p w14:paraId="0C9AF46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F9DADFD" w14:textId="77777777" w:rsidR="00386093" w:rsidRPr="00DD2F9B" w:rsidRDefault="007E25F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3040F9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DD67DE7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07E72C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8A8D84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4D3E36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94" w:type="dxa"/>
              <w:tblLook w:val="04A0" w:firstRow="1" w:lastRow="0" w:firstColumn="1" w:lastColumn="0" w:noHBand="0" w:noVBand="1"/>
            </w:tblPr>
            <w:tblGrid>
              <w:gridCol w:w="3822"/>
              <w:gridCol w:w="1125"/>
              <w:gridCol w:w="1125"/>
              <w:gridCol w:w="1361"/>
              <w:gridCol w:w="1361"/>
            </w:tblGrid>
            <w:tr w:rsidR="009F0D6C" w:rsidRPr="009F0D6C" w14:paraId="4E3E06E1" w14:textId="77777777" w:rsidTr="009F0D6C">
              <w:trPr>
                <w:trHeight w:val="322"/>
              </w:trPr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05818D" w14:textId="77777777" w:rsidR="009F0D6C" w:rsidRPr="009F0D6C" w:rsidRDefault="009F0D6C" w:rsidP="009F0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447C87B" w14:textId="77777777" w:rsidR="009F0D6C" w:rsidRPr="009F0D6C" w:rsidRDefault="009F0D6C" w:rsidP="009F0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E2CA62" w14:textId="77777777" w:rsidR="009F0D6C" w:rsidRPr="009F0D6C" w:rsidRDefault="009F0D6C" w:rsidP="009F0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7AF82E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8FC9D0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0D6C" w:rsidRPr="009F0D6C" w14:paraId="1B09750C" w14:textId="77777777" w:rsidTr="009F0D6C">
              <w:trPr>
                <w:trHeight w:val="322"/>
              </w:trPr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9AC92B" w14:textId="77777777" w:rsidR="009F0D6C" w:rsidRPr="009F0D6C" w:rsidRDefault="009F0D6C" w:rsidP="009F0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2451E3" w14:textId="77777777" w:rsidR="009F0D6C" w:rsidRPr="009F0D6C" w:rsidRDefault="009F0D6C" w:rsidP="009F0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662E16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02B371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AAF1C2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0D6C" w:rsidRPr="009F0D6C" w14:paraId="2DC7E86E" w14:textId="77777777" w:rsidTr="009F0D6C">
              <w:trPr>
                <w:trHeight w:val="322"/>
              </w:trPr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DC1178" w14:textId="77777777" w:rsidR="009F0D6C" w:rsidRPr="009F0D6C" w:rsidRDefault="009F0D6C" w:rsidP="009F0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9706B5" w14:textId="77777777" w:rsidR="009F0D6C" w:rsidRPr="009F0D6C" w:rsidRDefault="009F0D6C" w:rsidP="009F0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E906A0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AFFCCB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81DB53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0D6C" w:rsidRPr="009F0D6C" w14:paraId="0FDB0CA7" w14:textId="77777777" w:rsidTr="009F0D6C">
              <w:trPr>
                <w:trHeight w:val="322"/>
              </w:trPr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2C7F4D" w14:textId="77777777" w:rsidR="009F0D6C" w:rsidRPr="009F0D6C" w:rsidRDefault="009F0D6C" w:rsidP="009F0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1CA7C7" w14:textId="77777777" w:rsidR="009F0D6C" w:rsidRPr="009F0D6C" w:rsidRDefault="009F0D6C" w:rsidP="009F0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5D7255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F7F63B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ADF69F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0D6C" w:rsidRPr="009F0D6C" w14:paraId="2BC8CC73" w14:textId="77777777" w:rsidTr="009F0D6C">
              <w:trPr>
                <w:trHeight w:val="322"/>
              </w:trPr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8122CE" w14:textId="77777777" w:rsidR="009F0D6C" w:rsidRPr="009F0D6C" w:rsidRDefault="009F0D6C" w:rsidP="009F0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212542" w14:textId="77777777" w:rsidR="009F0D6C" w:rsidRPr="009F0D6C" w:rsidRDefault="009F0D6C" w:rsidP="009F0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9F2872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DF8497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EE7344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0D6C" w:rsidRPr="009F0D6C" w14:paraId="0C674431" w14:textId="77777777" w:rsidTr="009F0D6C">
              <w:trPr>
                <w:trHeight w:val="322"/>
              </w:trPr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581BF6" w14:textId="77777777" w:rsidR="009F0D6C" w:rsidRPr="009F0D6C" w:rsidRDefault="009F0D6C" w:rsidP="009F0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359172" w14:textId="77777777" w:rsidR="009F0D6C" w:rsidRPr="009F0D6C" w:rsidRDefault="009F0D6C" w:rsidP="009F0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199D86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BD1916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784120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0D6C" w:rsidRPr="009F0D6C" w14:paraId="12D5E406" w14:textId="77777777" w:rsidTr="009F0D6C">
              <w:trPr>
                <w:trHeight w:val="322"/>
              </w:trPr>
              <w:tc>
                <w:tcPr>
                  <w:tcW w:w="38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AFBDED" w14:textId="77777777" w:rsidR="009F0D6C" w:rsidRPr="009F0D6C" w:rsidRDefault="009F0D6C" w:rsidP="009F0D6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161ACB" w14:textId="77777777" w:rsidR="009F0D6C" w:rsidRPr="009F0D6C" w:rsidRDefault="009F0D6C" w:rsidP="009F0D6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0EB496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32CC57" w14:textId="77777777" w:rsidR="009F0D6C" w:rsidRPr="009F0D6C" w:rsidRDefault="009F0D6C" w:rsidP="009F0D6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0D6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9796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FC79E9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8D4E1D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81CCFB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45981CA" w14:textId="77777777" w:rsidR="00EB3D1B" w:rsidRDefault="00B9193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9E915E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2B5DA2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FA114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D752915" w14:textId="77777777" w:rsidR="001B79E5" w:rsidRDefault="005B589B" w:rsidP="001B79E5">
                <w:pPr>
                  <w:pStyle w:val="Tablefont"/>
                </w:pPr>
                <w:r>
                  <w:t>112.95</w:t>
                </w:r>
              </w:p>
            </w:tc>
          </w:sdtContent>
        </w:sdt>
      </w:tr>
      <w:tr w:rsidR="00A31D99" w:rsidRPr="004C23F4" w14:paraId="15FD35F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7DF31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BE4722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26042A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0C03B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F8870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F41E9A9" w14:textId="77777777" w:rsidTr="00EA6243">
        <w:trPr>
          <w:cantSplit/>
        </w:trPr>
        <w:tc>
          <w:tcPr>
            <w:tcW w:w="4077" w:type="dxa"/>
            <w:vAlign w:val="center"/>
          </w:tcPr>
          <w:p w14:paraId="21E9BBD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D8D3C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A50B27E" w14:textId="77777777" w:rsidTr="00EA6243">
        <w:trPr>
          <w:cantSplit/>
        </w:trPr>
        <w:tc>
          <w:tcPr>
            <w:tcW w:w="4077" w:type="dxa"/>
            <w:vAlign w:val="center"/>
          </w:tcPr>
          <w:p w14:paraId="1EADED3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171EAF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1E2943D" w14:textId="77777777" w:rsidTr="00EA6243">
        <w:trPr>
          <w:cantSplit/>
        </w:trPr>
        <w:tc>
          <w:tcPr>
            <w:tcW w:w="4077" w:type="dxa"/>
            <w:vAlign w:val="center"/>
          </w:tcPr>
          <w:p w14:paraId="64DC69A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6CE42B8" w14:textId="77777777" w:rsidR="00E06F40" w:rsidRPr="00A006A0" w:rsidRDefault="00FE2E3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C5DCAB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8265D1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35BCA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993DA3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E04EC1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2CF478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4F6E03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DE2BC3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E5CA11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29BDD78" w14:textId="77777777" w:rsidR="00CE4DAB" w:rsidRDefault="00CE4DAB" w:rsidP="00084859">
      <w:r w:rsidRPr="00CE4DAB">
        <w:t xml:space="preserve">Deutsche </w:t>
      </w:r>
      <w:proofErr w:type="spellStart"/>
      <w:r w:rsidRPr="00CE4DAB">
        <w:t>Forschungsgemeinschaft</w:t>
      </w:r>
      <w:proofErr w:type="spellEnd"/>
      <w:r w:rsidRPr="00CE4DAB">
        <w:t xml:space="preserve"> (DFG) (</w:t>
      </w:r>
      <w:r>
        <w:t>1983</w:t>
      </w:r>
      <w:r w:rsidRPr="00CE4DAB">
        <w:t xml:space="preserve">) </w:t>
      </w:r>
      <w:proofErr w:type="spellStart"/>
      <w:r>
        <w:t>Chloracetylchlorid</w:t>
      </w:r>
      <w:proofErr w:type="spellEnd"/>
      <w:r w:rsidRPr="00CE4DAB">
        <w:t xml:space="preserve"> – MAK value documentation.</w:t>
      </w:r>
    </w:p>
    <w:p w14:paraId="708C2BC4" w14:textId="77777777" w:rsidR="00503562" w:rsidRDefault="00503562" w:rsidP="00503562">
      <w:r>
        <w:t xml:space="preserve">US National Institute for Occupational Safety and Health (NIOSH) (2016) Immediately dangerous to life or health concentrations – </w:t>
      </w:r>
      <w:proofErr w:type="spellStart"/>
      <w:r>
        <w:t>Chloroacetyl</w:t>
      </w:r>
      <w:proofErr w:type="spellEnd"/>
      <w:r>
        <w:t xml:space="preserve"> chloride. </w:t>
      </w:r>
    </w:p>
    <w:p w14:paraId="4C7802FA" w14:textId="77777777" w:rsidR="00503562" w:rsidRPr="00351FE0" w:rsidRDefault="00503562" w:rsidP="00084859"/>
    <w:sectPr w:rsidR="0050356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023A1" w14:textId="77777777" w:rsidR="008E7B70" w:rsidRDefault="008E7B70" w:rsidP="00F43AD5">
      <w:pPr>
        <w:spacing w:after="0" w:line="240" w:lineRule="auto"/>
      </w:pPr>
      <w:r>
        <w:separator/>
      </w:r>
    </w:p>
  </w:endnote>
  <w:endnote w:type="continuationSeparator" w:id="0">
    <w:p w14:paraId="62722A90" w14:textId="77777777" w:rsidR="008E7B70" w:rsidRDefault="008E7B7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85A6D2C" w14:textId="77777777" w:rsidR="008A36CF" w:rsidRDefault="001E3697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Chloroacetyl</w:t>
        </w:r>
        <w:proofErr w:type="spellEnd"/>
        <w:r>
          <w:rPr>
            <w:b/>
            <w:sz w:val="18"/>
            <w:szCs w:val="18"/>
          </w:rPr>
          <w:t xml:space="preserve"> chloride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79-04-9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01AED74" w14:textId="41633D8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B6081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E719F" w14:textId="77777777" w:rsidR="008E7B70" w:rsidRDefault="008E7B70" w:rsidP="00F43AD5">
      <w:pPr>
        <w:spacing w:after="0" w:line="240" w:lineRule="auto"/>
      </w:pPr>
      <w:r>
        <w:separator/>
      </w:r>
    </w:p>
  </w:footnote>
  <w:footnote w:type="continuationSeparator" w:id="0">
    <w:p w14:paraId="5E807FE4" w14:textId="77777777" w:rsidR="008E7B70" w:rsidRDefault="008E7B7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5C879" w14:textId="480BA831" w:rsidR="003B6081" w:rsidRDefault="003B6081" w:rsidP="003B6081">
    <w:pPr>
      <w:pStyle w:val="Header"/>
      <w:jc w:val="right"/>
    </w:pPr>
    <w:r>
      <w:rPr>
        <w:noProof/>
        <w:lang w:eastAsia="en-AU"/>
      </w:rPr>
      <w:drawing>
        <wp:inline distT="0" distB="0" distL="0" distR="0" wp14:anchorId="35E8ACCA" wp14:editId="3A398B4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9B1D76" w14:textId="34E0B06B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0EC65" w14:textId="348C6D67" w:rsidR="003B6081" w:rsidRDefault="003B6081" w:rsidP="003B6081">
    <w:pPr>
      <w:pStyle w:val="Header"/>
      <w:jc w:val="right"/>
    </w:pPr>
    <w:r>
      <w:rPr>
        <w:noProof/>
        <w:lang w:eastAsia="en-AU"/>
      </w:rPr>
      <w:drawing>
        <wp:inline distT="0" distB="0" distL="0" distR="0" wp14:anchorId="38499F35" wp14:editId="7B6D76C9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A8AE66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494F7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22F27C5"/>
    <w:multiLevelType w:val="hybridMultilevel"/>
    <w:tmpl w:val="EEC208A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0C6F90"/>
    <w:multiLevelType w:val="hybridMultilevel"/>
    <w:tmpl w:val="85FA339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26760106">
    <w:abstractNumId w:val="0"/>
  </w:num>
  <w:num w:numId="2" w16cid:durableId="491068584">
    <w:abstractNumId w:val="2"/>
  </w:num>
  <w:num w:numId="3" w16cid:durableId="987130780">
    <w:abstractNumId w:val="0"/>
  </w:num>
  <w:num w:numId="4" w16cid:durableId="1851335463">
    <w:abstractNumId w:val="1"/>
  </w:num>
  <w:num w:numId="5" w16cid:durableId="579825225">
    <w:abstractNumId w:val="0"/>
  </w:num>
  <w:num w:numId="6" w16cid:durableId="858465232">
    <w:abstractNumId w:val="0"/>
  </w:num>
  <w:num w:numId="7" w16cid:durableId="1011376652">
    <w:abstractNumId w:val="0"/>
  </w:num>
  <w:num w:numId="8" w16cid:durableId="191309188">
    <w:abstractNumId w:val="0"/>
  </w:num>
  <w:num w:numId="9" w16cid:durableId="63527395">
    <w:abstractNumId w:val="0"/>
  </w:num>
  <w:num w:numId="10" w16cid:durableId="918176785">
    <w:abstractNumId w:val="0"/>
  </w:num>
  <w:num w:numId="11" w16cid:durableId="1017806745">
    <w:abstractNumId w:val="0"/>
  </w:num>
  <w:num w:numId="12" w16cid:durableId="1405421203">
    <w:abstractNumId w:val="0"/>
  </w:num>
  <w:num w:numId="13" w16cid:durableId="3553937">
    <w:abstractNumId w:val="0"/>
  </w:num>
  <w:num w:numId="14" w16cid:durableId="2077703825">
    <w:abstractNumId w:val="0"/>
  </w:num>
  <w:num w:numId="15" w16cid:durableId="8828668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09B"/>
    <w:rsid w:val="00067F32"/>
    <w:rsid w:val="000701CC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68D"/>
    <w:rsid w:val="000D291C"/>
    <w:rsid w:val="000E5A54"/>
    <w:rsid w:val="000E63D3"/>
    <w:rsid w:val="000E67CF"/>
    <w:rsid w:val="000F7113"/>
    <w:rsid w:val="0010461E"/>
    <w:rsid w:val="00106FAA"/>
    <w:rsid w:val="00113443"/>
    <w:rsid w:val="001269A7"/>
    <w:rsid w:val="00131092"/>
    <w:rsid w:val="00133D25"/>
    <w:rsid w:val="00140E6A"/>
    <w:rsid w:val="00146545"/>
    <w:rsid w:val="00146B75"/>
    <w:rsid w:val="0015266D"/>
    <w:rsid w:val="0015288A"/>
    <w:rsid w:val="00160942"/>
    <w:rsid w:val="00160F47"/>
    <w:rsid w:val="001733EE"/>
    <w:rsid w:val="00177CA1"/>
    <w:rsid w:val="00182E4F"/>
    <w:rsid w:val="00183823"/>
    <w:rsid w:val="00183942"/>
    <w:rsid w:val="001A009E"/>
    <w:rsid w:val="001A1287"/>
    <w:rsid w:val="001A1396"/>
    <w:rsid w:val="001A254E"/>
    <w:rsid w:val="001A3859"/>
    <w:rsid w:val="001A3C9D"/>
    <w:rsid w:val="001A43F8"/>
    <w:rsid w:val="001B79E5"/>
    <w:rsid w:val="001C3093"/>
    <w:rsid w:val="001D56F0"/>
    <w:rsid w:val="001D663B"/>
    <w:rsid w:val="001D7B41"/>
    <w:rsid w:val="001E27EF"/>
    <w:rsid w:val="001E3697"/>
    <w:rsid w:val="001E46DA"/>
    <w:rsid w:val="001E7D80"/>
    <w:rsid w:val="001F2755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699E"/>
    <w:rsid w:val="002375C6"/>
    <w:rsid w:val="00244AD1"/>
    <w:rsid w:val="002463BC"/>
    <w:rsid w:val="002465CE"/>
    <w:rsid w:val="0025734A"/>
    <w:rsid w:val="00263255"/>
    <w:rsid w:val="00276494"/>
    <w:rsid w:val="00277B0C"/>
    <w:rsid w:val="002A58D5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5EAD"/>
    <w:rsid w:val="003337DA"/>
    <w:rsid w:val="00334EFB"/>
    <w:rsid w:val="00335CDE"/>
    <w:rsid w:val="003365A5"/>
    <w:rsid w:val="003449C9"/>
    <w:rsid w:val="00347192"/>
    <w:rsid w:val="0034744C"/>
    <w:rsid w:val="00351FE0"/>
    <w:rsid w:val="00352615"/>
    <w:rsid w:val="0035412B"/>
    <w:rsid w:val="003567A8"/>
    <w:rsid w:val="00362895"/>
    <w:rsid w:val="00370DBF"/>
    <w:rsid w:val="00373A82"/>
    <w:rsid w:val="00375A79"/>
    <w:rsid w:val="00386093"/>
    <w:rsid w:val="003904A4"/>
    <w:rsid w:val="003915C9"/>
    <w:rsid w:val="00391841"/>
    <w:rsid w:val="00391B6D"/>
    <w:rsid w:val="00394922"/>
    <w:rsid w:val="003A0E32"/>
    <w:rsid w:val="003A2B94"/>
    <w:rsid w:val="003B1C69"/>
    <w:rsid w:val="003B387D"/>
    <w:rsid w:val="003B6081"/>
    <w:rsid w:val="003C0D58"/>
    <w:rsid w:val="003D4FA3"/>
    <w:rsid w:val="003E0807"/>
    <w:rsid w:val="003E28F3"/>
    <w:rsid w:val="003E51FB"/>
    <w:rsid w:val="003E6B39"/>
    <w:rsid w:val="003F07E1"/>
    <w:rsid w:val="003F3538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69E5"/>
    <w:rsid w:val="00450380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40E8"/>
    <w:rsid w:val="004C1E3F"/>
    <w:rsid w:val="004C23F4"/>
    <w:rsid w:val="004C3475"/>
    <w:rsid w:val="004C58B6"/>
    <w:rsid w:val="004D16A3"/>
    <w:rsid w:val="004D4AA1"/>
    <w:rsid w:val="004D5834"/>
    <w:rsid w:val="004D6D68"/>
    <w:rsid w:val="004E1479"/>
    <w:rsid w:val="004E5EDD"/>
    <w:rsid w:val="004F2292"/>
    <w:rsid w:val="004F448A"/>
    <w:rsid w:val="004F493D"/>
    <w:rsid w:val="004F65E8"/>
    <w:rsid w:val="0050005E"/>
    <w:rsid w:val="00502B88"/>
    <w:rsid w:val="00503562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69E6"/>
    <w:rsid w:val="005A19C5"/>
    <w:rsid w:val="005A2B4A"/>
    <w:rsid w:val="005A3034"/>
    <w:rsid w:val="005A4521"/>
    <w:rsid w:val="005A462D"/>
    <w:rsid w:val="005B1C56"/>
    <w:rsid w:val="005B253B"/>
    <w:rsid w:val="005B589B"/>
    <w:rsid w:val="005B771D"/>
    <w:rsid w:val="005B7E73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5E53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5B9A"/>
    <w:rsid w:val="006A2D3D"/>
    <w:rsid w:val="006B160A"/>
    <w:rsid w:val="006B4E6C"/>
    <w:rsid w:val="006B50B6"/>
    <w:rsid w:val="006D0226"/>
    <w:rsid w:val="006D79EA"/>
    <w:rsid w:val="006E5D05"/>
    <w:rsid w:val="006F0E16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66FBC"/>
    <w:rsid w:val="00770E31"/>
    <w:rsid w:val="007770F1"/>
    <w:rsid w:val="00783FB1"/>
    <w:rsid w:val="00785CDD"/>
    <w:rsid w:val="00791847"/>
    <w:rsid w:val="007925F0"/>
    <w:rsid w:val="0079269B"/>
    <w:rsid w:val="007939B3"/>
    <w:rsid w:val="0079509C"/>
    <w:rsid w:val="00796708"/>
    <w:rsid w:val="007B1B42"/>
    <w:rsid w:val="007B7ADC"/>
    <w:rsid w:val="007C30EB"/>
    <w:rsid w:val="007E063C"/>
    <w:rsid w:val="007E25F8"/>
    <w:rsid w:val="007E2A4B"/>
    <w:rsid w:val="007E2EA4"/>
    <w:rsid w:val="007E307D"/>
    <w:rsid w:val="007E6A4E"/>
    <w:rsid w:val="007E6C94"/>
    <w:rsid w:val="007F1005"/>
    <w:rsid w:val="007F185D"/>
    <w:rsid w:val="007F25E0"/>
    <w:rsid w:val="007F5328"/>
    <w:rsid w:val="00804F5A"/>
    <w:rsid w:val="00810C6D"/>
    <w:rsid w:val="00812887"/>
    <w:rsid w:val="00825411"/>
    <w:rsid w:val="00826F21"/>
    <w:rsid w:val="00834CC8"/>
    <w:rsid w:val="00835E00"/>
    <w:rsid w:val="00837113"/>
    <w:rsid w:val="008414E4"/>
    <w:rsid w:val="00843E21"/>
    <w:rsid w:val="0084508E"/>
    <w:rsid w:val="008531D5"/>
    <w:rsid w:val="0085425C"/>
    <w:rsid w:val="00857A8A"/>
    <w:rsid w:val="0086036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E7B70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5E3E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3CC5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8D1"/>
    <w:rsid w:val="009E0942"/>
    <w:rsid w:val="009E0C05"/>
    <w:rsid w:val="009E0D1C"/>
    <w:rsid w:val="009E2214"/>
    <w:rsid w:val="009E355A"/>
    <w:rsid w:val="009E63E2"/>
    <w:rsid w:val="009F04D2"/>
    <w:rsid w:val="009F05CF"/>
    <w:rsid w:val="009F0D6C"/>
    <w:rsid w:val="009F0F3A"/>
    <w:rsid w:val="00A01D0C"/>
    <w:rsid w:val="00A02A6D"/>
    <w:rsid w:val="00A0643F"/>
    <w:rsid w:val="00A067EE"/>
    <w:rsid w:val="00A10FCE"/>
    <w:rsid w:val="00A16D91"/>
    <w:rsid w:val="00A174CC"/>
    <w:rsid w:val="00A2073D"/>
    <w:rsid w:val="00A20751"/>
    <w:rsid w:val="00A24CE2"/>
    <w:rsid w:val="00A27E2D"/>
    <w:rsid w:val="00A31D99"/>
    <w:rsid w:val="00A357BA"/>
    <w:rsid w:val="00A35ADC"/>
    <w:rsid w:val="00A402A3"/>
    <w:rsid w:val="00A53681"/>
    <w:rsid w:val="00A56747"/>
    <w:rsid w:val="00A633D4"/>
    <w:rsid w:val="00A6461A"/>
    <w:rsid w:val="00A84504"/>
    <w:rsid w:val="00A8672F"/>
    <w:rsid w:val="00A93057"/>
    <w:rsid w:val="00A968B0"/>
    <w:rsid w:val="00AA2824"/>
    <w:rsid w:val="00AA5DEC"/>
    <w:rsid w:val="00AB2672"/>
    <w:rsid w:val="00AB2817"/>
    <w:rsid w:val="00AB43C4"/>
    <w:rsid w:val="00AC32E7"/>
    <w:rsid w:val="00AC3A9F"/>
    <w:rsid w:val="00AC6D2F"/>
    <w:rsid w:val="00AD5B61"/>
    <w:rsid w:val="00AE0444"/>
    <w:rsid w:val="00AE2745"/>
    <w:rsid w:val="00AE2F64"/>
    <w:rsid w:val="00AE5663"/>
    <w:rsid w:val="00AE7010"/>
    <w:rsid w:val="00AF42CB"/>
    <w:rsid w:val="00AF483F"/>
    <w:rsid w:val="00AF5E07"/>
    <w:rsid w:val="00AF5F06"/>
    <w:rsid w:val="00B00A25"/>
    <w:rsid w:val="00B1422A"/>
    <w:rsid w:val="00B1765C"/>
    <w:rsid w:val="00B213C4"/>
    <w:rsid w:val="00B31E29"/>
    <w:rsid w:val="00B40C60"/>
    <w:rsid w:val="00B479A9"/>
    <w:rsid w:val="00B52EDF"/>
    <w:rsid w:val="00B65991"/>
    <w:rsid w:val="00B65EC3"/>
    <w:rsid w:val="00B71188"/>
    <w:rsid w:val="00B76A41"/>
    <w:rsid w:val="00B808D5"/>
    <w:rsid w:val="00B87D4C"/>
    <w:rsid w:val="00B91933"/>
    <w:rsid w:val="00B93646"/>
    <w:rsid w:val="00BA0B38"/>
    <w:rsid w:val="00BA1DBB"/>
    <w:rsid w:val="00BA4510"/>
    <w:rsid w:val="00BA529A"/>
    <w:rsid w:val="00BA7FD3"/>
    <w:rsid w:val="00BB612A"/>
    <w:rsid w:val="00BD193C"/>
    <w:rsid w:val="00BD499F"/>
    <w:rsid w:val="00BD56DE"/>
    <w:rsid w:val="00BF2406"/>
    <w:rsid w:val="00C06E43"/>
    <w:rsid w:val="00C16315"/>
    <w:rsid w:val="00C3091E"/>
    <w:rsid w:val="00C37050"/>
    <w:rsid w:val="00C40FF1"/>
    <w:rsid w:val="00C419E2"/>
    <w:rsid w:val="00C5020E"/>
    <w:rsid w:val="00C53567"/>
    <w:rsid w:val="00C55B6E"/>
    <w:rsid w:val="00C57452"/>
    <w:rsid w:val="00C61EDF"/>
    <w:rsid w:val="00C6239D"/>
    <w:rsid w:val="00C64342"/>
    <w:rsid w:val="00C6594B"/>
    <w:rsid w:val="00C67FFB"/>
    <w:rsid w:val="00C7155E"/>
    <w:rsid w:val="00C71D1E"/>
    <w:rsid w:val="00C71D7D"/>
    <w:rsid w:val="00C74833"/>
    <w:rsid w:val="00C81BA8"/>
    <w:rsid w:val="00C8201C"/>
    <w:rsid w:val="00C850A0"/>
    <w:rsid w:val="00C85A86"/>
    <w:rsid w:val="00C978F0"/>
    <w:rsid w:val="00CA58FE"/>
    <w:rsid w:val="00CA7733"/>
    <w:rsid w:val="00CB1CB1"/>
    <w:rsid w:val="00CB6BC1"/>
    <w:rsid w:val="00CB6CB8"/>
    <w:rsid w:val="00CC1A68"/>
    <w:rsid w:val="00CC2123"/>
    <w:rsid w:val="00CD0554"/>
    <w:rsid w:val="00CD22A1"/>
    <w:rsid w:val="00CD2BFD"/>
    <w:rsid w:val="00CD7B90"/>
    <w:rsid w:val="00CE4DAB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0DA9"/>
    <w:rsid w:val="00D74D80"/>
    <w:rsid w:val="00D76624"/>
    <w:rsid w:val="00D87570"/>
    <w:rsid w:val="00D91CB9"/>
    <w:rsid w:val="00D97989"/>
    <w:rsid w:val="00D97D8D"/>
    <w:rsid w:val="00DA0DDD"/>
    <w:rsid w:val="00DA352E"/>
    <w:rsid w:val="00DB2A49"/>
    <w:rsid w:val="00DC7694"/>
    <w:rsid w:val="00DD1BF6"/>
    <w:rsid w:val="00DD2F9B"/>
    <w:rsid w:val="00DE2513"/>
    <w:rsid w:val="00DE26E8"/>
    <w:rsid w:val="00DE3AF0"/>
    <w:rsid w:val="00DE48FF"/>
    <w:rsid w:val="00DF6F36"/>
    <w:rsid w:val="00E0084C"/>
    <w:rsid w:val="00E025AB"/>
    <w:rsid w:val="00E02B23"/>
    <w:rsid w:val="00E04D8B"/>
    <w:rsid w:val="00E05F9A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4D49"/>
    <w:rsid w:val="00E92499"/>
    <w:rsid w:val="00E949AF"/>
    <w:rsid w:val="00E96077"/>
    <w:rsid w:val="00E960A4"/>
    <w:rsid w:val="00EA0A06"/>
    <w:rsid w:val="00EA6243"/>
    <w:rsid w:val="00EA74AB"/>
    <w:rsid w:val="00EB3D1B"/>
    <w:rsid w:val="00EC6AF7"/>
    <w:rsid w:val="00ED1D89"/>
    <w:rsid w:val="00ED66BC"/>
    <w:rsid w:val="00EF233A"/>
    <w:rsid w:val="00EF303E"/>
    <w:rsid w:val="00EF3A40"/>
    <w:rsid w:val="00EF76BD"/>
    <w:rsid w:val="00EF7F78"/>
    <w:rsid w:val="00F01B08"/>
    <w:rsid w:val="00F01C4D"/>
    <w:rsid w:val="00F053FA"/>
    <w:rsid w:val="00F10C97"/>
    <w:rsid w:val="00F11C71"/>
    <w:rsid w:val="00F16019"/>
    <w:rsid w:val="00F20E65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2E3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49BA61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C6AF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95B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5B9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5B9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5B9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5B9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3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254E"/>
    <w:rsid w:val="002D4C8B"/>
    <w:rsid w:val="00A60F2C"/>
    <w:rsid w:val="00C55B6E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F8D1B0E-3D90-46D9-8841-2C415A5C2E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4D54-8933-4D67-853D-79A77930A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1c567317-0c4d-4a62-8516-c22afd1b5354"/>
    <ds:schemaRef ds:uri="a0509f21-ed56-4150-9955-96be669e5f2d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753</TotalTime>
  <Pages>4</Pages>
  <Words>936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77</cp:revision>
  <cp:lastPrinted>2018-10-22T22:41:00Z</cp:lastPrinted>
  <dcterms:created xsi:type="dcterms:W3CDTF">2019-04-14T23:55:00Z</dcterms:created>
  <dcterms:modified xsi:type="dcterms:W3CDTF">2026-01-09T00:53:00Z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2025-12-18T06:03:40Z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0bf3c5db-5f4e-4979-96b6-917e8d28ee6b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