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777ABDB7" w14:textId="51316E5C" w:rsidR="00BD499F" w:rsidRPr="004C23F4" w:rsidRDefault="000745CC" w:rsidP="00B40C60">
          <w:pPr>
            <w:pStyle w:val="Heading1"/>
            <w:jc w:val="center"/>
            <w:rPr>
              <w:rFonts w:ascii="Arial" w:hAnsi="Arial" w:cs="Arial"/>
            </w:rPr>
          </w:pPr>
          <w:r>
            <w:rPr>
              <w:rFonts w:ascii="Arial" w:hAnsi="Arial" w:cs="Arial"/>
            </w:rPr>
            <w:t>Chlorine dioxidE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7"/>
        <w:gridCol w:w="5039"/>
      </w:tblGrid>
      <w:tr w:rsidR="00F43AD5" w:rsidRPr="004C23F4" w14:paraId="2A6C4923" w14:textId="77777777" w:rsidTr="00B76A41">
        <w:trPr>
          <w:cantSplit/>
          <w:tblHeader/>
        </w:trPr>
        <w:tc>
          <w:tcPr>
            <w:tcW w:w="4077" w:type="dxa"/>
          </w:tcPr>
          <w:p w14:paraId="3ACCFDB5" w14:textId="77777777" w:rsidR="00F43AD5" w:rsidRPr="00921DE7" w:rsidRDefault="00CB1CB1" w:rsidP="00B76A41">
            <w:pPr>
              <w:pStyle w:val="Tablerowright"/>
            </w:pPr>
            <w:r w:rsidRPr="00921DE7">
              <w:t>CAS number:</w:t>
            </w:r>
          </w:p>
        </w:tc>
        <w:tc>
          <w:tcPr>
            <w:tcW w:w="5165" w:type="dxa"/>
          </w:tcPr>
          <w:p w14:paraId="652DD5B4" w14:textId="77777777" w:rsidR="00F43AD5" w:rsidRPr="00717D45" w:rsidRDefault="00AD21B8" w:rsidP="00B76A41">
            <w:pPr>
              <w:pStyle w:val="Tablefont"/>
            </w:pPr>
            <w:r>
              <w:t>10</w:t>
            </w:r>
            <w:r w:rsidR="000170FB">
              <w:t>049-04-4</w:t>
            </w:r>
          </w:p>
        </w:tc>
      </w:tr>
      <w:tr w:rsidR="00F43AD5" w:rsidRPr="004C23F4" w14:paraId="1BE4C154" w14:textId="77777777" w:rsidTr="00B76A41">
        <w:trPr>
          <w:cantSplit/>
        </w:trPr>
        <w:tc>
          <w:tcPr>
            <w:tcW w:w="4077" w:type="dxa"/>
          </w:tcPr>
          <w:p w14:paraId="173E8907" w14:textId="77777777" w:rsidR="00F43AD5" w:rsidRPr="00921DE7" w:rsidRDefault="00CB1CB1" w:rsidP="00B76A41">
            <w:pPr>
              <w:pStyle w:val="Tablerowright"/>
            </w:pPr>
            <w:r w:rsidRPr="00921DE7">
              <w:t>Synonyms:</w:t>
            </w:r>
          </w:p>
        </w:tc>
        <w:tc>
          <w:tcPr>
            <w:tcW w:w="5165" w:type="dxa"/>
          </w:tcPr>
          <w:p w14:paraId="551B85B1" w14:textId="77777777" w:rsidR="00F43AD5" w:rsidRPr="00717D45" w:rsidRDefault="000170FB" w:rsidP="00B76A41">
            <w:pPr>
              <w:pStyle w:val="Tablefont"/>
            </w:pPr>
            <w:r>
              <w:t xml:space="preserve">Chlorine peroxide, </w:t>
            </w:r>
            <w:r w:rsidR="00AD21B8">
              <w:t xml:space="preserve">chlorine oxide, </w:t>
            </w:r>
            <w:proofErr w:type="gramStart"/>
            <w:r>
              <w:t>chlorine(</w:t>
            </w:r>
            <w:proofErr w:type="gramEnd"/>
            <w:r>
              <w:t xml:space="preserve">IV) oxide, </w:t>
            </w:r>
            <w:proofErr w:type="spellStart"/>
            <w:r>
              <w:t>chloryl</w:t>
            </w:r>
            <w:proofErr w:type="spellEnd"/>
          </w:p>
        </w:tc>
      </w:tr>
      <w:tr w:rsidR="00F43AD5" w:rsidRPr="004C23F4" w14:paraId="05187D1B" w14:textId="77777777" w:rsidTr="00B76A41">
        <w:trPr>
          <w:cantSplit/>
        </w:trPr>
        <w:tc>
          <w:tcPr>
            <w:tcW w:w="4077" w:type="dxa"/>
          </w:tcPr>
          <w:p w14:paraId="31D967D1" w14:textId="77777777" w:rsidR="00F43AD5" w:rsidRPr="00921DE7" w:rsidRDefault="00CB1CB1" w:rsidP="00B76A41">
            <w:pPr>
              <w:pStyle w:val="Tablerowright"/>
            </w:pPr>
            <w:r w:rsidRPr="00921DE7">
              <w:t>Chemical formula:</w:t>
            </w:r>
          </w:p>
        </w:tc>
        <w:tc>
          <w:tcPr>
            <w:tcW w:w="5165" w:type="dxa"/>
          </w:tcPr>
          <w:p w14:paraId="7C708E85" w14:textId="77777777" w:rsidR="00F43AD5" w:rsidRPr="000170FB" w:rsidRDefault="000170FB" w:rsidP="00B76A41">
            <w:pPr>
              <w:pStyle w:val="Tablefont"/>
            </w:pPr>
            <w:r>
              <w:t>ClO</w:t>
            </w:r>
            <w:r>
              <w:rPr>
                <w:vertAlign w:val="subscript"/>
              </w:rPr>
              <w:t>2</w:t>
            </w:r>
          </w:p>
        </w:tc>
      </w:tr>
      <w:tr w:rsidR="00F43AD5" w:rsidRPr="004C23F4" w14:paraId="464BB620" w14:textId="77777777" w:rsidTr="00B76A41">
        <w:trPr>
          <w:cantSplit/>
        </w:trPr>
        <w:tc>
          <w:tcPr>
            <w:tcW w:w="4077" w:type="dxa"/>
          </w:tcPr>
          <w:p w14:paraId="178420CB" w14:textId="77777777" w:rsidR="00F43AD5" w:rsidRPr="00921DE7" w:rsidRDefault="00CB1CB1" w:rsidP="00B76A41">
            <w:pPr>
              <w:pStyle w:val="Tablerowright"/>
            </w:pPr>
            <w:r w:rsidRPr="00921DE7">
              <w:t>Structural formula:</w:t>
            </w:r>
          </w:p>
        </w:tc>
        <w:tc>
          <w:tcPr>
            <w:tcW w:w="5165" w:type="dxa"/>
          </w:tcPr>
          <w:p w14:paraId="42EAD720" w14:textId="77777777" w:rsidR="00F43AD5" w:rsidRPr="00B40C60" w:rsidRDefault="00E54A4B" w:rsidP="00B76A41">
            <w:pPr>
              <w:pStyle w:val="Tablerowheading"/>
              <w:rPr>
                <w:b w:val="0"/>
              </w:rPr>
            </w:pPr>
            <w:r>
              <w:t>—</w:t>
            </w:r>
          </w:p>
        </w:tc>
      </w:tr>
    </w:tbl>
    <w:p w14:paraId="6196B8BF" w14:textId="7777777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4B4782">
            <w:rPr>
              <w:rStyle w:val="WESstatus"/>
            </w:rPr>
            <w:t>(interim)</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7"/>
        <w:gridCol w:w="5029"/>
      </w:tblGrid>
      <w:tr w:rsidR="002C7AFE" w:rsidRPr="004C23F4" w14:paraId="5E483814" w14:textId="77777777" w:rsidTr="00610F2E">
        <w:trPr>
          <w:cantSplit/>
          <w:tblHeader/>
        </w:trPr>
        <w:tc>
          <w:tcPr>
            <w:tcW w:w="4077" w:type="dxa"/>
            <w:vAlign w:val="center"/>
          </w:tcPr>
          <w:p w14:paraId="6E3A7065" w14:textId="77777777" w:rsidR="002C7AFE" w:rsidRPr="002C58FF" w:rsidRDefault="00921DE7" w:rsidP="00921DE7">
            <w:pPr>
              <w:pStyle w:val="Tablerowright"/>
            </w:pPr>
            <w:r>
              <w:t>TWA:</w:t>
            </w:r>
          </w:p>
        </w:tc>
        <w:tc>
          <w:tcPr>
            <w:tcW w:w="5165" w:type="dxa"/>
          </w:tcPr>
          <w:p w14:paraId="52F6B9F1" w14:textId="77777777" w:rsidR="002C7AFE" w:rsidRPr="00EB3D1B" w:rsidRDefault="001F1251" w:rsidP="00017C82">
            <w:pPr>
              <w:pStyle w:val="Tablefont"/>
              <w:rPr>
                <w:b/>
              </w:rPr>
            </w:pPr>
            <w:r>
              <w:rPr>
                <w:b/>
              </w:rPr>
              <w:t>—</w:t>
            </w:r>
          </w:p>
        </w:tc>
      </w:tr>
      <w:tr w:rsidR="002C7AFE" w:rsidRPr="004C23F4" w14:paraId="5931192F" w14:textId="77777777" w:rsidTr="00921DE7">
        <w:trPr>
          <w:cantSplit/>
        </w:trPr>
        <w:tc>
          <w:tcPr>
            <w:tcW w:w="4077" w:type="dxa"/>
            <w:vAlign w:val="center"/>
          </w:tcPr>
          <w:p w14:paraId="139C35D4" w14:textId="77777777" w:rsidR="002C7AFE" w:rsidRPr="002C58FF" w:rsidRDefault="002C7AFE" w:rsidP="00921DE7">
            <w:pPr>
              <w:pStyle w:val="Tablerowright"/>
            </w:pPr>
            <w:r w:rsidRPr="002C58FF">
              <w:t>STEL</w:t>
            </w:r>
            <w:r w:rsidR="00921DE7">
              <w:t>:</w:t>
            </w:r>
          </w:p>
        </w:tc>
        <w:tc>
          <w:tcPr>
            <w:tcW w:w="5165" w:type="dxa"/>
          </w:tcPr>
          <w:p w14:paraId="6AC9C255" w14:textId="77777777" w:rsidR="002C7AFE" w:rsidRPr="00EB3D1B" w:rsidRDefault="001F1251" w:rsidP="00017C82">
            <w:pPr>
              <w:pStyle w:val="Tablefont"/>
              <w:rPr>
                <w:b/>
              </w:rPr>
            </w:pPr>
            <w:r>
              <w:rPr>
                <w:b/>
              </w:rPr>
              <w:t>—</w:t>
            </w:r>
          </w:p>
        </w:tc>
      </w:tr>
      <w:tr w:rsidR="002C7AFE" w:rsidRPr="004C23F4" w14:paraId="4589B61B" w14:textId="77777777" w:rsidTr="00921DE7">
        <w:trPr>
          <w:cantSplit/>
        </w:trPr>
        <w:tc>
          <w:tcPr>
            <w:tcW w:w="4077" w:type="dxa"/>
            <w:vAlign w:val="center"/>
          </w:tcPr>
          <w:p w14:paraId="4BA005E7" w14:textId="77777777" w:rsidR="002C7AFE" w:rsidRPr="002C58FF" w:rsidRDefault="00921DE7" w:rsidP="00921DE7">
            <w:pPr>
              <w:pStyle w:val="Tablerowright"/>
            </w:pPr>
            <w:r>
              <w:t>Peak limitation:</w:t>
            </w:r>
          </w:p>
        </w:tc>
        <w:tc>
          <w:tcPr>
            <w:tcW w:w="5165" w:type="dxa"/>
          </w:tcPr>
          <w:p w14:paraId="550F42FD" w14:textId="77777777" w:rsidR="002C7AFE" w:rsidRPr="00EB3D1B" w:rsidRDefault="001F1251" w:rsidP="00017C82">
            <w:pPr>
              <w:pStyle w:val="Tablefont"/>
              <w:rPr>
                <w:b/>
              </w:rPr>
            </w:pPr>
            <w:r>
              <w:rPr>
                <w:b/>
              </w:rPr>
              <w:t>0.1 ppm</w:t>
            </w:r>
          </w:p>
        </w:tc>
      </w:tr>
      <w:tr w:rsidR="002C7AFE" w:rsidRPr="004C23F4" w14:paraId="62F3FBAB" w14:textId="77777777" w:rsidTr="00A2073D">
        <w:trPr>
          <w:cantSplit/>
        </w:trPr>
        <w:tc>
          <w:tcPr>
            <w:tcW w:w="4077" w:type="dxa"/>
          </w:tcPr>
          <w:p w14:paraId="4F1C0D9D"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165" w:type="dxa"/>
          </w:tcPr>
          <w:p w14:paraId="024317C8" w14:textId="77777777" w:rsidR="002C7AFE" w:rsidRPr="00EB3D1B" w:rsidRDefault="0066456C" w:rsidP="008A36CF">
            <w:pPr>
              <w:pStyle w:val="Tablefont"/>
              <w:rPr>
                <w:b/>
              </w:rPr>
            </w:pPr>
            <w:r>
              <w:rPr>
                <w:b/>
              </w:rPr>
              <w:t>—</w:t>
            </w:r>
          </w:p>
        </w:tc>
      </w:tr>
      <w:tr w:rsidR="002C7AFE" w:rsidRPr="004C23F4" w14:paraId="6E607889" w14:textId="77777777" w:rsidTr="00921DE7">
        <w:trPr>
          <w:cantSplit/>
        </w:trPr>
        <w:tc>
          <w:tcPr>
            <w:tcW w:w="4077" w:type="dxa"/>
            <w:vAlign w:val="center"/>
          </w:tcPr>
          <w:p w14:paraId="450AA8D0" w14:textId="77777777" w:rsidR="00F10C97" w:rsidRPr="002C58FF" w:rsidRDefault="00921DE7" w:rsidP="009F04D2">
            <w:pPr>
              <w:pStyle w:val="Tablerowright"/>
            </w:pPr>
            <w:r>
              <w:t>IDLH:</w:t>
            </w:r>
          </w:p>
        </w:tc>
        <w:tc>
          <w:tcPr>
            <w:tcW w:w="5165" w:type="dxa"/>
          </w:tcPr>
          <w:p w14:paraId="44FB0E4D" w14:textId="77777777" w:rsidR="002C7AFE" w:rsidRPr="00EB3D1B" w:rsidRDefault="00ED2CC3" w:rsidP="00017C82">
            <w:pPr>
              <w:pStyle w:val="Tablefont"/>
              <w:rPr>
                <w:b/>
              </w:rPr>
            </w:pPr>
            <w:r>
              <w:rPr>
                <w:b/>
              </w:rPr>
              <w:t>5 ppm</w:t>
            </w:r>
          </w:p>
        </w:tc>
      </w:tr>
      <w:tr w:rsidR="009F04D2" w:rsidRPr="004C23F4" w14:paraId="4B9BA916" w14:textId="77777777" w:rsidTr="00DE6CFD">
        <w:trPr>
          <w:cantSplit/>
        </w:trPr>
        <w:tc>
          <w:tcPr>
            <w:tcW w:w="4077" w:type="dxa"/>
          </w:tcPr>
          <w:p w14:paraId="05FD1470" w14:textId="77777777" w:rsidR="009F04D2" w:rsidRDefault="009F04D2" w:rsidP="00DE6CFD">
            <w:pPr>
              <w:pStyle w:val="Tablerowright"/>
            </w:pPr>
            <w:r>
              <w:t>Sampling and analysis:</w:t>
            </w:r>
          </w:p>
        </w:tc>
        <w:tc>
          <w:tcPr>
            <w:tcW w:w="5165" w:type="dxa"/>
          </w:tcPr>
          <w:p w14:paraId="5905B91E" w14:textId="04C04CA9" w:rsidR="009F04D2" w:rsidRPr="00DE6CFD" w:rsidRDefault="00DE6CFD" w:rsidP="0059465A">
            <w:pPr>
              <w:pStyle w:val="Tablefont"/>
            </w:pPr>
            <w:r w:rsidRPr="00DE6CFD">
              <w:t xml:space="preserve">The recommended value is quantifiable through available sampling and analysis techniques. </w:t>
            </w:r>
          </w:p>
        </w:tc>
      </w:tr>
    </w:tbl>
    <w:p w14:paraId="2DB28E21" w14:textId="77777777" w:rsidR="00CB1CB1" w:rsidRPr="003365A5" w:rsidRDefault="00F10C97" w:rsidP="003365A5">
      <w:pPr>
        <w:pStyle w:val="Heading2"/>
      </w:pPr>
      <w:r>
        <w:t>Recommendation and basis for workplace exposure standard</w:t>
      </w:r>
    </w:p>
    <w:p w14:paraId="3603595D" w14:textId="0D920300" w:rsidR="006639B4" w:rsidRPr="004C23F4" w:rsidRDefault="00955AE2" w:rsidP="000C139A">
      <w:pPr>
        <w:rPr>
          <w:rFonts w:cs="Arial"/>
        </w:rPr>
      </w:pPr>
      <w:r w:rsidRPr="007C56EA">
        <w:rPr>
          <w:rFonts w:cs="Arial"/>
        </w:rPr>
        <w:t>A peak limitation of</w:t>
      </w:r>
      <w:r w:rsidR="0066456C" w:rsidRPr="007C56EA">
        <w:rPr>
          <w:rFonts w:cs="Arial"/>
        </w:rPr>
        <w:t xml:space="preserve"> </w:t>
      </w:r>
      <w:r w:rsidR="00ED2CC3" w:rsidRPr="007C56EA">
        <w:rPr>
          <w:rFonts w:cs="Arial"/>
        </w:rPr>
        <w:t xml:space="preserve">0.1 ppm </w:t>
      </w:r>
      <w:r w:rsidRPr="007C56EA">
        <w:rPr>
          <w:rFonts w:cs="Arial"/>
        </w:rPr>
        <w:t>(0.28 mg/m</w:t>
      </w:r>
      <w:r w:rsidRPr="007C56EA">
        <w:rPr>
          <w:rFonts w:cs="Arial"/>
          <w:vertAlign w:val="superscript"/>
        </w:rPr>
        <w:t>3</w:t>
      </w:r>
      <w:r w:rsidRPr="007C56EA">
        <w:rPr>
          <w:rFonts w:cs="Arial"/>
        </w:rPr>
        <w:t xml:space="preserve">) </w:t>
      </w:r>
      <w:r w:rsidR="007C56EA">
        <w:rPr>
          <w:rFonts w:cs="Arial"/>
        </w:rPr>
        <w:t xml:space="preserve">is </w:t>
      </w:r>
      <w:r w:rsidR="00ED2CC3" w:rsidRPr="007C56EA">
        <w:rPr>
          <w:rFonts w:cs="Arial"/>
        </w:rPr>
        <w:t xml:space="preserve">recommended to protect for </w:t>
      </w:r>
      <w:r w:rsidRPr="007C56EA">
        <w:rPr>
          <w:rFonts w:cs="Arial"/>
        </w:rPr>
        <w:t xml:space="preserve">acute </w:t>
      </w:r>
      <w:r w:rsidR="00ED2CC3" w:rsidRPr="007C56EA">
        <w:rPr>
          <w:rFonts w:cs="Arial"/>
        </w:rPr>
        <w:t>upper respiratory tract irritation</w:t>
      </w:r>
      <w:r w:rsidR="007C56EA">
        <w:rPr>
          <w:rFonts w:cs="Arial"/>
        </w:rPr>
        <w:t xml:space="preserve"> and lung oedema in workers</w:t>
      </w:r>
      <w:r w:rsidR="007C56EA" w:rsidRPr="007C56EA">
        <w:rPr>
          <w:rFonts w:cs="Arial"/>
        </w:rPr>
        <w:t>.</w:t>
      </w:r>
    </w:p>
    <w:p w14:paraId="3988024D" w14:textId="77777777" w:rsidR="00C7155E" w:rsidRPr="004C23F4" w:rsidRDefault="00F10C97" w:rsidP="003365A5">
      <w:pPr>
        <w:pStyle w:val="Heading2"/>
      </w:pPr>
      <w:r>
        <w:t>Discussion and conclusions</w:t>
      </w:r>
    </w:p>
    <w:p w14:paraId="602CBB97" w14:textId="0AB55194" w:rsidR="00F03079" w:rsidRDefault="00955AE2" w:rsidP="006639B4">
      <w:pPr>
        <w:rPr>
          <w:rFonts w:cs="Arial"/>
        </w:rPr>
      </w:pPr>
      <w:r w:rsidRPr="00955AE2">
        <w:rPr>
          <w:rFonts w:cs="Arial"/>
        </w:rPr>
        <w:t>Chlorine dioxide is a g</w:t>
      </w:r>
      <w:r w:rsidR="00473051" w:rsidRPr="00955AE2">
        <w:rPr>
          <w:rFonts w:cs="Arial"/>
        </w:rPr>
        <w:t>as under standard con</w:t>
      </w:r>
      <w:r w:rsidRPr="00955AE2">
        <w:rPr>
          <w:rFonts w:cs="Arial"/>
        </w:rPr>
        <w:t>ditions that hydrolyses readily</w:t>
      </w:r>
      <w:r>
        <w:rPr>
          <w:rFonts w:cs="Arial"/>
        </w:rPr>
        <w:t xml:space="preserve"> in contact with moisture</w:t>
      </w:r>
      <w:r w:rsidRPr="00955AE2">
        <w:rPr>
          <w:rFonts w:cs="Arial"/>
        </w:rPr>
        <w:t xml:space="preserve">. It </w:t>
      </w:r>
      <w:r w:rsidR="00E54A4B">
        <w:rPr>
          <w:rFonts w:cs="Arial"/>
        </w:rPr>
        <w:t>has been used</w:t>
      </w:r>
      <w:r w:rsidR="003D43F8">
        <w:rPr>
          <w:rFonts w:cs="Arial"/>
        </w:rPr>
        <w:t xml:space="preserve"> for disinfection</w:t>
      </w:r>
      <w:r w:rsidR="00473051" w:rsidRPr="00955AE2">
        <w:rPr>
          <w:rFonts w:cs="Arial"/>
        </w:rPr>
        <w:t xml:space="preserve">, </w:t>
      </w:r>
      <w:r w:rsidR="003D43F8">
        <w:rPr>
          <w:rFonts w:cs="Arial"/>
        </w:rPr>
        <w:t>sterilisation</w:t>
      </w:r>
      <w:r w:rsidR="00473051" w:rsidRPr="00955AE2">
        <w:rPr>
          <w:rFonts w:cs="Arial"/>
        </w:rPr>
        <w:t xml:space="preserve">, bleaching </w:t>
      </w:r>
      <w:r w:rsidR="003D43F8">
        <w:rPr>
          <w:rFonts w:cs="Arial"/>
        </w:rPr>
        <w:t xml:space="preserve">and </w:t>
      </w:r>
      <w:r w:rsidR="00473051" w:rsidRPr="00955AE2">
        <w:rPr>
          <w:rFonts w:cs="Arial"/>
        </w:rPr>
        <w:t>chemical manufacture</w:t>
      </w:r>
      <w:r w:rsidRPr="00955AE2">
        <w:rPr>
          <w:rFonts w:cs="Arial"/>
        </w:rPr>
        <w:t>.</w:t>
      </w:r>
      <w:r w:rsidR="003D43F8">
        <w:rPr>
          <w:rFonts w:cs="Arial"/>
        </w:rPr>
        <w:t xml:space="preserve"> </w:t>
      </w:r>
    </w:p>
    <w:p w14:paraId="65507184" w14:textId="537A7149" w:rsidR="00F03079" w:rsidRDefault="007C56EA" w:rsidP="006639B4">
      <w:r>
        <w:rPr>
          <w:rFonts w:cs="Arial"/>
        </w:rPr>
        <w:t xml:space="preserve">Critical effects of exposure are irritation to the respiratory tract and pulmonary dysfunction. </w:t>
      </w:r>
      <w:r w:rsidR="003D43F8">
        <w:rPr>
          <w:rFonts w:cs="Arial"/>
        </w:rPr>
        <w:t xml:space="preserve">A peak limitation is recommended due to the steep dose-response relationship observed in a case study of workers at a </w:t>
      </w:r>
      <w:proofErr w:type="spellStart"/>
      <w:r w:rsidR="003D43F8">
        <w:rPr>
          <w:rFonts w:cs="Arial"/>
        </w:rPr>
        <w:t>sulfite</w:t>
      </w:r>
      <w:proofErr w:type="spellEnd"/>
      <w:r w:rsidR="003D43F8">
        <w:rPr>
          <w:rFonts w:cs="Arial"/>
        </w:rPr>
        <w:t xml:space="preserve"> cellulose plant </w:t>
      </w:r>
      <w:r w:rsidR="00F03079">
        <w:rPr>
          <w:rFonts w:cs="Arial"/>
        </w:rPr>
        <w:t xml:space="preserve">that </w:t>
      </w:r>
      <w:r w:rsidR="003D43F8">
        <w:rPr>
          <w:rFonts w:cs="Arial"/>
        </w:rPr>
        <w:t xml:space="preserve">reported a NOAEL for respiratory tract irritation </w:t>
      </w:r>
      <w:r>
        <w:rPr>
          <w:rFonts w:cs="Arial"/>
        </w:rPr>
        <w:t>of 0.1 ppm</w:t>
      </w:r>
      <w:r w:rsidR="003333FD">
        <w:rPr>
          <w:rFonts w:cs="Arial"/>
        </w:rPr>
        <w:t>.</w:t>
      </w:r>
      <w:r>
        <w:rPr>
          <w:rFonts w:cs="Arial"/>
        </w:rPr>
        <w:t xml:space="preserve"> </w:t>
      </w:r>
      <w:r w:rsidR="003333FD">
        <w:rPr>
          <w:rFonts w:cs="Arial"/>
        </w:rPr>
        <w:t xml:space="preserve">This </w:t>
      </w:r>
      <w:r>
        <w:rPr>
          <w:rFonts w:cs="Arial"/>
        </w:rPr>
        <w:t xml:space="preserve">is supported by </w:t>
      </w:r>
      <w:r w:rsidR="00F03079">
        <w:rPr>
          <w:rFonts w:cs="Arial"/>
        </w:rPr>
        <w:t xml:space="preserve">reports of bronchitis and pulmonary dysfunction in workers exposed to an average of 0.25 ppm and </w:t>
      </w:r>
      <w:r>
        <w:rPr>
          <w:rFonts w:cs="Arial"/>
        </w:rPr>
        <w:t xml:space="preserve">a NOAEL of </w:t>
      </w:r>
      <w:r w:rsidR="00F03079">
        <w:rPr>
          <w:rFonts w:cs="Arial"/>
        </w:rPr>
        <w:t>0.1 ppm for respiratory effects</w:t>
      </w:r>
      <w:r>
        <w:rPr>
          <w:rFonts w:cs="Arial"/>
        </w:rPr>
        <w:t xml:space="preserve"> in sub-chronically exposed rats </w:t>
      </w:r>
      <w:r w:rsidR="00022FC3" w:rsidRPr="00F4346C">
        <w:t>(ACGIH, 2018; DFG, 2000)</w:t>
      </w:r>
      <w:r w:rsidR="003333FD">
        <w:t>.</w:t>
      </w:r>
      <w:r w:rsidR="00022FC3" w:rsidRPr="00F4346C">
        <w:t xml:space="preserve"> </w:t>
      </w:r>
      <w:r w:rsidR="00022FC3">
        <w:t xml:space="preserve"> </w:t>
      </w:r>
    </w:p>
    <w:p w14:paraId="31CD22AF" w14:textId="1B58EAC4" w:rsidR="006639B4" w:rsidRPr="004C23F4" w:rsidRDefault="00022FC3" w:rsidP="006639B4">
      <w:pPr>
        <w:rPr>
          <w:rFonts w:cs="Arial"/>
        </w:rPr>
      </w:pPr>
      <w:r>
        <w:t xml:space="preserve">Most available data of systemic toxicity relate to exposure through oral routes (e.g. in drinking water due to its use in sanitation), which may not translate to inhalational exposures in the workplace (ACGIH, 2018). </w:t>
      </w:r>
      <w:r w:rsidR="002F0741">
        <w:t>A</w:t>
      </w:r>
      <w:r>
        <w:t xml:space="preserve"> detailed examination of the available inhalational data should be prioritised during subsequent reviews.</w:t>
      </w:r>
    </w:p>
    <w:p w14:paraId="25B85DD5" w14:textId="77777777" w:rsidR="004529F0" w:rsidRPr="004C23F4" w:rsidRDefault="004529F0" w:rsidP="004529F0">
      <w:pPr>
        <w:pStyle w:val="Heading2"/>
      </w:pPr>
      <w:r>
        <w:t>Recommendation for notations</w:t>
      </w:r>
    </w:p>
    <w:p w14:paraId="2CF46815" w14:textId="77777777" w:rsidR="0066456C" w:rsidRPr="004C23F4" w:rsidRDefault="0066456C">
      <w:pPr>
        <w:rPr>
          <w:rFonts w:cs="Arial"/>
        </w:rPr>
      </w:pPr>
      <w:r>
        <w:rPr>
          <w:rFonts w:cs="Arial"/>
        </w:rPr>
        <w:t>Not c</w:t>
      </w:r>
      <w:r w:rsidRPr="0017329C">
        <w:rPr>
          <w:rFonts w:cs="Arial"/>
        </w:rPr>
        <w:t>lassified</w:t>
      </w:r>
      <w:r w:rsidRPr="00CE64B9">
        <w:rPr>
          <w:rFonts w:cs="Arial"/>
        </w:rPr>
        <w:t xml:space="preserve"> as a carcinogen according to the Globally Harmonized System of Classification a</w:t>
      </w:r>
      <w:r>
        <w:rPr>
          <w:rFonts w:cs="Arial"/>
        </w:rPr>
        <w:t>nd Labelling of Chemicals (GHS).</w:t>
      </w:r>
    </w:p>
    <w:p w14:paraId="3749ADD8" w14:textId="77777777" w:rsidR="0066456C" w:rsidRDefault="0066456C">
      <w:pPr>
        <w:rPr>
          <w:rFonts w:cs="Arial"/>
        </w:rPr>
      </w:pPr>
      <w:r w:rsidRPr="0066456C">
        <w:rPr>
          <w:rFonts w:cs="Arial"/>
        </w:rPr>
        <w:t>Not classified as a skin</w:t>
      </w:r>
      <w:r w:rsidR="00DC41B3">
        <w:rPr>
          <w:rFonts w:cs="Arial"/>
        </w:rPr>
        <w:t xml:space="preserve"> sensitiser</w:t>
      </w:r>
      <w:r w:rsidRPr="0066456C">
        <w:rPr>
          <w:rFonts w:cs="Arial"/>
        </w:rPr>
        <w:t xml:space="preserve"> or respiratory sensitiser according to the GHS.</w:t>
      </w:r>
    </w:p>
    <w:p w14:paraId="209F047F" w14:textId="3D333499" w:rsidR="0066456C" w:rsidRDefault="0066456C" w:rsidP="0066456C">
      <w:pPr>
        <w:rPr>
          <w:rFonts w:cs="Arial"/>
        </w:rPr>
      </w:pPr>
      <w:r w:rsidRPr="0066456C">
        <w:rPr>
          <w:rFonts w:cs="Arial"/>
        </w:rPr>
        <w:t xml:space="preserve">A skin notation is not </w:t>
      </w:r>
      <w:r w:rsidR="00F03079">
        <w:rPr>
          <w:rFonts w:cs="Arial"/>
        </w:rPr>
        <w:t>recommended</w:t>
      </w:r>
      <w:r w:rsidR="00F03079" w:rsidRPr="0066456C">
        <w:rPr>
          <w:rFonts w:cs="Arial"/>
        </w:rPr>
        <w:t xml:space="preserve"> </w:t>
      </w:r>
      <w:r w:rsidRPr="0066456C">
        <w:rPr>
          <w:rFonts w:cs="Arial"/>
        </w:rPr>
        <w:t>based on the available evidence.</w:t>
      </w:r>
    </w:p>
    <w:p w14:paraId="0F7C4B7D" w14:textId="77777777" w:rsidR="0066456C" w:rsidRPr="004C23F4" w:rsidRDefault="0066456C">
      <w:pPr>
        <w:rPr>
          <w:rFonts w:cs="Arial"/>
        </w:rPr>
        <w:sectPr w:rsidR="0066456C"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2E68BB99"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02F1B779"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57B84E24" w14:textId="77777777" w:rsidTr="00DE26E8">
        <w:trPr>
          <w:gridAfter w:val="1"/>
          <w:wAfter w:w="8" w:type="pct"/>
          <w:cantSplit/>
          <w:trHeight w:val="393"/>
          <w:tblHeader/>
        </w:trPr>
        <w:tc>
          <w:tcPr>
            <w:tcW w:w="4992" w:type="pct"/>
            <w:shd w:val="clear" w:color="auto" w:fill="BFBFBF" w:themeFill="background1" w:themeFillShade="BF"/>
            <w:vAlign w:val="center"/>
          </w:tcPr>
          <w:p w14:paraId="0E185D19"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4BCDF055" w14:textId="77777777" w:rsidTr="00DE26E8">
        <w:trPr>
          <w:cantSplit/>
        </w:trPr>
        <w:tc>
          <w:tcPr>
            <w:tcW w:w="5000" w:type="pct"/>
            <w:gridSpan w:val="2"/>
            <w:shd w:val="clear" w:color="auto" w:fill="F2F2F2" w:themeFill="background1" w:themeFillShade="F2"/>
          </w:tcPr>
          <w:p w14:paraId="549AA58D"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showingPlcHdr/>
                <w:text/>
              </w:sdtPr>
              <w:sdtEndPr/>
              <w:sdtContent>
                <w:r>
                  <w:rPr>
                    <w:rStyle w:val="PlaceholderText"/>
                    <w:i w:val="0"/>
                  </w:rPr>
                  <w:t>Y</w:t>
                </w:r>
                <w:r w:rsidRPr="003365A5">
                  <w:rPr>
                    <w:rStyle w:val="PlaceholderText"/>
                    <w:i w:val="0"/>
                  </w:rPr>
                  <w:t>ear</w:t>
                </w:r>
              </w:sdtContent>
            </w:sdt>
            <w:r w:rsidRPr="003365A5">
              <w:tab/>
            </w:r>
            <w:r>
              <w:tab/>
            </w:r>
            <w:sdt>
              <w:sdtPr>
                <w:alias w:val="SWA WES"/>
                <w:tag w:val="SWA WES"/>
                <w:id w:val="857077202"/>
                <w:placeholder>
                  <w:docPart w:val="81CFEC2FDBC5451289F394E66D92D1A0"/>
                </w:placeholder>
              </w:sdtPr>
              <w:sdtEndPr/>
              <w:sdtContent>
                <w:r w:rsidR="00ED2CC3">
                  <w:t xml:space="preserve">TWA: </w:t>
                </w:r>
                <w:r w:rsidR="00ED2CC3" w:rsidRPr="00ED2CC3">
                  <w:t>0.1</w:t>
                </w:r>
                <w:r w:rsidR="00ED2CC3">
                  <w:t xml:space="preserve"> ppm</w:t>
                </w:r>
                <w:r w:rsidR="00ED2CC3" w:rsidRPr="00ED2CC3">
                  <w:t xml:space="preserve"> </w:t>
                </w:r>
                <w:r w:rsidR="00ED2CC3">
                  <w:t>(</w:t>
                </w:r>
                <w:r w:rsidR="00ED2CC3" w:rsidRPr="00ED2CC3">
                  <w:t>0.28</w:t>
                </w:r>
                <w:r w:rsidR="00ED2CC3">
                  <w:t xml:space="preserve"> mg/m</w:t>
                </w:r>
                <w:r w:rsidR="00ED2CC3">
                  <w:rPr>
                    <w:vertAlign w:val="superscript"/>
                  </w:rPr>
                  <w:t>3</w:t>
                </w:r>
                <w:r w:rsidR="00ED2CC3">
                  <w:t>); STEL:</w:t>
                </w:r>
                <w:r w:rsidR="00B90F2E">
                  <w:t xml:space="preserve"> </w:t>
                </w:r>
                <w:r w:rsidR="00ED2CC3" w:rsidRPr="00ED2CC3">
                  <w:t>0.3</w:t>
                </w:r>
                <w:r w:rsidR="00ED2CC3">
                  <w:t xml:space="preserve"> ppm (</w:t>
                </w:r>
                <w:r w:rsidR="00ED2CC3" w:rsidRPr="00ED2CC3">
                  <w:t>0.83</w:t>
                </w:r>
                <w:r w:rsidR="00ED2CC3">
                  <w:t xml:space="preserve"> mg/m</w:t>
                </w:r>
                <w:r w:rsidR="00ED2CC3">
                  <w:rPr>
                    <w:vertAlign w:val="superscript"/>
                  </w:rPr>
                  <w:t>3</w:t>
                </w:r>
                <w:r w:rsidR="00ED2CC3">
                  <w:t>)</w:t>
                </w:r>
              </w:sdtContent>
            </w:sdt>
          </w:p>
        </w:tc>
      </w:tr>
      <w:tr w:rsidR="00C978F0" w:rsidRPr="00DA352E" w14:paraId="5F684934" w14:textId="77777777" w:rsidTr="00DE26E8">
        <w:trPr>
          <w:gridAfter w:val="1"/>
          <w:wAfter w:w="8" w:type="pct"/>
          <w:cantSplit/>
        </w:trPr>
        <w:tc>
          <w:tcPr>
            <w:tcW w:w="4992" w:type="pct"/>
          </w:tcPr>
          <w:p w14:paraId="3689CC1D" w14:textId="77777777" w:rsidR="00C978F0" w:rsidRPr="00DA352E" w:rsidRDefault="00C978F0" w:rsidP="003365A5">
            <w:pPr>
              <w:pStyle w:val="Tabletextprimarysource"/>
            </w:pPr>
          </w:p>
        </w:tc>
      </w:tr>
      <w:tr w:rsidR="00C978F0" w:rsidRPr="00DA352E" w14:paraId="613C6BCB" w14:textId="77777777" w:rsidTr="00DE26E8">
        <w:trPr>
          <w:gridAfter w:val="1"/>
          <w:wAfter w:w="8" w:type="pct"/>
          <w:cantSplit/>
        </w:trPr>
        <w:tc>
          <w:tcPr>
            <w:tcW w:w="4992" w:type="pct"/>
            <w:shd w:val="clear" w:color="auto" w:fill="F2F2F2" w:themeFill="background1" w:themeFillShade="F2"/>
          </w:tcPr>
          <w:p w14:paraId="3ECD3379" w14:textId="77777777"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0170FB">
                  <w:t>2018</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0170FB">
                  <w:t>TLV-Ceiling: 0.1 ppm (0.28 mg/m</w:t>
                </w:r>
                <w:r w:rsidR="000170FB">
                  <w:rPr>
                    <w:vertAlign w:val="superscript"/>
                  </w:rPr>
                  <w:t>3</w:t>
                </w:r>
                <w:r w:rsidR="000170FB">
                  <w:t>)</w:t>
                </w:r>
              </w:sdtContent>
            </w:sdt>
          </w:p>
        </w:tc>
      </w:tr>
      <w:tr w:rsidR="00C978F0" w:rsidRPr="00DA352E" w14:paraId="6AF71BCB" w14:textId="77777777" w:rsidTr="00F03079">
        <w:trPr>
          <w:gridAfter w:val="1"/>
          <w:wAfter w:w="8" w:type="pct"/>
        </w:trPr>
        <w:tc>
          <w:tcPr>
            <w:tcW w:w="4992" w:type="pct"/>
          </w:tcPr>
          <w:p w14:paraId="541224E8" w14:textId="77777777" w:rsidR="00CB5862" w:rsidRDefault="000170FB" w:rsidP="003365A5">
            <w:pPr>
              <w:pStyle w:val="Tabletextprimarysource"/>
            </w:pPr>
            <w:r>
              <w:t>TLV-Ceiling intended to protect for respiratory tract irritation and lung oedema</w:t>
            </w:r>
            <w:r w:rsidR="00CB5862">
              <w:t>.</w:t>
            </w:r>
          </w:p>
          <w:p w14:paraId="66807780" w14:textId="5C647204" w:rsidR="00C545C5" w:rsidRDefault="00FE20A9" w:rsidP="003365A5">
            <w:pPr>
              <w:pStyle w:val="Tabletextprimarysource"/>
            </w:pPr>
            <w:r>
              <w:t>Human data indicates</w:t>
            </w:r>
            <w:r w:rsidR="000170FB">
              <w:t xml:space="preserve"> a steep dose-response relationship and supports </w:t>
            </w:r>
            <w:r>
              <w:t>recommendation of a</w:t>
            </w:r>
            <w:r w:rsidR="000170FB">
              <w:t xml:space="preserve"> TLV</w:t>
            </w:r>
            <w:r w:rsidR="00BD6AA0">
              <w:noBreakHyphen/>
            </w:r>
            <w:r w:rsidR="000170FB">
              <w:t>Ceiling. Insufficient data to recommend notations for carcinogenicity, skin absorption or sensitisation</w:t>
            </w:r>
            <w:r w:rsidR="00B90F2E">
              <w:t>.</w:t>
            </w:r>
          </w:p>
          <w:p w14:paraId="2EAADE9D" w14:textId="77777777" w:rsidR="000170FB" w:rsidRDefault="000170FB" w:rsidP="003365A5">
            <w:pPr>
              <w:pStyle w:val="Tabletextprimarysource"/>
            </w:pPr>
            <w:r>
              <w:t>Summary of data:</w:t>
            </w:r>
          </w:p>
          <w:p w14:paraId="6C2AFB55" w14:textId="1476F220" w:rsidR="000170FB" w:rsidRDefault="00473051" w:rsidP="003365A5">
            <w:pPr>
              <w:pStyle w:val="Tabletextprimarysource"/>
            </w:pPr>
            <w:r>
              <w:t>Toxicity from oral administration not considered relevant to workplace exposures. Assessed literature refers primarily to inhalational routes. Skin contact is a minor exposure route and not considered in the development of the TLV-Ceiling.</w:t>
            </w:r>
            <w:r w:rsidR="00A827F9">
              <w:t xml:space="preserve"> No human or</w:t>
            </w:r>
            <w:r w:rsidR="00D62957">
              <w:t xml:space="preserve"> animal carcinogenicity studies available</w:t>
            </w:r>
            <w:r w:rsidR="00F17B2B">
              <w:t>.</w:t>
            </w:r>
          </w:p>
          <w:p w14:paraId="50ACA88C" w14:textId="3709A8B9" w:rsidR="00C545C5" w:rsidRDefault="00C545C5" w:rsidP="003365A5">
            <w:pPr>
              <w:pStyle w:val="Tabletextprimarysource"/>
            </w:pPr>
          </w:p>
          <w:p w14:paraId="47F8E4F6" w14:textId="77777777" w:rsidR="00473051" w:rsidRDefault="00473051" w:rsidP="003365A5">
            <w:pPr>
              <w:pStyle w:val="Tabletextprimarysource"/>
            </w:pPr>
            <w:r>
              <w:t>Human data:</w:t>
            </w:r>
          </w:p>
          <w:p w14:paraId="32749F96" w14:textId="42DC0A00" w:rsidR="00B64974" w:rsidRDefault="00B64974" w:rsidP="00F03079">
            <w:pPr>
              <w:pStyle w:val="Tabletextprimarysource"/>
              <w:numPr>
                <w:ilvl w:val="0"/>
                <w:numId w:val="1"/>
              </w:numPr>
              <w:spacing w:before="80" w:after="120"/>
              <w:ind w:left="726" w:hanging="357"/>
              <w:contextualSpacing/>
            </w:pPr>
            <w:r>
              <w:t>Irritation at 5 ppm and lethal at 19 ppm (unspecified duration)</w:t>
            </w:r>
          </w:p>
          <w:p w14:paraId="7180E08B" w14:textId="1D15F21D" w:rsidR="00F84A04" w:rsidRDefault="001755F1" w:rsidP="00F03079">
            <w:pPr>
              <w:pStyle w:val="Tabletextprimarysource"/>
              <w:numPr>
                <w:ilvl w:val="0"/>
                <w:numId w:val="1"/>
              </w:numPr>
              <w:spacing w:before="80" w:after="120"/>
              <w:ind w:left="726" w:hanging="357"/>
              <w:contextualSpacing/>
            </w:pPr>
            <w:r>
              <w:t xml:space="preserve">Case study of </w:t>
            </w:r>
            <w:proofErr w:type="spellStart"/>
            <w:r>
              <w:t>sulfite</w:t>
            </w:r>
            <w:proofErr w:type="spellEnd"/>
            <w:r>
              <w:t xml:space="preserve"> cellulose plant workers</w:t>
            </w:r>
            <w:r w:rsidR="00B64974">
              <w:t xml:space="preserve"> reported</w:t>
            </w:r>
            <w:r>
              <w:t xml:space="preserve"> typical exposures </w:t>
            </w:r>
            <w:r w:rsidR="00B64974">
              <w:t>to</w:t>
            </w:r>
            <w:r>
              <w:t xml:space="preserve"> ClO</w:t>
            </w:r>
            <w:r>
              <w:rPr>
                <w:vertAlign w:val="subscript"/>
              </w:rPr>
              <w:t>2</w:t>
            </w:r>
            <w:r>
              <w:t xml:space="preserve"> </w:t>
            </w:r>
            <w:r w:rsidR="00B64974">
              <w:t>of</w:t>
            </w:r>
            <w:r>
              <w:t xml:space="preserve"> </w:t>
            </w:r>
            <w:r w:rsidR="00F84A04">
              <w:t>&lt;</w:t>
            </w:r>
            <w:r>
              <w:t>0.1</w:t>
            </w:r>
            <w:r w:rsidR="00F84A04">
              <w:t> </w:t>
            </w:r>
            <w:r>
              <w:t>ppm with co-exposures to Cl</w:t>
            </w:r>
            <w:r>
              <w:rPr>
                <w:vertAlign w:val="subscript"/>
              </w:rPr>
              <w:t>2</w:t>
            </w:r>
            <w:r>
              <w:t xml:space="preserve"> </w:t>
            </w:r>
            <w:r w:rsidR="00B64974">
              <w:t>of</w:t>
            </w:r>
            <w:r>
              <w:t xml:space="preserve"> </w:t>
            </w:r>
            <w:r w:rsidR="00F84A04">
              <w:rPr>
                <w:rFonts w:cs="Arial"/>
              </w:rPr>
              <w:t>≈</w:t>
            </w:r>
            <w:r>
              <w:t>1 ppm</w:t>
            </w:r>
            <w:r w:rsidR="00465B5D">
              <w:t xml:space="preserve"> over 5 yr</w:t>
            </w:r>
            <w:r w:rsidR="00F84A04">
              <w:t>:</w:t>
            </w:r>
          </w:p>
          <w:p w14:paraId="27EAC939" w14:textId="1DB97321" w:rsidR="00F84A04" w:rsidRDefault="00F84A04" w:rsidP="00F03079">
            <w:pPr>
              <w:pStyle w:val="Tabletextprimarysource"/>
              <w:numPr>
                <w:ilvl w:val="1"/>
                <w:numId w:val="1"/>
              </w:numPr>
              <w:spacing w:before="80" w:after="120"/>
              <w:contextualSpacing/>
            </w:pPr>
            <w:r>
              <w:t xml:space="preserve">eye and respiratory tract irritation and resulting bronchitis reported </w:t>
            </w:r>
            <w:r w:rsidR="00B64974">
              <w:t>in 7/12 workers</w:t>
            </w:r>
          </w:p>
          <w:p w14:paraId="3D4C3021" w14:textId="224C3073" w:rsidR="00F84A04" w:rsidRDefault="00F03079" w:rsidP="00F03079">
            <w:pPr>
              <w:pStyle w:val="Tabletextprimarysource"/>
              <w:numPr>
                <w:ilvl w:val="1"/>
                <w:numId w:val="1"/>
              </w:numPr>
              <w:spacing w:before="80" w:after="120"/>
              <w:contextualSpacing/>
            </w:pPr>
            <w:r>
              <w:t>GIT</w:t>
            </w:r>
            <w:r w:rsidR="001755F1">
              <w:t xml:space="preserve"> irritation</w:t>
            </w:r>
            <w:r w:rsidR="00B64974">
              <w:t xml:space="preserve"> also</w:t>
            </w:r>
            <w:r w:rsidR="001755F1">
              <w:t xml:space="preserve"> </w:t>
            </w:r>
            <w:r w:rsidR="00F84A04">
              <w:t xml:space="preserve">reported </w:t>
            </w:r>
            <w:r w:rsidR="001755F1">
              <w:t xml:space="preserve"> </w:t>
            </w:r>
          </w:p>
          <w:p w14:paraId="35F9FF87" w14:textId="6DF6146E" w:rsidR="00F84A04" w:rsidRPr="00F03079" w:rsidRDefault="00F84A04" w:rsidP="00F03079">
            <w:pPr>
              <w:pStyle w:val="Tabletextprimarysource"/>
              <w:numPr>
                <w:ilvl w:val="1"/>
                <w:numId w:val="1"/>
              </w:numPr>
              <w:spacing w:before="80" w:after="120"/>
              <w:contextualSpacing/>
            </w:pPr>
            <w:r>
              <w:t>all e</w:t>
            </w:r>
            <w:r w:rsidR="001755F1">
              <w:t xml:space="preserve">ffects attributed to </w:t>
            </w:r>
            <w:r>
              <w:t>short exposures &gt;</w:t>
            </w:r>
            <w:r w:rsidR="001755F1">
              <w:t>0.1 ppm</w:t>
            </w:r>
            <w:r>
              <w:t xml:space="preserve"> and</w:t>
            </w:r>
            <w:r w:rsidR="001755F1">
              <w:t xml:space="preserve"> in the presence of Cl</w:t>
            </w:r>
            <w:r w:rsidR="001755F1">
              <w:rPr>
                <w:vertAlign w:val="subscript"/>
              </w:rPr>
              <w:t>2</w:t>
            </w:r>
          </w:p>
          <w:p w14:paraId="49C73B00" w14:textId="147AAE42" w:rsidR="00F84A04" w:rsidRDefault="00F84A04" w:rsidP="00F03079">
            <w:pPr>
              <w:pStyle w:val="Tabletextprimarysource"/>
              <w:numPr>
                <w:ilvl w:val="1"/>
                <w:numId w:val="1"/>
              </w:numPr>
              <w:spacing w:before="80" w:after="120"/>
              <w:contextualSpacing/>
            </w:pPr>
            <w:r>
              <w:t xml:space="preserve">no effects attributed to exposure at </w:t>
            </w:r>
            <w:r>
              <w:rPr>
                <w:rFonts w:cs="Arial"/>
              </w:rPr>
              <w:t>≤</w:t>
            </w:r>
            <w:r>
              <w:t>0.1 ppm</w:t>
            </w:r>
          </w:p>
          <w:p w14:paraId="45F44017" w14:textId="31673138" w:rsidR="00F03079" w:rsidRDefault="00FE20A9" w:rsidP="00F03079">
            <w:pPr>
              <w:pStyle w:val="Tabletextprimarysource"/>
              <w:numPr>
                <w:ilvl w:val="0"/>
                <w:numId w:val="1"/>
              </w:numPr>
              <w:spacing w:before="80" w:after="120"/>
              <w:ind w:left="726" w:hanging="357"/>
              <w:contextualSpacing/>
            </w:pPr>
            <w:r>
              <w:t>Exposures at 0–0.2 ppm associated with c</w:t>
            </w:r>
            <w:r w:rsidR="00F17B2B">
              <w:t xml:space="preserve">hronic </w:t>
            </w:r>
            <w:proofErr w:type="gramStart"/>
            <w:r w:rsidR="00F17B2B">
              <w:t xml:space="preserve">bronchitis </w:t>
            </w:r>
            <w:r>
              <w:t xml:space="preserve"> </w:t>
            </w:r>
            <w:r w:rsidR="00F17B2B">
              <w:t>in</w:t>
            </w:r>
            <w:proofErr w:type="gramEnd"/>
            <w:r w:rsidR="00F17B2B">
              <w:t xml:space="preserve"> mill workers</w:t>
            </w:r>
            <w:r>
              <w:t xml:space="preserve"> </w:t>
            </w:r>
          </w:p>
          <w:p w14:paraId="0E777CC0" w14:textId="72325D0B" w:rsidR="00F17B2B" w:rsidRDefault="00FE20A9" w:rsidP="00F03079">
            <w:pPr>
              <w:pStyle w:val="Tabletextprimarysource"/>
              <w:numPr>
                <w:ilvl w:val="1"/>
                <w:numId w:val="1"/>
              </w:numPr>
              <w:spacing w:before="80" w:after="120"/>
              <w:contextualSpacing/>
            </w:pPr>
            <w:r>
              <w:t>also exposed</w:t>
            </w:r>
            <w:r w:rsidR="00F17B2B">
              <w:t xml:space="preserve"> to </w:t>
            </w:r>
            <w:r w:rsidR="00F17B2B" w:rsidRPr="00F17B2B">
              <w:t>SO</w:t>
            </w:r>
            <w:r w:rsidR="00F17B2B" w:rsidRPr="00F17B2B">
              <w:rPr>
                <w:vertAlign w:val="subscript"/>
              </w:rPr>
              <w:t>2</w:t>
            </w:r>
            <w:r>
              <w:t xml:space="preserve"> </w:t>
            </w:r>
            <w:r w:rsidR="00F17B2B">
              <w:t xml:space="preserve">and </w:t>
            </w:r>
            <w:r w:rsidR="00F17B2B" w:rsidRPr="00F17B2B">
              <w:t>Cl</w:t>
            </w:r>
            <w:r w:rsidR="00F17B2B" w:rsidRPr="00F17B2B">
              <w:rPr>
                <w:vertAlign w:val="subscript"/>
              </w:rPr>
              <w:t>2</w:t>
            </w:r>
            <w:r w:rsidR="00F17B2B">
              <w:t xml:space="preserve"> at unknown concentrations</w:t>
            </w:r>
          </w:p>
          <w:p w14:paraId="66CB0F12" w14:textId="043F4DE2" w:rsidR="005362B1" w:rsidRDefault="00FE20A9" w:rsidP="005362B1">
            <w:pPr>
              <w:pStyle w:val="Tabletextprimarysource"/>
              <w:numPr>
                <w:ilvl w:val="0"/>
                <w:numId w:val="1"/>
              </w:numPr>
              <w:spacing w:before="80" w:after="120"/>
              <w:ind w:left="726" w:hanging="357"/>
              <w:contextualSpacing/>
            </w:pPr>
            <w:proofErr w:type="gramStart"/>
            <w:r>
              <w:t>A number of</w:t>
            </w:r>
            <w:proofErr w:type="gramEnd"/>
            <w:r>
              <w:t xml:space="preserve"> </w:t>
            </w:r>
            <w:r w:rsidR="00F17B2B">
              <w:t xml:space="preserve">case studies </w:t>
            </w:r>
            <w:r w:rsidR="00906543">
              <w:t xml:space="preserve">suggest </w:t>
            </w:r>
            <w:r w:rsidR="005362B1">
              <w:t>assessment of adverse effects are confounded by the absence of exposure levels or by mixed exposures to O</w:t>
            </w:r>
            <w:r w:rsidR="005362B1" w:rsidRPr="005362B1">
              <w:rPr>
                <w:vertAlign w:val="subscript"/>
              </w:rPr>
              <w:t>3</w:t>
            </w:r>
            <w:r w:rsidR="005362B1">
              <w:t>, SO</w:t>
            </w:r>
            <w:r w:rsidR="005362B1" w:rsidRPr="005362B1">
              <w:rPr>
                <w:vertAlign w:val="subscript"/>
              </w:rPr>
              <w:t>2</w:t>
            </w:r>
            <w:r w:rsidR="005362B1">
              <w:t xml:space="preserve"> and Cl</w:t>
            </w:r>
            <w:r w:rsidR="005362B1" w:rsidRPr="005362B1">
              <w:rPr>
                <w:vertAlign w:val="subscript"/>
              </w:rPr>
              <w:t>2</w:t>
            </w:r>
            <w:r w:rsidR="005362B1">
              <w:t>.</w:t>
            </w:r>
          </w:p>
          <w:p w14:paraId="50D4553A" w14:textId="77777777" w:rsidR="00C545C5" w:rsidRPr="00B64974" w:rsidRDefault="00C545C5" w:rsidP="005362B1">
            <w:pPr>
              <w:pStyle w:val="Tabletextprimarysource"/>
            </w:pPr>
          </w:p>
          <w:p w14:paraId="39811C56" w14:textId="77777777" w:rsidR="00A827F9" w:rsidRDefault="00A827F9" w:rsidP="003365A5">
            <w:pPr>
              <w:pStyle w:val="Tabletextprimarysource"/>
            </w:pPr>
            <w:r>
              <w:t>Animal data:</w:t>
            </w:r>
          </w:p>
          <w:p w14:paraId="292E61AE" w14:textId="62FF53DF" w:rsidR="00FE20A9" w:rsidRDefault="00FE20A9" w:rsidP="00FE20A9">
            <w:pPr>
              <w:pStyle w:val="Tabletextprimarysource"/>
              <w:numPr>
                <w:ilvl w:val="0"/>
                <w:numId w:val="1"/>
              </w:numPr>
              <w:spacing w:before="80" w:after="120"/>
              <w:ind w:left="726" w:hanging="357"/>
              <w:contextualSpacing/>
            </w:pPr>
            <w:r>
              <w:t>Several sub</w:t>
            </w:r>
            <w:r w:rsidR="009A20DB">
              <w:t>-</w:t>
            </w:r>
            <w:r>
              <w:t xml:space="preserve">chronic repeat exposure studies (13 d to 10 </w:t>
            </w:r>
            <w:proofErr w:type="spellStart"/>
            <w:r>
              <w:t>wk</w:t>
            </w:r>
            <w:proofErr w:type="spellEnd"/>
            <w:r>
              <w:t>) have been carried out with rats:</w:t>
            </w:r>
          </w:p>
          <w:p w14:paraId="73662540" w14:textId="45C434C7" w:rsidR="00FE20A9" w:rsidRDefault="00F03079" w:rsidP="00FE20A9">
            <w:pPr>
              <w:pStyle w:val="Tabletextprimarysource"/>
              <w:numPr>
                <w:ilvl w:val="0"/>
                <w:numId w:val="3"/>
              </w:numPr>
              <w:ind w:left="1021" w:hanging="283"/>
            </w:pPr>
            <w:r>
              <w:t>r</w:t>
            </w:r>
            <w:r w:rsidR="00FE20A9">
              <w:t xml:space="preserve">espiratory distress, decreased </w:t>
            </w:r>
            <w:r>
              <w:t>b</w:t>
            </w:r>
            <w:r w:rsidR="009A20DB">
              <w:t xml:space="preserve">ody </w:t>
            </w:r>
            <w:r>
              <w:t>w</w:t>
            </w:r>
            <w:r w:rsidR="009A20DB">
              <w:t>eight</w:t>
            </w:r>
            <w:r w:rsidR="00FE20A9">
              <w:t xml:space="preserve"> and bronchopneumonia reported at decreasing weekly doses from 3</w:t>
            </w:r>
            <w:r w:rsidR="009A20DB">
              <w:t>,</w:t>
            </w:r>
            <w:r w:rsidR="00FE20A9">
              <w:t>400–800 ppm (3 min/d, 1 d/</w:t>
            </w:r>
            <w:proofErr w:type="spellStart"/>
            <w:r w:rsidR="00FE20A9">
              <w:t>wk</w:t>
            </w:r>
            <w:proofErr w:type="spellEnd"/>
            <w:r w:rsidR="00FE20A9">
              <w:t xml:space="preserve">, 3 </w:t>
            </w:r>
            <w:proofErr w:type="spellStart"/>
            <w:r w:rsidR="00FE20A9">
              <w:t>wk</w:t>
            </w:r>
            <w:proofErr w:type="spellEnd"/>
            <w:r w:rsidR="00FE20A9">
              <w:t>)</w:t>
            </w:r>
          </w:p>
          <w:p w14:paraId="30B00EAC" w14:textId="701264B2" w:rsidR="00FE20A9" w:rsidRDefault="00F03079" w:rsidP="00FE20A9">
            <w:pPr>
              <w:pStyle w:val="Tabletextprimarysource"/>
              <w:numPr>
                <w:ilvl w:val="0"/>
                <w:numId w:val="3"/>
              </w:numPr>
              <w:ind w:left="1021" w:hanging="283"/>
            </w:pPr>
            <w:r>
              <w:t>r</w:t>
            </w:r>
            <w:r w:rsidR="00FE20A9">
              <w:t>hinorrhoea, rapid shallow breathing and weight loss in exposed animals at 10 ppm (4 h/d, 9/13 d); respiratory infection and acute renal and hepatic congestion observed</w:t>
            </w:r>
          </w:p>
          <w:p w14:paraId="6D2FB13A" w14:textId="76BCC9B9" w:rsidR="00FE20A9" w:rsidRDefault="00FE20A9" w:rsidP="00FE20A9">
            <w:pPr>
              <w:pStyle w:val="Tabletextprimarysource"/>
              <w:numPr>
                <w:ilvl w:val="0"/>
                <w:numId w:val="3"/>
              </w:numPr>
              <w:ind w:left="1021" w:hanging="283"/>
            </w:pPr>
            <w:r>
              <w:t xml:space="preserve">NOAEL: 0.1 ppm for </w:t>
            </w:r>
            <w:r w:rsidR="009A20DB">
              <w:t xml:space="preserve">these </w:t>
            </w:r>
            <w:r>
              <w:t xml:space="preserve">effects (5 h/d, 10 </w:t>
            </w:r>
            <w:proofErr w:type="spellStart"/>
            <w:r>
              <w:t>wk</w:t>
            </w:r>
            <w:proofErr w:type="spellEnd"/>
            <w:r>
              <w:t>)</w:t>
            </w:r>
          </w:p>
          <w:p w14:paraId="59AEE89E" w14:textId="77777777" w:rsidR="00FE20A9" w:rsidRDefault="00FE20A9" w:rsidP="00FE20A9">
            <w:pPr>
              <w:pStyle w:val="Tabletextprimarysource"/>
              <w:numPr>
                <w:ilvl w:val="0"/>
                <w:numId w:val="3"/>
              </w:numPr>
              <w:ind w:left="1021" w:hanging="283"/>
            </w:pPr>
            <w:r>
              <w:t>LOAEL: 2.5 ppm for adverse lung effects (7 h/d, 30 d); same LOAEL in rabbits (4 h/d, 45 d)</w:t>
            </w:r>
          </w:p>
          <w:p w14:paraId="261EDAA1" w14:textId="77777777" w:rsidR="00FE20A9" w:rsidRDefault="00FE20A9" w:rsidP="00FE20A9">
            <w:pPr>
              <w:pStyle w:val="Tabletextprimarysource"/>
              <w:numPr>
                <w:ilvl w:val="0"/>
                <w:numId w:val="3"/>
              </w:numPr>
              <w:ind w:left="1021" w:hanging="283"/>
            </w:pPr>
            <w:r>
              <w:t xml:space="preserve">NOAEL: 5 ppm for alveolar lesions (15 min/d, 2 or 4 times/d, 4 </w:t>
            </w:r>
            <w:proofErr w:type="spellStart"/>
            <w:r>
              <w:t>wk</w:t>
            </w:r>
            <w:proofErr w:type="spellEnd"/>
            <w:r>
              <w:t>); LOAEL of 10 ppm, alveolar damage in 15 ppm exposure group was reversible within 15 d following exposure</w:t>
            </w:r>
          </w:p>
          <w:p w14:paraId="2928D7A0" w14:textId="7C09102E" w:rsidR="00473051" w:rsidRDefault="00473051" w:rsidP="0032316F">
            <w:pPr>
              <w:pStyle w:val="Tabletextprimarysource"/>
              <w:numPr>
                <w:ilvl w:val="0"/>
                <w:numId w:val="1"/>
              </w:numPr>
              <w:spacing w:before="80" w:after="120"/>
              <w:ind w:left="726" w:hanging="357"/>
              <w:contextualSpacing/>
            </w:pPr>
            <w:r>
              <w:t>Lowest lethal concentration (LC</w:t>
            </w:r>
            <w:r>
              <w:rPr>
                <w:vertAlign w:val="subscript"/>
              </w:rPr>
              <w:t>LO</w:t>
            </w:r>
            <w:r>
              <w:t xml:space="preserve">): </w:t>
            </w:r>
            <w:r w:rsidR="00527E01">
              <w:t>500 ppm (rats, 15 min)</w:t>
            </w:r>
          </w:p>
          <w:p w14:paraId="1EE4DA70" w14:textId="77777777" w:rsidR="00527E01" w:rsidRDefault="00527E01" w:rsidP="0032316F">
            <w:pPr>
              <w:pStyle w:val="Tabletextprimarysource"/>
              <w:numPr>
                <w:ilvl w:val="0"/>
                <w:numId w:val="1"/>
              </w:numPr>
              <w:spacing w:before="80" w:after="120"/>
              <w:ind w:left="726" w:hanging="357"/>
              <w:contextualSpacing/>
            </w:pPr>
            <w:r>
              <w:t>LD</w:t>
            </w:r>
            <w:r>
              <w:rPr>
                <w:vertAlign w:val="subscript"/>
              </w:rPr>
              <w:t>50</w:t>
            </w:r>
            <w:r>
              <w:t>: 39-113 mg/kg (rats</w:t>
            </w:r>
            <w:r w:rsidR="006A5D6E">
              <w:t>, oral</w:t>
            </w:r>
            <w:r>
              <w:t>)</w:t>
            </w:r>
          </w:p>
          <w:p w14:paraId="4C9CAED6" w14:textId="77777777" w:rsidR="00527E01" w:rsidRDefault="00527E01" w:rsidP="0032316F">
            <w:pPr>
              <w:pStyle w:val="Tabletextprimarysource"/>
              <w:numPr>
                <w:ilvl w:val="0"/>
                <w:numId w:val="1"/>
              </w:numPr>
              <w:spacing w:before="80" w:after="120"/>
              <w:ind w:left="726" w:hanging="357"/>
              <w:contextualSpacing/>
            </w:pPr>
            <w:r>
              <w:t>Hyperplasia in mice exposed (full body) to aqueous solutions at 300</w:t>
            </w:r>
            <w:r w:rsidR="00B90F2E">
              <w:t>–</w:t>
            </w:r>
            <w:r>
              <w:t>1000 mg/L over 1</w:t>
            </w:r>
            <w:r w:rsidR="00B90F2E">
              <w:t>–</w:t>
            </w:r>
            <w:r>
              <w:t>4 d</w:t>
            </w:r>
          </w:p>
          <w:p w14:paraId="31EC31C4" w14:textId="77777777" w:rsidR="00F74A67" w:rsidRDefault="00F74A67" w:rsidP="0032316F">
            <w:pPr>
              <w:pStyle w:val="Tabletextprimarysource"/>
              <w:numPr>
                <w:ilvl w:val="0"/>
                <w:numId w:val="1"/>
              </w:numPr>
              <w:spacing w:before="80" w:after="120"/>
              <w:ind w:left="726" w:hanging="357"/>
              <w:contextualSpacing/>
            </w:pPr>
            <w:r>
              <w:t>Pulmonary oedema, epistaxis, circulatory engorgement, and ocular discharge at 260 ppm in single dose inhalation study (rats, 2 h); 1 of 4 rats died</w:t>
            </w:r>
          </w:p>
          <w:p w14:paraId="4D6B90C2" w14:textId="5153C4FA" w:rsidR="00D62957" w:rsidRDefault="00D62957" w:rsidP="0032316F">
            <w:pPr>
              <w:pStyle w:val="Tabletextprimarysource"/>
              <w:numPr>
                <w:ilvl w:val="0"/>
                <w:numId w:val="1"/>
              </w:numPr>
              <w:spacing w:before="80" w:after="120"/>
              <w:ind w:left="726" w:hanging="357"/>
              <w:contextualSpacing/>
            </w:pPr>
            <w:r>
              <w:lastRenderedPageBreak/>
              <w:t xml:space="preserve">Weakly mutagenic based on available genotoxicity data; induction of micronuclei in mice following intraperitoneal injection, positive result in </w:t>
            </w:r>
            <w:proofErr w:type="gramStart"/>
            <w:r>
              <w:t>Ames</w:t>
            </w:r>
            <w:proofErr w:type="gramEnd"/>
            <w:r>
              <w:t xml:space="preserve"> test, negative in unspecified chromosomal test</w:t>
            </w:r>
          </w:p>
          <w:p w14:paraId="329D5365" w14:textId="77777777" w:rsidR="00527E01" w:rsidRDefault="00D62957" w:rsidP="0032316F">
            <w:pPr>
              <w:pStyle w:val="Tabletextprimarysource"/>
              <w:numPr>
                <w:ilvl w:val="0"/>
                <w:numId w:val="1"/>
              </w:numPr>
              <w:spacing w:before="80" w:after="120"/>
              <w:ind w:left="726" w:hanging="357"/>
              <w:contextualSpacing/>
            </w:pPr>
            <w:r>
              <w:t xml:space="preserve">Lowest effective dose of 0.2 ppm for genotoxic response in human leukocytes, 5 ppm in </w:t>
            </w:r>
            <w:r w:rsidR="001755F1">
              <w:rPr>
                <w:i/>
              </w:rPr>
              <w:t>Saccharomyces cerevisiae</w:t>
            </w:r>
            <w:r w:rsidR="001755F1">
              <w:t>.</w:t>
            </w:r>
          </w:p>
          <w:p w14:paraId="58951944" w14:textId="77777777" w:rsidR="0023248D" w:rsidRPr="001755F1" w:rsidRDefault="0023248D" w:rsidP="00F03079">
            <w:pPr>
              <w:pStyle w:val="Tabletextprimarysource"/>
              <w:ind w:left="306"/>
            </w:pPr>
          </w:p>
        </w:tc>
      </w:tr>
      <w:tr w:rsidR="00C978F0" w:rsidRPr="00DA352E" w14:paraId="7A1A4179" w14:textId="77777777" w:rsidTr="00DE26E8">
        <w:trPr>
          <w:gridAfter w:val="1"/>
          <w:wAfter w:w="8" w:type="pct"/>
          <w:cantSplit/>
        </w:trPr>
        <w:tc>
          <w:tcPr>
            <w:tcW w:w="4992" w:type="pct"/>
            <w:shd w:val="clear" w:color="auto" w:fill="F2F2F2" w:themeFill="background1" w:themeFillShade="F2"/>
          </w:tcPr>
          <w:p w14:paraId="24F22FA3" w14:textId="77777777"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465B5D">
                  <w:t>2000</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4B4782">
                  <w:t xml:space="preserve">MAK: </w:t>
                </w:r>
                <w:r w:rsidR="00465B5D">
                  <w:t>0.1 pm (0.28 mg/m</w:t>
                </w:r>
                <w:r w:rsidR="00465B5D">
                  <w:rPr>
                    <w:vertAlign w:val="superscript"/>
                  </w:rPr>
                  <w:t>3</w:t>
                </w:r>
                <w:r w:rsidR="00465B5D">
                  <w:t>)</w:t>
                </w:r>
              </w:sdtContent>
            </w:sdt>
          </w:p>
        </w:tc>
      </w:tr>
      <w:tr w:rsidR="00C978F0" w:rsidRPr="00DA352E" w14:paraId="12AE70E0" w14:textId="77777777" w:rsidTr="00DE26E8">
        <w:trPr>
          <w:gridAfter w:val="1"/>
          <w:wAfter w:w="8" w:type="pct"/>
          <w:cantSplit/>
        </w:trPr>
        <w:tc>
          <w:tcPr>
            <w:tcW w:w="4992" w:type="pct"/>
          </w:tcPr>
          <w:p w14:paraId="5C4EC72D" w14:textId="77777777" w:rsidR="00E0496C" w:rsidRDefault="00E0496C" w:rsidP="003365A5">
            <w:pPr>
              <w:pStyle w:val="Tabletextprimarysource"/>
            </w:pPr>
            <w:r>
              <w:t>Summary of additional information:</w:t>
            </w:r>
          </w:p>
          <w:p w14:paraId="553BEBE1" w14:textId="3AB6F4B8" w:rsidR="00E0496C" w:rsidRDefault="00E0496C" w:rsidP="003365A5">
            <w:pPr>
              <w:pStyle w:val="Tabletextprimarysource"/>
            </w:pPr>
            <w:r>
              <w:t xml:space="preserve">MAK derived from NOAEL </w:t>
            </w:r>
            <w:r w:rsidR="003D43F8">
              <w:t xml:space="preserve">of 0.1 ppm for pulmonary effects </w:t>
            </w:r>
            <w:r>
              <w:t>in rats as reported in ACGIH, 2018 and maintained provisionally.</w:t>
            </w:r>
            <w:r w:rsidR="00573D34">
              <w:t xml:space="preserve"> No data presented on allergenic effects.</w:t>
            </w:r>
          </w:p>
          <w:p w14:paraId="17D6F9FB" w14:textId="77777777" w:rsidR="00C545C5" w:rsidRDefault="00C545C5" w:rsidP="003365A5">
            <w:pPr>
              <w:pStyle w:val="Tabletextprimarysource"/>
            </w:pPr>
          </w:p>
          <w:p w14:paraId="76D4EB1B" w14:textId="77777777" w:rsidR="00E0496C" w:rsidRDefault="00E0496C" w:rsidP="003365A5">
            <w:pPr>
              <w:pStyle w:val="Tabletextprimarysource"/>
            </w:pPr>
            <w:r>
              <w:t>Human data:</w:t>
            </w:r>
          </w:p>
          <w:p w14:paraId="614C58E0" w14:textId="7B1AB82B" w:rsidR="00E0496C" w:rsidRDefault="00E0496C" w:rsidP="00F03079">
            <w:pPr>
              <w:pStyle w:val="Tabletextprimarysource"/>
              <w:numPr>
                <w:ilvl w:val="0"/>
                <w:numId w:val="1"/>
              </w:numPr>
              <w:spacing w:before="80" w:after="120"/>
              <w:ind w:left="726" w:hanging="357"/>
              <w:contextualSpacing/>
            </w:pPr>
            <w:r>
              <w:t>Obstructive pulmonary dysfunction and mild bronchitis</w:t>
            </w:r>
            <w:r w:rsidR="007C56EA">
              <w:t xml:space="preserve"> also reported in individuals exposed to average concentrations of 0.25 ppm (unknown duration)</w:t>
            </w:r>
            <w:r w:rsidR="00FB0554">
              <w:t>.</w:t>
            </w:r>
          </w:p>
          <w:p w14:paraId="4B184F71" w14:textId="77777777" w:rsidR="00C545C5" w:rsidRDefault="00C545C5" w:rsidP="00F03079">
            <w:pPr>
              <w:pStyle w:val="Tabletextprimarysource"/>
              <w:ind w:left="360"/>
            </w:pPr>
          </w:p>
          <w:p w14:paraId="48FA8322" w14:textId="77777777" w:rsidR="00573D34" w:rsidRDefault="00573D34" w:rsidP="003365A5">
            <w:pPr>
              <w:pStyle w:val="Tabletextprimarysource"/>
            </w:pPr>
            <w:r>
              <w:t>Animal data:</w:t>
            </w:r>
          </w:p>
          <w:p w14:paraId="4D858F8F" w14:textId="77777777" w:rsidR="00573D34" w:rsidRPr="00573D34" w:rsidRDefault="00573D34" w:rsidP="00F03079">
            <w:pPr>
              <w:pStyle w:val="Tabletextprimarysource"/>
              <w:numPr>
                <w:ilvl w:val="0"/>
                <w:numId w:val="1"/>
              </w:numPr>
              <w:spacing w:before="80" w:after="120"/>
              <w:ind w:left="726" w:hanging="357"/>
              <w:contextualSpacing/>
            </w:pPr>
            <w:r>
              <w:t>LC</w:t>
            </w:r>
            <w:r>
              <w:rPr>
                <w:vertAlign w:val="subscript"/>
              </w:rPr>
              <w:t>50</w:t>
            </w:r>
            <w:r>
              <w:t>: 32 ppm (rats, 4 h); death from emphysema and oedema</w:t>
            </w:r>
          </w:p>
          <w:p w14:paraId="17E1437C" w14:textId="79E82249" w:rsidR="00573D34" w:rsidRPr="00573D34" w:rsidRDefault="00573D34" w:rsidP="00F03079">
            <w:pPr>
              <w:pStyle w:val="Tabletextprimarysource"/>
              <w:numPr>
                <w:ilvl w:val="0"/>
                <w:numId w:val="1"/>
              </w:numPr>
              <w:spacing w:before="80" w:after="120"/>
              <w:ind w:left="726" w:hanging="357"/>
              <w:contextualSpacing/>
            </w:pPr>
            <w:r>
              <w:t>LD</w:t>
            </w:r>
            <w:r>
              <w:rPr>
                <w:vertAlign w:val="subscript"/>
              </w:rPr>
              <w:t>50</w:t>
            </w:r>
            <w:r>
              <w:t xml:space="preserve"> &gt;2</w:t>
            </w:r>
            <w:r w:rsidR="009A20DB">
              <w:t>,</w:t>
            </w:r>
            <w:r>
              <w:t>000 mg/kg (rats</w:t>
            </w:r>
            <w:r w:rsidR="006A5D6E">
              <w:t>, dermal</w:t>
            </w:r>
            <w:r>
              <w:t xml:space="preserve">); </w:t>
            </w:r>
            <w:r w:rsidR="002563F1">
              <w:t>occlusive dermal patch of 5% aqueous solution for 24 h, death occurred 4 d following exposure</w:t>
            </w:r>
          </w:p>
          <w:p w14:paraId="37E69A0E" w14:textId="77777777" w:rsidR="00C978F0" w:rsidRDefault="00AC3B90" w:rsidP="00F03079">
            <w:pPr>
              <w:pStyle w:val="Tabletextprimarysource"/>
              <w:numPr>
                <w:ilvl w:val="0"/>
                <w:numId w:val="1"/>
              </w:numPr>
              <w:spacing w:before="80" w:after="120"/>
              <w:ind w:left="726" w:hanging="357"/>
              <w:contextualSpacing/>
            </w:pPr>
            <w:r>
              <w:t>T</w:t>
            </w:r>
            <w:r w:rsidRPr="00465B5D">
              <w:t xml:space="preserve">hyroid </w:t>
            </w:r>
            <w:r>
              <w:t>h</w:t>
            </w:r>
            <w:r w:rsidR="00465B5D" w:rsidRPr="00465B5D">
              <w:t xml:space="preserve">ormone </w:t>
            </w:r>
            <w:r>
              <w:t>im</w:t>
            </w:r>
            <w:r w:rsidR="00465B5D" w:rsidRPr="00465B5D">
              <w:t xml:space="preserve">balance </w:t>
            </w:r>
            <w:r>
              <w:t xml:space="preserve">in </w:t>
            </w:r>
            <w:r w:rsidR="00465B5D" w:rsidRPr="00465B5D">
              <w:t xml:space="preserve">rats and monkeys </w:t>
            </w:r>
            <w:r>
              <w:t>at 9 mg/kg/d when administered in drinking water</w:t>
            </w:r>
          </w:p>
          <w:p w14:paraId="24B0D2CB" w14:textId="77777777" w:rsidR="00573D34" w:rsidRDefault="00573D34" w:rsidP="00F03079">
            <w:pPr>
              <w:pStyle w:val="Tabletextprimarysource"/>
              <w:numPr>
                <w:ilvl w:val="0"/>
                <w:numId w:val="1"/>
              </w:numPr>
              <w:spacing w:before="80" w:after="120"/>
              <w:ind w:left="726" w:hanging="357"/>
              <w:contextualSpacing/>
            </w:pPr>
            <w:r>
              <w:t xml:space="preserve">Conflicting mutagenicity results from </w:t>
            </w:r>
            <w:r>
              <w:rPr>
                <w:i/>
              </w:rPr>
              <w:t xml:space="preserve">in vitro </w:t>
            </w:r>
            <w:r>
              <w:t>stud</w:t>
            </w:r>
            <w:r w:rsidR="00F4346C">
              <w:t>i</w:t>
            </w:r>
            <w:r>
              <w:t>es: non-mutagenic</w:t>
            </w:r>
            <w:r w:rsidR="00465B5D" w:rsidRPr="00465B5D">
              <w:t xml:space="preserve"> in </w:t>
            </w:r>
            <w:proofErr w:type="gramStart"/>
            <w:r>
              <w:t>Ames</w:t>
            </w:r>
            <w:proofErr w:type="gramEnd"/>
            <w:r>
              <w:t xml:space="preserve"> test and in</w:t>
            </w:r>
            <w:r w:rsidR="00465B5D" w:rsidRPr="00465B5D">
              <w:t xml:space="preserve"> </w:t>
            </w:r>
            <w:r>
              <w:t xml:space="preserve">Chinese hamster ovary cells, but </w:t>
            </w:r>
            <w:r w:rsidRPr="00465B5D">
              <w:t>dose-dependent induction of mutations</w:t>
            </w:r>
            <w:r>
              <w:t xml:space="preserve"> i</w:t>
            </w:r>
            <w:r w:rsidR="00465B5D" w:rsidRPr="00465B5D">
              <w:t>n a mouse lymphoma</w:t>
            </w:r>
            <w:r>
              <w:t xml:space="preserve"> cell</w:t>
            </w:r>
            <w:r w:rsidR="00465B5D" w:rsidRPr="00465B5D">
              <w:t xml:space="preserve"> test</w:t>
            </w:r>
            <w:r>
              <w:t xml:space="preserve"> without</w:t>
            </w:r>
            <w:r w:rsidR="00465B5D" w:rsidRPr="00465B5D">
              <w:t xml:space="preserve"> metabolic </w:t>
            </w:r>
            <w:r>
              <w:t>activation</w:t>
            </w:r>
          </w:p>
          <w:p w14:paraId="2E938911" w14:textId="77777777" w:rsidR="00573D34" w:rsidRDefault="00573D34" w:rsidP="00F03079">
            <w:pPr>
              <w:pStyle w:val="Tabletextprimarysource"/>
              <w:numPr>
                <w:ilvl w:val="0"/>
                <w:numId w:val="1"/>
              </w:numPr>
              <w:spacing w:before="80" w:after="120"/>
              <w:ind w:left="726" w:hanging="357"/>
              <w:contextualSpacing/>
            </w:pPr>
            <w:r>
              <w:t xml:space="preserve">Non-mutagenic </w:t>
            </w:r>
            <w:r>
              <w:rPr>
                <w:i/>
              </w:rPr>
              <w:t>in vivo</w:t>
            </w:r>
            <w:r>
              <w:t xml:space="preserve"> </w:t>
            </w:r>
          </w:p>
          <w:p w14:paraId="6CFE2A6A" w14:textId="77777777" w:rsidR="00465B5D" w:rsidRDefault="00573D34" w:rsidP="00F03079">
            <w:pPr>
              <w:pStyle w:val="Tabletextprimarysource"/>
              <w:numPr>
                <w:ilvl w:val="0"/>
                <w:numId w:val="1"/>
              </w:numPr>
              <w:spacing w:before="80" w:after="120"/>
              <w:ind w:left="726" w:hanging="357"/>
              <w:contextualSpacing/>
            </w:pPr>
            <w:r>
              <w:t>N</w:t>
            </w:r>
            <w:r w:rsidR="00465B5D" w:rsidRPr="00465B5D">
              <w:t xml:space="preserve">o effect on fertility and does not cause teratogenicity or embryo or </w:t>
            </w:r>
            <w:r>
              <w:t>foetal toxicity</w:t>
            </w:r>
            <w:r w:rsidR="00465B5D" w:rsidRPr="00465B5D">
              <w:t xml:space="preserve"> in rats </w:t>
            </w:r>
          </w:p>
          <w:p w14:paraId="6DAE0B28" w14:textId="77777777" w:rsidR="0070646B" w:rsidRDefault="002563F1" w:rsidP="00F03079">
            <w:pPr>
              <w:pStyle w:val="Tabletextprimarysource"/>
              <w:numPr>
                <w:ilvl w:val="0"/>
                <w:numId w:val="1"/>
              </w:numPr>
              <w:spacing w:before="80" w:after="120"/>
              <w:ind w:left="726" w:hanging="357"/>
              <w:contextualSpacing/>
            </w:pPr>
            <w:r>
              <w:t xml:space="preserve">No clinical effects following full body exposure at 2.33 ppm (rats, </w:t>
            </w:r>
            <w:r w:rsidR="006D0F9B">
              <w:t>4 h)</w:t>
            </w:r>
          </w:p>
          <w:p w14:paraId="3540485D" w14:textId="77777777" w:rsidR="00E0496C" w:rsidRDefault="006D0F9B" w:rsidP="00F03079">
            <w:pPr>
              <w:pStyle w:val="Tabletextprimarysource"/>
              <w:numPr>
                <w:ilvl w:val="0"/>
                <w:numId w:val="1"/>
              </w:numPr>
              <w:spacing w:before="80" w:after="120"/>
              <w:ind w:left="726" w:hanging="357"/>
              <w:contextualSpacing/>
              <w:rPr>
                <w:rFonts w:cs="Arial"/>
                <w:color w:val="1C1D1E"/>
                <w:shd w:val="clear" w:color="auto" w:fill="FFFFFF"/>
              </w:rPr>
            </w:pPr>
            <w:r>
              <w:t>NOAEL: 100 mg/L for haematological changes, administered in drinking water (mice, 30 d)</w:t>
            </w:r>
            <w:r>
              <w:rPr>
                <w:rFonts w:cs="Arial"/>
                <w:color w:val="1C1D1E"/>
                <w:shd w:val="clear" w:color="auto" w:fill="FFFFFF"/>
              </w:rPr>
              <w:t>.</w:t>
            </w:r>
          </w:p>
          <w:p w14:paraId="48EEF80A" w14:textId="1F0C4859" w:rsidR="00C545C5" w:rsidRPr="006D0F9B" w:rsidRDefault="00C545C5" w:rsidP="00F03079">
            <w:pPr>
              <w:pStyle w:val="Tabletextprimarysource"/>
              <w:ind w:left="357"/>
              <w:contextualSpacing/>
              <w:rPr>
                <w:rFonts w:cs="Arial"/>
                <w:color w:val="1C1D1E"/>
                <w:shd w:val="clear" w:color="auto" w:fill="FFFFFF"/>
              </w:rPr>
            </w:pPr>
          </w:p>
        </w:tc>
      </w:tr>
      <w:tr w:rsidR="00C978F0" w:rsidRPr="00DA352E" w14:paraId="5EA5AAC0" w14:textId="77777777" w:rsidTr="00DE26E8">
        <w:trPr>
          <w:gridAfter w:val="1"/>
          <w:wAfter w:w="8" w:type="pct"/>
          <w:cantSplit/>
        </w:trPr>
        <w:tc>
          <w:tcPr>
            <w:tcW w:w="4992" w:type="pct"/>
            <w:shd w:val="clear" w:color="auto" w:fill="F2F2F2" w:themeFill="background1" w:themeFillShade="F2"/>
          </w:tcPr>
          <w:p w14:paraId="492D01AA" w14:textId="77777777"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573D34">
                  <w:t>N</w:t>
                </w:r>
              </w:sdtContent>
            </w:sdt>
            <w:r w:rsidR="00573D34">
              <w:t>A</w:t>
            </w:r>
            <w:r w:rsidR="00916EC0" w:rsidRPr="003365A5">
              <w:tab/>
            </w:r>
            <w:r w:rsidR="0051509C">
              <w:tab/>
            </w:r>
            <w:sdt>
              <w:sdtPr>
                <w:alias w:val="SCOEL WES equivalent"/>
                <w:tag w:val="SCOEL WES equivalent"/>
                <w:id w:val="-1474213062"/>
                <w:placeholder>
                  <w:docPart w:val="9E827C9D0DA949E385F2E9AB4264125E"/>
                </w:placeholder>
              </w:sdtPr>
              <w:sdtEndPr/>
              <w:sdtContent>
                <w:proofErr w:type="spellStart"/>
                <w:r w:rsidR="00573D34">
                  <w:t>NA</w:t>
                </w:r>
                <w:proofErr w:type="spellEnd"/>
              </w:sdtContent>
            </w:sdt>
          </w:p>
        </w:tc>
      </w:tr>
      <w:tr w:rsidR="00C978F0" w:rsidRPr="00DA352E" w14:paraId="1EFFE689" w14:textId="77777777" w:rsidTr="00DE26E8">
        <w:trPr>
          <w:gridAfter w:val="1"/>
          <w:wAfter w:w="8" w:type="pct"/>
          <w:cantSplit/>
        </w:trPr>
        <w:tc>
          <w:tcPr>
            <w:tcW w:w="4992" w:type="pct"/>
          </w:tcPr>
          <w:p w14:paraId="14947958" w14:textId="5726D16E" w:rsidR="00C978F0" w:rsidRPr="00DA352E" w:rsidRDefault="00573D34" w:rsidP="003365A5">
            <w:pPr>
              <w:pStyle w:val="Tabletextprimarysource"/>
            </w:pPr>
            <w:r>
              <w:t>No report</w:t>
            </w:r>
            <w:r w:rsidR="00F03079">
              <w:t>.</w:t>
            </w:r>
          </w:p>
        </w:tc>
      </w:tr>
      <w:tr w:rsidR="00DA352E" w:rsidRPr="00DA352E" w14:paraId="42456BD4" w14:textId="77777777" w:rsidTr="00DE26E8">
        <w:trPr>
          <w:gridAfter w:val="1"/>
          <w:wAfter w:w="8" w:type="pct"/>
          <w:cantSplit/>
        </w:trPr>
        <w:tc>
          <w:tcPr>
            <w:tcW w:w="4992" w:type="pct"/>
            <w:shd w:val="clear" w:color="auto" w:fill="F2F2F2" w:themeFill="background1" w:themeFillShade="F2"/>
          </w:tcPr>
          <w:p w14:paraId="5A3BC6C5"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ED2CC3">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ED2CC3">
                  <w:t>NA</w:t>
                </w:r>
                <w:proofErr w:type="spellEnd"/>
              </w:sdtContent>
            </w:sdt>
          </w:p>
        </w:tc>
      </w:tr>
      <w:tr w:rsidR="00DA352E" w:rsidRPr="00DA352E" w14:paraId="34A80B24" w14:textId="77777777" w:rsidTr="00DE26E8">
        <w:trPr>
          <w:gridAfter w:val="1"/>
          <w:wAfter w:w="8" w:type="pct"/>
          <w:cantSplit/>
        </w:trPr>
        <w:tc>
          <w:tcPr>
            <w:tcW w:w="4992" w:type="pct"/>
          </w:tcPr>
          <w:p w14:paraId="7C466BF2" w14:textId="0FAED546" w:rsidR="00DA352E" w:rsidRPr="00DA352E" w:rsidRDefault="00ED2CC3" w:rsidP="003365A5">
            <w:pPr>
              <w:pStyle w:val="Tabletextprimarysource"/>
            </w:pPr>
            <w:r>
              <w:t>No report</w:t>
            </w:r>
            <w:r w:rsidR="00F03079">
              <w:t>.</w:t>
            </w:r>
          </w:p>
        </w:tc>
      </w:tr>
      <w:tr w:rsidR="00DA352E" w:rsidRPr="00DA352E" w14:paraId="4125C84A" w14:textId="77777777" w:rsidTr="00DE26E8">
        <w:trPr>
          <w:gridAfter w:val="1"/>
          <w:wAfter w:w="8" w:type="pct"/>
          <w:cantSplit/>
        </w:trPr>
        <w:tc>
          <w:tcPr>
            <w:tcW w:w="4992" w:type="pct"/>
            <w:shd w:val="clear" w:color="auto" w:fill="F2F2F2" w:themeFill="background1" w:themeFillShade="F2"/>
          </w:tcPr>
          <w:p w14:paraId="2DC03108" w14:textId="77777777"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ED2CC3">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proofErr w:type="spellStart"/>
                <w:r w:rsidR="00ED2CC3">
                  <w:t>NA</w:t>
                </w:r>
                <w:proofErr w:type="spellEnd"/>
              </w:sdtContent>
            </w:sdt>
          </w:p>
        </w:tc>
      </w:tr>
      <w:tr w:rsidR="00DA352E" w:rsidRPr="00DA352E" w14:paraId="19FFB517" w14:textId="77777777" w:rsidTr="00DE26E8">
        <w:trPr>
          <w:gridAfter w:val="1"/>
          <w:wAfter w:w="8" w:type="pct"/>
          <w:cantSplit/>
        </w:trPr>
        <w:tc>
          <w:tcPr>
            <w:tcW w:w="4992" w:type="pct"/>
          </w:tcPr>
          <w:p w14:paraId="40B92650" w14:textId="1F2C8FEE" w:rsidR="0023248D" w:rsidRPr="00DA352E" w:rsidRDefault="00ED2CC3" w:rsidP="00F03079">
            <w:pPr>
              <w:pStyle w:val="Tabletextprimarysource"/>
            </w:pPr>
            <w:r>
              <w:t>No report</w:t>
            </w:r>
            <w:r w:rsidR="00F03079">
              <w:t>.</w:t>
            </w:r>
          </w:p>
        </w:tc>
      </w:tr>
    </w:tbl>
    <w:p w14:paraId="01D2E7A9"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88"/>
        <w:gridCol w:w="422"/>
        <w:gridCol w:w="728"/>
        <w:gridCol w:w="6388"/>
      </w:tblGrid>
      <w:tr w:rsidR="004966BF" w:rsidRPr="00263255" w14:paraId="43BBF09A" w14:textId="77777777" w:rsidTr="006A5D6E">
        <w:trPr>
          <w:cantSplit/>
          <w:trHeight w:val="393"/>
          <w:tblHeader/>
        </w:trPr>
        <w:tc>
          <w:tcPr>
            <w:tcW w:w="1488" w:type="dxa"/>
            <w:shd w:val="clear" w:color="auto" w:fill="BFBFBF" w:themeFill="background1" w:themeFillShade="BF"/>
            <w:vAlign w:val="center"/>
          </w:tcPr>
          <w:p w14:paraId="130DE9A2" w14:textId="77777777" w:rsidR="004966BF" w:rsidRPr="00263255" w:rsidRDefault="004966BF" w:rsidP="00263255">
            <w:pPr>
              <w:pStyle w:val="Tableheader"/>
            </w:pPr>
            <w:r w:rsidRPr="00263255">
              <w:t>Source</w:t>
            </w:r>
          </w:p>
        </w:tc>
        <w:tc>
          <w:tcPr>
            <w:tcW w:w="422" w:type="dxa"/>
            <w:shd w:val="clear" w:color="auto" w:fill="BFBFBF" w:themeFill="background1" w:themeFillShade="BF"/>
            <w:vAlign w:val="center"/>
          </w:tcPr>
          <w:p w14:paraId="17C897EA" w14:textId="77777777" w:rsidR="004966BF" w:rsidRPr="00263255" w:rsidRDefault="004966BF" w:rsidP="00263255">
            <w:pPr>
              <w:pStyle w:val="Tableheader"/>
            </w:pPr>
          </w:p>
        </w:tc>
        <w:tc>
          <w:tcPr>
            <w:tcW w:w="728" w:type="dxa"/>
            <w:shd w:val="clear" w:color="auto" w:fill="BFBFBF" w:themeFill="background1" w:themeFillShade="BF"/>
            <w:vAlign w:val="center"/>
          </w:tcPr>
          <w:p w14:paraId="0578AEFF" w14:textId="77777777" w:rsidR="004966BF" w:rsidRPr="00263255" w:rsidRDefault="004966BF" w:rsidP="00263255">
            <w:pPr>
              <w:pStyle w:val="Tableheader"/>
            </w:pPr>
            <w:r>
              <w:t>Year</w:t>
            </w:r>
          </w:p>
        </w:tc>
        <w:tc>
          <w:tcPr>
            <w:tcW w:w="6388" w:type="dxa"/>
            <w:shd w:val="clear" w:color="auto" w:fill="BFBFBF" w:themeFill="background1" w:themeFillShade="BF"/>
            <w:vAlign w:val="center"/>
          </w:tcPr>
          <w:p w14:paraId="01DE2EF4" w14:textId="77777777" w:rsidR="004966BF" w:rsidRPr="00263255" w:rsidRDefault="004966BF" w:rsidP="00263255">
            <w:pPr>
              <w:pStyle w:val="Tableheader"/>
            </w:pPr>
            <w:r>
              <w:t>Additional information</w:t>
            </w:r>
          </w:p>
        </w:tc>
      </w:tr>
      <w:tr w:rsidR="004966BF" w:rsidRPr="004C23F4" w14:paraId="463D87FC" w14:textId="77777777" w:rsidTr="006A5D6E">
        <w:trPr>
          <w:cantSplit/>
        </w:trPr>
        <w:tc>
          <w:tcPr>
            <w:tcW w:w="1488" w:type="dxa"/>
          </w:tcPr>
          <w:p w14:paraId="1C0A1300" w14:textId="77777777" w:rsidR="004966BF" w:rsidRPr="004C23F4" w:rsidRDefault="004966BF" w:rsidP="00224EE2">
            <w:pPr>
              <w:pStyle w:val="Tablefont"/>
            </w:pPr>
            <w:r>
              <w:t>HSE</w:t>
            </w:r>
          </w:p>
        </w:tc>
        <w:tc>
          <w:tcPr>
            <w:tcW w:w="422" w:type="dxa"/>
          </w:tcPr>
          <w:p w14:paraId="4987A351" w14:textId="77777777" w:rsidR="004966BF" w:rsidRPr="00CE617F" w:rsidRDefault="0026598D" w:rsidP="00AB43C4">
            <w:pPr>
              <w:spacing w:before="40"/>
              <w:jc w:val="center"/>
              <w:rPr>
                <w:rStyle w:val="checkbox"/>
              </w:rPr>
            </w:pPr>
            <w:sdt>
              <w:sdtPr>
                <w:rPr>
                  <w:rStyle w:val="checkbox"/>
                </w:rPr>
                <w:id w:val="-1382551732"/>
                <w:placeholder>
                  <w:docPart w:val="8DD754E365844A4E82EC69A07E229629"/>
                </w:placeholder>
                <w:dropDownList>
                  <w:listItem w:displayText="" w:value=""/>
                  <w:listItem w:displayText="" w:value=""/>
                  <w:listItem w:displayText="" w:value=""/>
                </w:dropDownList>
              </w:sdtPr>
              <w:sdtEndPr>
                <w:rPr>
                  <w:rStyle w:val="checkbox"/>
                </w:rPr>
              </w:sdtEndPr>
              <w:sdtContent>
                <w:r w:rsidR="006D0F9B">
                  <w:rPr>
                    <w:rStyle w:val="checkbox"/>
                  </w:rPr>
                  <w:t></w:t>
                </w:r>
              </w:sdtContent>
            </w:sdt>
          </w:p>
        </w:tc>
        <w:tc>
          <w:tcPr>
            <w:tcW w:w="728" w:type="dxa"/>
          </w:tcPr>
          <w:p w14:paraId="73913CBB" w14:textId="77777777" w:rsidR="004966BF" w:rsidRPr="004C23F4" w:rsidRDefault="006D0F9B" w:rsidP="00717D45">
            <w:pPr>
              <w:pStyle w:val="Tablefont"/>
            </w:pPr>
            <w:r>
              <w:t>2002</w:t>
            </w:r>
          </w:p>
        </w:tc>
        <w:tc>
          <w:tcPr>
            <w:tcW w:w="6388" w:type="dxa"/>
          </w:tcPr>
          <w:p w14:paraId="25B4F204" w14:textId="13298DBD" w:rsidR="00F03079" w:rsidRDefault="006D0F9B" w:rsidP="00F03079">
            <w:pPr>
              <w:pStyle w:val="Tablefont"/>
              <w:numPr>
                <w:ilvl w:val="0"/>
                <w:numId w:val="4"/>
              </w:numPr>
            </w:pPr>
            <w:r>
              <w:t>8</w:t>
            </w:r>
            <w:r w:rsidR="00B90F2E">
              <w:t xml:space="preserve"> </w:t>
            </w:r>
            <w:r>
              <w:t xml:space="preserve">h TWA: </w:t>
            </w:r>
            <w:r w:rsidRPr="006D0F9B">
              <w:t>0.1</w:t>
            </w:r>
            <w:r>
              <w:t xml:space="preserve"> </w:t>
            </w:r>
            <w:r w:rsidRPr="00F03079">
              <w:rPr>
                <w:rStyle w:val="checkbox"/>
                <w:rFonts w:ascii="Arial" w:hAnsi="Arial" w:cs="Arial"/>
              </w:rPr>
              <w:t>ppm</w:t>
            </w:r>
            <w:r w:rsidRPr="006D0F9B">
              <w:t xml:space="preserve"> </w:t>
            </w:r>
            <w:r>
              <w:t>(</w:t>
            </w:r>
            <w:r w:rsidRPr="006D0F9B">
              <w:t>0.28</w:t>
            </w:r>
            <w:r w:rsidR="009A20DB">
              <w:t xml:space="preserve"> </w:t>
            </w:r>
            <w:r>
              <w:t>mg/m</w:t>
            </w:r>
            <w:r>
              <w:rPr>
                <w:vertAlign w:val="superscript"/>
              </w:rPr>
              <w:t>3</w:t>
            </w:r>
            <w:r>
              <w:t>)</w:t>
            </w:r>
          </w:p>
          <w:p w14:paraId="25D3B7C3" w14:textId="6FF84252" w:rsidR="004966BF" w:rsidRPr="006D0F9B" w:rsidRDefault="006D0F9B" w:rsidP="00F03079">
            <w:pPr>
              <w:pStyle w:val="Tablefont"/>
              <w:numPr>
                <w:ilvl w:val="0"/>
                <w:numId w:val="4"/>
              </w:numPr>
            </w:pPr>
            <w:r>
              <w:t xml:space="preserve">15-min STEL: </w:t>
            </w:r>
            <w:r w:rsidRPr="006D0F9B">
              <w:t>0.3</w:t>
            </w:r>
            <w:r>
              <w:t xml:space="preserve"> ppm</w:t>
            </w:r>
            <w:r w:rsidRPr="006D0F9B">
              <w:t xml:space="preserve"> </w:t>
            </w:r>
            <w:r>
              <w:t>(</w:t>
            </w:r>
            <w:r w:rsidRPr="006D0F9B">
              <w:t>0.84</w:t>
            </w:r>
            <w:r>
              <w:t xml:space="preserve"> mg/m</w:t>
            </w:r>
            <w:r>
              <w:rPr>
                <w:vertAlign w:val="superscript"/>
              </w:rPr>
              <w:t>3</w:t>
            </w:r>
            <w:r>
              <w:t>)</w:t>
            </w:r>
          </w:p>
        </w:tc>
      </w:tr>
      <w:tr w:rsidR="004966BF" w:rsidRPr="004C23F4" w14:paraId="144C0A34" w14:textId="77777777" w:rsidTr="006A5D6E">
        <w:trPr>
          <w:cantSplit/>
        </w:trPr>
        <w:tc>
          <w:tcPr>
            <w:tcW w:w="1488" w:type="dxa"/>
          </w:tcPr>
          <w:p w14:paraId="4196A7B6" w14:textId="77777777" w:rsidR="004966BF" w:rsidRPr="004C23F4" w:rsidRDefault="004966BF" w:rsidP="00224EE2">
            <w:pPr>
              <w:pStyle w:val="Tablefont"/>
            </w:pPr>
            <w:r>
              <w:t>APVMA</w:t>
            </w:r>
          </w:p>
        </w:tc>
        <w:tc>
          <w:tcPr>
            <w:tcW w:w="422" w:type="dxa"/>
          </w:tcPr>
          <w:p w14:paraId="4BACD0CD" w14:textId="77777777" w:rsidR="004966BF" w:rsidRPr="00CE617F" w:rsidRDefault="0026598D" w:rsidP="00AB43C4">
            <w:pPr>
              <w:spacing w:before="40"/>
              <w:jc w:val="center"/>
              <w:rPr>
                <w:rStyle w:val="checkbox"/>
              </w:rPr>
            </w:pPr>
            <w:sdt>
              <w:sdtPr>
                <w:rPr>
                  <w:rStyle w:val="checkbox"/>
                </w:rPr>
                <w:id w:val="1864932884"/>
                <w:placeholder>
                  <w:docPart w:val="CC96E8CFB35445F7B98574D62F848316"/>
                </w:placeholder>
                <w:dropDownList>
                  <w:listItem w:displayText="" w:value=""/>
                  <w:listItem w:displayText="" w:value=""/>
                  <w:listItem w:displayText="" w:value=""/>
                </w:dropDownList>
              </w:sdtPr>
              <w:sdtEndPr>
                <w:rPr>
                  <w:rStyle w:val="checkbox"/>
                </w:rPr>
              </w:sdtEndPr>
              <w:sdtContent>
                <w:r w:rsidR="006D0F9B">
                  <w:rPr>
                    <w:rStyle w:val="checkbox"/>
                  </w:rPr>
                  <w:t></w:t>
                </w:r>
              </w:sdtContent>
            </w:sdt>
          </w:p>
        </w:tc>
        <w:tc>
          <w:tcPr>
            <w:tcW w:w="728" w:type="dxa"/>
          </w:tcPr>
          <w:p w14:paraId="3FD32097" w14:textId="77777777" w:rsidR="004966BF" w:rsidRPr="004C23F4" w:rsidRDefault="00AD21B8" w:rsidP="00717D45">
            <w:pPr>
              <w:pStyle w:val="Tablefont"/>
              <w:rPr>
                <w:rStyle w:val="checkbox"/>
                <w:rFonts w:ascii="Arial" w:hAnsi="Arial" w:cs="Arial"/>
              </w:rPr>
            </w:pPr>
            <w:r>
              <w:rPr>
                <w:rStyle w:val="checkbox"/>
                <w:rFonts w:ascii="Arial" w:hAnsi="Arial" w:cs="Arial"/>
              </w:rPr>
              <w:t>2002-2018</w:t>
            </w:r>
          </w:p>
        </w:tc>
        <w:tc>
          <w:tcPr>
            <w:tcW w:w="6388" w:type="dxa"/>
          </w:tcPr>
          <w:p w14:paraId="21960BB6" w14:textId="77777777" w:rsidR="004966BF" w:rsidRPr="004C23F4" w:rsidRDefault="006D0F9B" w:rsidP="00F03079">
            <w:pPr>
              <w:pStyle w:val="Tablefont"/>
              <w:numPr>
                <w:ilvl w:val="0"/>
                <w:numId w:val="4"/>
              </w:numPr>
              <w:rPr>
                <w:rStyle w:val="checkbox"/>
                <w:rFonts w:ascii="Arial" w:hAnsi="Arial" w:cs="Arial"/>
              </w:rPr>
            </w:pPr>
            <w:r>
              <w:rPr>
                <w:rStyle w:val="checkbox"/>
                <w:rFonts w:ascii="Arial" w:hAnsi="Arial" w:cs="Arial"/>
              </w:rPr>
              <w:t xml:space="preserve">Used as </w:t>
            </w:r>
            <w:r w:rsidR="00AD21B8">
              <w:rPr>
                <w:rStyle w:val="checkbox"/>
                <w:rFonts w:ascii="Arial" w:hAnsi="Arial" w:cs="Arial"/>
              </w:rPr>
              <w:t xml:space="preserve">a sanitiser </w:t>
            </w:r>
            <w:r>
              <w:rPr>
                <w:rStyle w:val="checkbox"/>
                <w:rFonts w:ascii="Arial" w:hAnsi="Arial" w:cs="Arial"/>
              </w:rPr>
              <w:t>a</w:t>
            </w:r>
            <w:r w:rsidR="00AD21B8">
              <w:rPr>
                <w:rStyle w:val="checkbox"/>
                <w:rFonts w:ascii="Arial" w:hAnsi="Arial" w:cs="Arial"/>
              </w:rPr>
              <w:t xml:space="preserve">nd </w:t>
            </w:r>
            <w:r w:rsidR="00AD21B8" w:rsidRPr="006A5D6E">
              <w:t>swimming</w:t>
            </w:r>
            <w:r>
              <w:rPr>
                <w:rStyle w:val="checkbox"/>
                <w:rFonts w:ascii="Arial" w:hAnsi="Arial" w:cs="Arial"/>
              </w:rPr>
              <w:t xml:space="preserve"> pool disinfectant</w:t>
            </w:r>
          </w:p>
        </w:tc>
      </w:tr>
      <w:tr w:rsidR="004966BF" w:rsidRPr="004C23F4" w14:paraId="6BFA9844" w14:textId="77777777" w:rsidTr="006A5D6E">
        <w:trPr>
          <w:cantSplit/>
        </w:trPr>
        <w:tc>
          <w:tcPr>
            <w:tcW w:w="1488" w:type="dxa"/>
          </w:tcPr>
          <w:p w14:paraId="44303280" w14:textId="77777777" w:rsidR="004966BF" w:rsidRPr="004C23F4" w:rsidRDefault="004966BF" w:rsidP="00224EE2">
            <w:pPr>
              <w:pStyle w:val="Tablefont"/>
            </w:pPr>
            <w:r>
              <w:lastRenderedPageBreak/>
              <w:t>US EPA</w:t>
            </w:r>
          </w:p>
        </w:tc>
        <w:tc>
          <w:tcPr>
            <w:tcW w:w="422" w:type="dxa"/>
          </w:tcPr>
          <w:p w14:paraId="080E2887" w14:textId="77777777" w:rsidR="004966BF" w:rsidRPr="00CE617F" w:rsidRDefault="0026598D" w:rsidP="00AB43C4">
            <w:pPr>
              <w:spacing w:before="40"/>
              <w:jc w:val="center"/>
              <w:rPr>
                <w:rStyle w:val="checkbox"/>
              </w:rPr>
            </w:pPr>
            <w:sdt>
              <w:sdtPr>
                <w:rPr>
                  <w:rStyle w:val="checkbox"/>
                </w:rPr>
                <w:id w:val="1015498594"/>
                <w:placeholder>
                  <w:docPart w:val="CFFDE270CB50461B826B0194984892C5"/>
                </w:placeholder>
                <w:dropDownList>
                  <w:listItem w:displayText="" w:value=""/>
                  <w:listItem w:displayText="" w:value=""/>
                  <w:listItem w:displayText="" w:value=""/>
                </w:dropDownList>
              </w:sdtPr>
              <w:sdtEndPr>
                <w:rPr>
                  <w:rStyle w:val="checkbox"/>
                </w:rPr>
              </w:sdtEndPr>
              <w:sdtContent>
                <w:r w:rsidR="001F1251">
                  <w:rPr>
                    <w:rStyle w:val="checkbox"/>
                  </w:rPr>
                  <w:t></w:t>
                </w:r>
              </w:sdtContent>
            </w:sdt>
          </w:p>
        </w:tc>
        <w:tc>
          <w:tcPr>
            <w:tcW w:w="728" w:type="dxa"/>
          </w:tcPr>
          <w:p w14:paraId="22357639" w14:textId="77777777" w:rsidR="004966BF" w:rsidRPr="004C23F4" w:rsidRDefault="001F1251" w:rsidP="00717D45">
            <w:pPr>
              <w:pStyle w:val="Tablefont"/>
              <w:rPr>
                <w:rStyle w:val="checkbox"/>
                <w:rFonts w:ascii="Arial" w:hAnsi="Arial" w:cs="Arial"/>
              </w:rPr>
            </w:pPr>
            <w:r>
              <w:rPr>
                <w:rStyle w:val="checkbox"/>
                <w:rFonts w:ascii="Arial" w:hAnsi="Arial" w:cs="Arial"/>
              </w:rPr>
              <w:t>2000</w:t>
            </w:r>
          </w:p>
        </w:tc>
        <w:tc>
          <w:tcPr>
            <w:tcW w:w="6388" w:type="dxa"/>
          </w:tcPr>
          <w:p w14:paraId="78051E81" w14:textId="77777777" w:rsidR="004966BF" w:rsidRDefault="001F1251" w:rsidP="001F1251">
            <w:pPr>
              <w:pStyle w:val="Tablefont"/>
              <w:numPr>
                <w:ilvl w:val="0"/>
                <w:numId w:val="4"/>
              </w:numPr>
              <w:rPr>
                <w:rStyle w:val="checkbox"/>
                <w:rFonts w:ascii="Arial" w:hAnsi="Arial" w:cs="Arial"/>
              </w:rPr>
            </w:pPr>
            <w:r w:rsidRPr="001F1251">
              <w:rPr>
                <w:rStyle w:val="checkbox"/>
                <w:rFonts w:ascii="Arial" w:hAnsi="Arial" w:cs="Arial"/>
              </w:rPr>
              <w:t>LOAEL: 2.</w:t>
            </w:r>
            <w:r>
              <w:rPr>
                <w:rStyle w:val="checkbox"/>
                <w:rFonts w:ascii="Arial" w:hAnsi="Arial" w:cs="Arial"/>
              </w:rPr>
              <w:t xml:space="preserve">5 ppm for adverse lung effects in rats and rabbits (respectively 7 h/d, 30 d or </w:t>
            </w:r>
            <w:r w:rsidRPr="001F1251">
              <w:rPr>
                <w:rStyle w:val="checkbox"/>
                <w:rFonts w:ascii="Arial" w:hAnsi="Arial" w:cs="Arial"/>
              </w:rPr>
              <w:t>4 h/d, 45 d)</w:t>
            </w:r>
            <w:r>
              <w:rPr>
                <w:rStyle w:val="checkbox"/>
                <w:rFonts w:ascii="Arial" w:hAnsi="Arial" w:cs="Arial"/>
              </w:rPr>
              <w:t>, as presented in ACGIH, 2018 used as principal study to derive inhalation reference concentration</w:t>
            </w:r>
          </w:p>
          <w:p w14:paraId="777024BC" w14:textId="77777777" w:rsidR="00955AE2" w:rsidRPr="00955AE2" w:rsidRDefault="00955AE2" w:rsidP="001F1251">
            <w:pPr>
              <w:pStyle w:val="Tablefont"/>
              <w:numPr>
                <w:ilvl w:val="0"/>
                <w:numId w:val="4"/>
              </w:numPr>
              <w:rPr>
                <w:rFonts w:cs="Arial"/>
              </w:rPr>
            </w:pPr>
            <w:r>
              <w:t>N</w:t>
            </w:r>
            <w:r w:rsidR="001F1251">
              <w:t xml:space="preserve">o satisfactory human or animal studies assessing the chronic carcinogenic potential of chlorine dioxide have been </w:t>
            </w:r>
            <w:r>
              <w:t>available</w:t>
            </w:r>
          </w:p>
          <w:p w14:paraId="243E3377" w14:textId="77777777" w:rsidR="00955AE2" w:rsidRPr="00955AE2" w:rsidRDefault="001F1251" w:rsidP="001F1251">
            <w:pPr>
              <w:pStyle w:val="Tablefont"/>
              <w:numPr>
                <w:ilvl w:val="0"/>
                <w:numId w:val="4"/>
              </w:numPr>
              <w:rPr>
                <w:rFonts w:cs="Arial"/>
              </w:rPr>
            </w:pPr>
            <w:r>
              <w:t xml:space="preserve">Concentrates prepared from drinking water treated with chlorine dioxide did not increase the incidence of </w:t>
            </w:r>
            <w:r w:rsidR="00955AE2">
              <w:t>lung or skin tumours</w:t>
            </w:r>
            <w:r>
              <w:t xml:space="preserve"> in mice</w:t>
            </w:r>
            <w:r w:rsidR="00955AE2">
              <w:t xml:space="preserve"> and rats.</w:t>
            </w:r>
            <w:r>
              <w:t xml:space="preserve"> However, </w:t>
            </w:r>
            <w:r w:rsidR="00955AE2">
              <w:t>hyperplasia</w:t>
            </w:r>
            <w:r>
              <w:t xml:space="preserve"> </w:t>
            </w:r>
            <w:r w:rsidR="00955AE2">
              <w:t xml:space="preserve">reported </w:t>
            </w:r>
            <w:r>
              <w:t xml:space="preserve">in mouse skin </w:t>
            </w:r>
          </w:p>
          <w:p w14:paraId="014916C1" w14:textId="77777777" w:rsidR="001F1251" w:rsidRPr="001F1251" w:rsidRDefault="00955AE2" w:rsidP="001F1251">
            <w:pPr>
              <w:pStyle w:val="Tablefont"/>
              <w:numPr>
                <w:ilvl w:val="0"/>
                <w:numId w:val="4"/>
              </w:numPr>
              <w:rPr>
                <w:rStyle w:val="checkbox"/>
                <w:rFonts w:ascii="Arial" w:hAnsi="Arial" w:cs="Arial"/>
              </w:rPr>
            </w:pPr>
            <w:r>
              <w:t>Genotoxicity studies are equivocal</w:t>
            </w:r>
            <w:r w:rsidR="00B90F2E">
              <w:t>.</w:t>
            </w:r>
          </w:p>
        </w:tc>
      </w:tr>
      <w:tr w:rsidR="004966BF" w:rsidRPr="004C23F4" w14:paraId="3E94BEDF" w14:textId="77777777" w:rsidTr="006A5D6E">
        <w:trPr>
          <w:cantSplit/>
        </w:trPr>
        <w:tc>
          <w:tcPr>
            <w:tcW w:w="1488" w:type="dxa"/>
          </w:tcPr>
          <w:p w14:paraId="07B064B7" w14:textId="77777777" w:rsidR="004966BF" w:rsidRDefault="004966BF" w:rsidP="00224EE2">
            <w:pPr>
              <w:pStyle w:val="Tablefont"/>
            </w:pPr>
            <w:r>
              <w:t>US NIOSH</w:t>
            </w:r>
          </w:p>
        </w:tc>
        <w:tc>
          <w:tcPr>
            <w:tcW w:w="422" w:type="dxa"/>
          </w:tcPr>
          <w:p w14:paraId="151470D0" w14:textId="77777777" w:rsidR="004966BF" w:rsidRDefault="0026598D"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EndPr>
                <w:rPr>
                  <w:rStyle w:val="checkbox"/>
                </w:rPr>
              </w:sdtEndPr>
              <w:sdtContent>
                <w:r w:rsidR="00ED2CC3">
                  <w:rPr>
                    <w:rStyle w:val="checkbox"/>
                  </w:rPr>
                  <w:t></w:t>
                </w:r>
              </w:sdtContent>
            </w:sdt>
          </w:p>
        </w:tc>
        <w:tc>
          <w:tcPr>
            <w:tcW w:w="728" w:type="dxa"/>
          </w:tcPr>
          <w:p w14:paraId="4C38951B" w14:textId="77777777" w:rsidR="004966BF" w:rsidRPr="004C23F4" w:rsidRDefault="00ED2CC3" w:rsidP="00717D45">
            <w:pPr>
              <w:pStyle w:val="Tablefont"/>
              <w:rPr>
                <w:rStyle w:val="checkbox"/>
                <w:rFonts w:ascii="Arial" w:hAnsi="Arial" w:cs="Arial"/>
              </w:rPr>
            </w:pPr>
            <w:r>
              <w:rPr>
                <w:rStyle w:val="checkbox"/>
                <w:rFonts w:ascii="Arial" w:hAnsi="Arial" w:cs="Arial"/>
              </w:rPr>
              <w:t>1994</w:t>
            </w:r>
          </w:p>
        </w:tc>
        <w:tc>
          <w:tcPr>
            <w:tcW w:w="6388" w:type="dxa"/>
          </w:tcPr>
          <w:p w14:paraId="31BD19D5" w14:textId="3A1FC08C" w:rsidR="004966BF" w:rsidRPr="004C23F4" w:rsidRDefault="00ED2CC3" w:rsidP="00F03079">
            <w:pPr>
              <w:pStyle w:val="Tablefont"/>
              <w:numPr>
                <w:ilvl w:val="0"/>
                <w:numId w:val="4"/>
              </w:numPr>
              <w:rPr>
                <w:rStyle w:val="checkbox"/>
                <w:rFonts w:ascii="Arial" w:hAnsi="Arial" w:cs="Arial"/>
              </w:rPr>
            </w:pPr>
            <w:r w:rsidRPr="00ED2CC3">
              <w:rPr>
                <w:rStyle w:val="checkbox"/>
                <w:rFonts w:ascii="Arial" w:hAnsi="Arial" w:cs="Arial"/>
              </w:rPr>
              <w:t xml:space="preserve">IDLH is based on acute inhalation toxicity data in </w:t>
            </w:r>
            <w:r w:rsidRPr="00F03079">
              <w:t>humans</w:t>
            </w:r>
            <w:r w:rsidR="00F03079">
              <w:t>.</w:t>
            </w:r>
          </w:p>
        </w:tc>
      </w:tr>
    </w:tbl>
    <w:p w14:paraId="6B6B3738" w14:textId="77777777" w:rsidR="007E2A4B" w:rsidRDefault="007E2A4B"/>
    <w:bookmarkEnd w:id="0"/>
    <w:p w14:paraId="0B3240C1"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6DADB5FF" w14:textId="77777777" w:rsidTr="00573D34">
        <w:trPr>
          <w:trHeight w:val="454"/>
          <w:tblHeader/>
        </w:trPr>
        <w:tc>
          <w:tcPr>
            <w:tcW w:w="6597" w:type="dxa"/>
            <w:vAlign w:val="center"/>
          </w:tcPr>
          <w:p w14:paraId="21EAE4B0"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4B53ECBC" w14:textId="77777777" w:rsidR="002E0D61" w:rsidRDefault="001F1251" w:rsidP="00C3091E">
                <w:pPr>
                  <w:pStyle w:val="Tablefont"/>
                  <w:keepNext/>
                  <w:keepLines/>
                  <w:spacing w:before="40" w:after="40"/>
                </w:pPr>
                <w:r>
                  <w:t>Insufficient data</w:t>
                </w:r>
              </w:p>
            </w:tc>
          </w:sdtContent>
        </w:sdt>
      </w:tr>
      <w:tr w:rsidR="008A36CF" w14:paraId="4ACB9D6F" w14:textId="77777777" w:rsidTr="00573D34">
        <w:trPr>
          <w:trHeight w:val="454"/>
        </w:trPr>
        <w:tc>
          <w:tcPr>
            <w:tcW w:w="6597" w:type="dxa"/>
            <w:vAlign w:val="center"/>
          </w:tcPr>
          <w:p w14:paraId="3C2BDF57"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9" w:type="dxa"/>
                <w:vAlign w:val="center"/>
              </w:tcPr>
              <w:p w14:paraId="7A23CF10" w14:textId="77777777" w:rsidR="008A36CF" w:rsidRDefault="001F1251" w:rsidP="008A36CF">
                <w:pPr>
                  <w:pStyle w:val="Tablefont"/>
                  <w:keepNext/>
                  <w:keepLines/>
                  <w:spacing w:before="40" w:after="40"/>
                </w:pPr>
                <w:r>
                  <w:t>Insufficient data</w:t>
                </w:r>
              </w:p>
            </w:tc>
          </w:sdtContent>
        </w:sdt>
      </w:tr>
      <w:tr w:rsidR="00F03079" w14:paraId="4921A86D" w14:textId="77777777" w:rsidTr="00D77C66">
        <w:trPr>
          <w:trHeight w:val="454"/>
        </w:trPr>
        <w:sdt>
          <w:sdtPr>
            <w:rPr>
              <w:b/>
            </w:rPr>
            <w:id w:val="1830936485"/>
            <w:placeholder>
              <w:docPart w:val="ADFF14DCF8AA431F9D94F71C7DAF770C"/>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07E3CC4F" w14:textId="1E3BD9CB" w:rsidR="00F03079" w:rsidRDefault="00F03079" w:rsidP="008A36CF">
                <w:pPr>
                  <w:pStyle w:val="Tablefont"/>
                  <w:keepNext/>
                  <w:keepLines/>
                  <w:spacing w:before="40" w:after="40"/>
                </w:pPr>
                <w:r>
                  <w:rPr>
                    <w:b/>
                  </w:rPr>
                  <w:t>Insufficient data are available to determine if the chemical is a non-threshold based genotoxic carcinogen.</w:t>
                </w:r>
              </w:p>
            </w:tc>
          </w:sdtContent>
        </w:sdt>
      </w:tr>
    </w:tbl>
    <w:bookmarkEnd w:id="1"/>
    <w:p w14:paraId="2B472885"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391A86B4" w14:textId="77777777" w:rsidTr="00812887">
        <w:trPr>
          <w:cantSplit/>
          <w:tblHeader/>
        </w:trPr>
        <w:tc>
          <w:tcPr>
            <w:tcW w:w="3227" w:type="dxa"/>
            <w:shd w:val="clear" w:color="auto" w:fill="BFBFBF" w:themeFill="background1" w:themeFillShade="BF"/>
            <w:vAlign w:val="center"/>
          </w:tcPr>
          <w:p w14:paraId="63EA3315"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2AB69262" w14:textId="77777777" w:rsidR="00687890" w:rsidRPr="004C23F4" w:rsidRDefault="00687890" w:rsidP="00F4402E">
            <w:pPr>
              <w:pStyle w:val="Tableheader"/>
              <w:tabs>
                <w:tab w:val="right" w:pos="5272"/>
              </w:tabs>
            </w:pPr>
            <w:r w:rsidRPr="004C23F4">
              <w:t>Notations</w:t>
            </w:r>
            <w:r w:rsidR="003A2B94">
              <w:tab/>
            </w:r>
          </w:p>
        </w:tc>
      </w:tr>
      <w:tr w:rsidR="00687890" w:rsidRPr="004C23F4" w14:paraId="58582256" w14:textId="77777777" w:rsidTr="00812887">
        <w:trPr>
          <w:cantSplit/>
        </w:trPr>
        <w:tc>
          <w:tcPr>
            <w:tcW w:w="3227" w:type="dxa"/>
          </w:tcPr>
          <w:p w14:paraId="49AE7DB5" w14:textId="77777777" w:rsidR="004079B4" w:rsidRPr="004C23F4" w:rsidRDefault="00084513" w:rsidP="00F4402E">
            <w:pPr>
              <w:pStyle w:val="Tablefont"/>
            </w:pPr>
            <w:r w:rsidRPr="004C23F4">
              <w:t>SWA</w:t>
            </w:r>
          </w:p>
        </w:tc>
        <w:tc>
          <w:tcPr>
            <w:tcW w:w="6015" w:type="dxa"/>
          </w:tcPr>
          <w:p w14:paraId="46196C2F" w14:textId="77777777" w:rsidR="00687890" w:rsidRPr="00DD2F9B" w:rsidRDefault="00ED2CC3" w:rsidP="00DD2F9B">
            <w:pPr>
              <w:pStyle w:val="Tablefont"/>
            </w:pPr>
            <w:r>
              <w:t>—</w:t>
            </w:r>
          </w:p>
        </w:tc>
      </w:tr>
      <w:tr w:rsidR="007925F0" w:rsidRPr="004C23F4" w14:paraId="4124A406" w14:textId="77777777" w:rsidTr="00812887">
        <w:trPr>
          <w:cantSplit/>
        </w:trPr>
        <w:tc>
          <w:tcPr>
            <w:tcW w:w="3227" w:type="dxa"/>
          </w:tcPr>
          <w:p w14:paraId="482A2039" w14:textId="77777777" w:rsidR="004079B4" w:rsidRPr="004C23F4" w:rsidRDefault="007925F0" w:rsidP="00F4402E">
            <w:pPr>
              <w:pStyle w:val="Tablefont"/>
            </w:pPr>
            <w:r>
              <w:t>HCIS</w:t>
            </w:r>
          </w:p>
        </w:tc>
        <w:tc>
          <w:tcPr>
            <w:tcW w:w="6015" w:type="dxa"/>
          </w:tcPr>
          <w:p w14:paraId="13230287" w14:textId="77777777" w:rsidR="007925F0" w:rsidRPr="00DD2F9B" w:rsidRDefault="00ED2CC3" w:rsidP="00DD2F9B">
            <w:pPr>
              <w:pStyle w:val="Tablefont"/>
            </w:pPr>
            <w:r>
              <w:t>—</w:t>
            </w:r>
          </w:p>
        </w:tc>
      </w:tr>
      <w:tr w:rsidR="00AF483F" w:rsidRPr="004C23F4" w14:paraId="1B48A209" w14:textId="77777777" w:rsidTr="00812887">
        <w:trPr>
          <w:cantSplit/>
        </w:trPr>
        <w:tc>
          <w:tcPr>
            <w:tcW w:w="3227" w:type="dxa"/>
          </w:tcPr>
          <w:p w14:paraId="35B54FC0" w14:textId="77777777" w:rsidR="00AF483F" w:rsidRPr="004C23F4" w:rsidRDefault="00AF483F" w:rsidP="00F4402E">
            <w:pPr>
              <w:pStyle w:val="Tablefont"/>
            </w:pPr>
            <w:r>
              <w:t>NICNAS</w:t>
            </w:r>
          </w:p>
        </w:tc>
        <w:tc>
          <w:tcPr>
            <w:tcW w:w="6015" w:type="dxa"/>
          </w:tcPr>
          <w:p w14:paraId="07C13CDD" w14:textId="77777777" w:rsidR="00AF483F" w:rsidRPr="00DD2F9B" w:rsidRDefault="00ED2CC3" w:rsidP="00DD2F9B">
            <w:pPr>
              <w:pStyle w:val="Tablefont"/>
            </w:pPr>
            <w:r>
              <w:t>—</w:t>
            </w:r>
          </w:p>
        </w:tc>
      </w:tr>
      <w:tr w:rsidR="00687890" w:rsidRPr="004C23F4" w14:paraId="018F83F8" w14:textId="77777777" w:rsidTr="00812887">
        <w:trPr>
          <w:cantSplit/>
        </w:trPr>
        <w:tc>
          <w:tcPr>
            <w:tcW w:w="3227" w:type="dxa"/>
          </w:tcPr>
          <w:p w14:paraId="4C7CEC24" w14:textId="77777777" w:rsidR="004079B4" w:rsidRPr="004C23F4" w:rsidRDefault="00687890" w:rsidP="00F4402E">
            <w:pPr>
              <w:pStyle w:val="Tablefont"/>
            </w:pPr>
            <w:r w:rsidRPr="004C23F4">
              <w:t>EU Annex</w:t>
            </w:r>
          </w:p>
        </w:tc>
        <w:tc>
          <w:tcPr>
            <w:tcW w:w="6015" w:type="dxa"/>
          </w:tcPr>
          <w:p w14:paraId="6F7BF5BF" w14:textId="77777777" w:rsidR="00687890" w:rsidRPr="00DD2F9B" w:rsidRDefault="00ED2CC3" w:rsidP="00DD2F9B">
            <w:pPr>
              <w:pStyle w:val="Tablefont"/>
            </w:pPr>
            <w:r>
              <w:t>—</w:t>
            </w:r>
          </w:p>
        </w:tc>
      </w:tr>
      <w:tr w:rsidR="00E41A26" w:rsidRPr="004C23F4" w14:paraId="064D1E87" w14:textId="77777777" w:rsidTr="00812887">
        <w:trPr>
          <w:cantSplit/>
        </w:trPr>
        <w:tc>
          <w:tcPr>
            <w:tcW w:w="3227" w:type="dxa"/>
          </w:tcPr>
          <w:p w14:paraId="79C68400" w14:textId="77777777" w:rsidR="00E41A26" w:rsidRDefault="00E41A26" w:rsidP="00F4402E">
            <w:pPr>
              <w:pStyle w:val="Tablefont"/>
            </w:pPr>
            <w:r>
              <w:t>ECHA</w:t>
            </w:r>
          </w:p>
        </w:tc>
        <w:tc>
          <w:tcPr>
            <w:tcW w:w="6015" w:type="dxa"/>
          </w:tcPr>
          <w:p w14:paraId="4FC2FC12" w14:textId="77777777" w:rsidR="00E41A26" w:rsidRPr="00DD2F9B" w:rsidRDefault="00ED2CC3" w:rsidP="00DD2F9B">
            <w:pPr>
              <w:pStyle w:val="Tablefont"/>
            </w:pPr>
            <w:r>
              <w:t>NA</w:t>
            </w:r>
          </w:p>
        </w:tc>
      </w:tr>
      <w:tr w:rsidR="002E0D61" w:rsidRPr="004C23F4" w14:paraId="631F2E1F" w14:textId="77777777" w:rsidTr="00812887">
        <w:trPr>
          <w:cantSplit/>
        </w:trPr>
        <w:tc>
          <w:tcPr>
            <w:tcW w:w="3227" w:type="dxa"/>
          </w:tcPr>
          <w:p w14:paraId="5798C84E" w14:textId="77777777" w:rsidR="004079B4" w:rsidRPr="004C23F4" w:rsidRDefault="002E0D61" w:rsidP="00F4402E">
            <w:pPr>
              <w:pStyle w:val="Tablefont"/>
            </w:pPr>
            <w:r>
              <w:t>ACGIH</w:t>
            </w:r>
          </w:p>
        </w:tc>
        <w:tc>
          <w:tcPr>
            <w:tcW w:w="6015" w:type="dxa"/>
          </w:tcPr>
          <w:p w14:paraId="1B493912" w14:textId="77777777" w:rsidR="002E0D61" w:rsidRPr="00DD2F9B" w:rsidRDefault="00ED2CC3" w:rsidP="00DD2F9B">
            <w:pPr>
              <w:pStyle w:val="Tablefont"/>
            </w:pPr>
            <w:r>
              <w:t>—</w:t>
            </w:r>
          </w:p>
        </w:tc>
      </w:tr>
      <w:tr w:rsidR="002E0D61" w:rsidRPr="004C23F4" w14:paraId="5033C662" w14:textId="77777777" w:rsidTr="00812887">
        <w:trPr>
          <w:cantSplit/>
        </w:trPr>
        <w:tc>
          <w:tcPr>
            <w:tcW w:w="3227" w:type="dxa"/>
          </w:tcPr>
          <w:p w14:paraId="3E393926" w14:textId="77777777" w:rsidR="004079B4" w:rsidRPr="004C23F4" w:rsidRDefault="002E0D61" w:rsidP="00F4402E">
            <w:pPr>
              <w:pStyle w:val="Tablefont"/>
            </w:pPr>
            <w:r>
              <w:t>DFG</w:t>
            </w:r>
          </w:p>
        </w:tc>
        <w:tc>
          <w:tcPr>
            <w:tcW w:w="6015" w:type="dxa"/>
          </w:tcPr>
          <w:p w14:paraId="34523122" w14:textId="77777777" w:rsidR="002E0D61" w:rsidRPr="00DD2F9B" w:rsidRDefault="00ED2CC3" w:rsidP="00DD2F9B">
            <w:pPr>
              <w:pStyle w:val="Tablefont"/>
            </w:pPr>
            <w:r>
              <w:t>—</w:t>
            </w:r>
          </w:p>
        </w:tc>
      </w:tr>
      <w:tr w:rsidR="002E0D61" w:rsidRPr="004C23F4" w14:paraId="728F5318" w14:textId="77777777" w:rsidTr="00812887">
        <w:trPr>
          <w:cantSplit/>
        </w:trPr>
        <w:tc>
          <w:tcPr>
            <w:tcW w:w="3227" w:type="dxa"/>
          </w:tcPr>
          <w:p w14:paraId="6D4E800E" w14:textId="77777777" w:rsidR="004079B4" w:rsidRPr="004C23F4" w:rsidRDefault="002E0D61" w:rsidP="00F4402E">
            <w:pPr>
              <w:pStyle w:val="Tablefont"/>
            </w:pPr>
            <w:r>
              <w:t>SCOEL</w:t>
            </w:r>
          </w:p>
        </w:tc>
        <w:tc>
          <w:tcPr>
            <w:tcW w:w="6015" w:type="dxa"/>
          </w:tcPr>
          <w:p w14:paraId="77938CD9" w14:textId="77777777" w:rsidR="002E0D61" w:rsidRPr="00DD2F9B" w:rsidRDefault="00ED2CC3" w:rsidP="00DD2F9B">
            <w:pPr>
              <w:pStyle w:val="Tablefont"/>
            </w:pPr>
            <w:r>
              <w:t>NA</w:t>
            </w:r>
          </w:p>
        </w:tc>
      </w:tr>
      <w:tr w:rsidR="002E0D61" w:rsidRPr="004C23F4" w14:paraId="060B2CE7" w14:textId="77777777" w:rsidTr="00812887">
        <w:trPr>
          <w:cantSplit/>
        </w:trPr>
        <w:tc>
          <w:tcPr>
            <w:tcW w:w="3227" w:type="dxa"/>
          </w:tcPr>
          <w:p w14:paraId="7F73C011" w14:textId="77777777" w:rsidR="004079B4" w:rsidRDefault="002E0D61" w:rsidP="00F4402E">
            <w:pPr>
              <w:pStyle w:val="Tablefont"/>
            </w:pPr>
            <w:r>
              <w:t>HCOTN</w:t>
            </w:r>
          </w:p>
        </w:tc>
        <w:tc>
          <w:tcPr>
            <w:tcW w:w="6015" w:type="dxa"/>
          </w:tcPr>
          <w:p w14:paraId="169C523A" w14:textId="77777777" w:rsidR="002E0D61" w:rsidRPr="00DD2F9B" w:rsidRDefault="00ED2CC3" w:rsidP="00DD2F9B">
            <w:pPr>
              <w:pStyle w:val="Tablefont"/>
            </w:pPr>
            <w:r>
              <w:t>NA</w:t>
            </w:r>
          </w:p>
        </w:tc>
      </w:tr>
      <w:tr w:rsidR="00386093" w:rsidRPr="004C23F4" w14:paraId="55979FF3" w14:textId="77777777" w:rsidTr="00812887">
        <w:trPr>
          <w:cantSplit/>
        </w:trPr>
        <w:tc>
          <w:tcPr>
            <w:tcW w:w="3227" w:type="dxa"/>
          </w:tcPr>
          <w:p w14:paraId="75C64560" w14:textId="77777777" w:rsidR="004079B4" w:rsidRDefault="00386093" w:rsidP="00F4402E">
            <w:pPr>
              <w:pStyle w:val="Tablefont"/>
            </w:pPr>
            <w:r>
              <w:t>IARC</w:t>
            </w:r>
          </w:p>
        </w:tc>
        <w:tc>
          <w:tcPr>
            <w:tcW w:w="6015" w:type="dxa"/>
          </w:tcPr>
          <w:p w14:paraId="52605B33" w14:textId="77777777" w:rsidR="00386093" w:rsidRPr="00DD2F9B" w:rsidRDefault="00ED2CC3" w:rsidP="00DD2F9B">
            <w:pPr>
              <w:pStyle w:val="Tablefont"/>
            </w:pPr>
            <w:r>
              <w:t>NA</w:t>
            </w:r>
          </w:p>
        </w:tc>
      </w:tr>
      <w:tr w:rsidR="00386093" w:rsidRPr="004C23F4" w14:paraId="06FC20BA" w14:textId="77777777" w:rsidTr="00812887">
        <w:trPr>
          <w:cantSplit/>
        </w:trPr>
        <w:tc>
          <w:tcPr>
            <w:tcW w:w="3227" w:type="dxa"/>
          </w:tcPr>
          <w:p w14:paraId="34E000C0" w14:textId="77777777" w:rsidR="004079B4" w:rsidRDefault="00386093" w:rsidP="00F4402E">
            <w:pPr>
              <w:pStyle w:val="Tablefont"/>
              <w:keepNext/>
            </w:pPr>
            <w:r>
              <w:t>US NIOSH</w:t>
            </w:r>
          </w:p>
        </w:tc>
        <w:tc>
          <w:tcPr>
            <w:tcW w:w="6015" w:type="dxa"/>
          </w:tcPr>
          <w:p w14:paraId="10898691" w14:textId="77777777" w:rsidR="00386093" w:rsidRPr="00DD2F9B" w:rsidRDefault="00ED2CC3" w:rsidP="00D87570">
            <w:pPr>
              <w:pStyle w:val="Tablefont"/>
              <w:keepNext/>
            </w:pPr>
            <w:r>
              <w:t>NA</w:t>
            </w:r>
          </w:p>
        </w:tc>
      </w:tr>
    </w:tbl>
    <w:bookmarkEnd w:id="2"/>
    <w:p w14:paraId="11802DF4"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7D6FADD2" w14:textId="77777777" w:rsidR="00474E33" w:rsidRDefault="00474E33" w:rsidP="00474E33">
      <w:pPr>
        <w:pStyle w:val="Heading3"/>
      </w:pPr>
      <w:r>
        <w:lastRenderedPageBreak/>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182E4D20" w14:textId="77777777" w:rsidTr="00EA6243">
        <w:trPr>
          <w:cantSplit/>
          <w:tblHeader/>
        </w:trPr>
        <w:tc>
          <w:tcPr>
            <w:tcW w:w="5000" w:type="pct"/>
            <w:shd w:val="clear" w:color="auto" w:fill="BFBFBF" w:themeFill="background1" w:themeFillShade="BF"/>
            <w:vAlign w:val="center"/>
          </w:tcPr>
          <w:p w14:paraId="406C5CBB"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1BB29060" w14:textId="77777777" w:rsidTr="00EA6243">
        <w:trPr>
          <w:cantSplit/>
          <w:tblHeader/>
        </w:trPr>
        <w:tc>
          <w:tcPr>
            <w:tcW w:w="5000" w:type="pct"/>
            <w:vAlign w:val="center"/>
          </w:tcPr>
          <w:tbl>
            <w:tblPr>
              <w:tblW w:w="9510" w:type="dxa"/>
              <w:tblLook w:val="04A0" w:firstRow="1" w:lastRow="0" w:firstColumn="1" w:lastColumn="0" w:noHBand="0" w:noVBand="1"/>
            </w:tblPr>
            <w:tblGrid>
              <w:gridCol w:w="3654"/>
              <w:gridCol w:w="1088"/>
              <w:gridCol w:w="1088"/>
              <w:gridCol w:w="2980"/>
            </w:tblGrid>
            <w:tr w:rsidR="0066456C" w:rsidRPr="0066456C" w14:paraId="1DA237B4" w14:textId="77777777" w:rsidTr="0066456C">
              <w:trPr>
                <w:trHeight w:val="231"/>
              </w:trPr>
              <w:tc>
                <w:tcPr>
                  <w:tcW w:w="3957" w:type="dxa"/>
                  <w:tcBorders>
                    <w:top w:val="nil"/>
                    <w:left w:val="nil"/>
                    <w:bottom w:val="nil"/>
                    <w:right w:val="nil"/>
                  </w:tcBorders>
                  <w:shd w:val="clear" w:color="000000" w:fill="C5D9F1"/>
                  <w:noWrap/>
                  <w:vAlign w:val="center"/>
                  <w:hideMark/>
                </w:tcPr>
                <w:p w14:paraId="43517A46" w14:textId="77777777" w:rsidR="0066456C" w:rsidRPr="0066456C" w:rsidRDefault="0066456C" w:rsidP="0066456C">
                  <w:pPr>
                    <w:spacing w:after="0" w:line="240" w:lineRule="auto"/>
                    <w:jc w:val="right"/>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Adverse effects in human case study:</w:t>
                  </w:r>
                </w:p>
              </w:tc>
              <w:tc>
                <w:tcPr>
                  <w:tcW w:w="1165" w:type="dxa"/>
                  <w:tcBorders>
                    <w:top w:val="nil"/>
                    <w:left w:val="nil"/>
                    <w:bottom w:val="nil"/>
                    <w:right w:val="nil"/>
                  </w:tcBorders>
                  <w:shd w:val="clear" w:color="000000" w:fill="C5D9F1"/>
                  <w:noWrap/>
                  <w:vAlign w:val="center"/>
                  <w:hideMark/>
                </w:tcPr>
                <w:p w14:paraId="27CCAB5E" w14:textId="77777777" w:rsidR="0066456C" w:rsidRPr="0066456C" w:rsidRDefault="0066456C" w:rsidP="0066456C">
                  <w:pPr>
                    <w:spacing w:after="0" w:line="240" w:lineRule="auto"/>
                    <w:jc w:val="center"/>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no</w:t>
                  </w:r>
                </w:p>
              </w:tc>
              <w:tc>
                <w:tcPr>
                  <w:tcW w:w="1165" w:type="dxa"/>
                  <w:tcBorders>
                    <w:top w:val="nil"/>
                    <w:left w:val="nil"/>
                    <w:bottom w:val="nil"/>
                    <w:right w:val="nil"/>
                  </w:tcBorders>
                  <w:shd w:val="clear" w:color="000000" w:fill="C5D9F1"/>
                  <w:noWrap/>
                  <w:vAlign w:val="center"/>
                  <w:hideMark/>
                </w:tcPr>
                <w:p w14:paraId="71D70A1D" w14:textId="77777777" w:rsidR="0066456C" w:rsidRPr="0066456C" w:rsidRDefault="0066456C" w:rsidP="0066456C">
                  <w:pPr>
                    <w:spacing w:after="0" w:line="240" w:lineRule="auto"/>
                    <w:rPr>
                      <w:rFonts w:ascii="Segoe UI" w:eastAsia="Times New Roman" w:hAnsi="Segoe UI" w:cs="Segoe UI"/>
                      <w:color w:val="C5D9F1"/>
                      <w:sz w:val="18"/>
                      <w:szCs w:val="18"/>
                      <w:lang w:eastAsia="en-AU"/>
                    </w:rPr>
                  </w:pPr>
                  <w:r w:rsidRPr="0066456C">
                    <w:rPr>
                      <w:rFonts w:ascii="Segoe UI" w:eastAsia="Times New Roman" w:hAnsi="Segoe UI" w:cs="Segoe UI"/>
                      <w:color w:val="C5D9F1"/>
                      <w:sz w:val="18"/>
                      <w:szCs w:val="18"/>
                      <w:lang w:eastAsia="en-AU"/>
                    </w:rPr>
                    <w:t> </w:t>
                  </w:r>
                </w:p>
              </w:tc>
              <w:tc>
                <w:tcPr>
                  <w:tcW w:w="3223" w:type="dxa"/>
                  <w:tcBorders>
                    <w:top w:val="nil"/>
                    <w:left w:val="nil"/>
                    <w:bottom w:val="nil"/>
                    <w:right w:val="nil"/>
                  </w:tcBorders>
                  <w:shd w:val="clear" w:color="000000" w:fill="C5D9F1"/>
                  <w:noWrap/>
                  <w:vAlign w:val="center"/>
                  <w:hideMark/>
                </w:tcPr>
                <w:p w14:paraId="61ABF9FD" w14:textId="77777777" w:rsidR="0066456C" w:rsidRPr="0066456C" w:rsidRDefault="0066456C" w:rsidP="0066456C">
                  <w:pPr>
                    <w:spacing w:after="0" w:line="240" w:lineRule="auto"/>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 </w:t>
                  </w:r>
                </w:p>
              </w:tc>
            </w:tr>
            <w:tr w:rsidR="0066456C" w:rsidRPr="0066456C" w14:paraId="39691FD4" w14:textId="77777777" w:rsidTr="0066456C">
              <w:trPr>
                <w:trHeight w:val="231"/>
              </w:trPr>
              <w:tc>
                <w:tcPr>
                  <w:tcW w:w="3957" w:type="dxa"/>
                  <w:tcBorders>
                    <w:top w:val="nil"/>
                    <w:left w:val="nil"/>
                    <w:bottom w:val="nil"/>
                    <w:right w:val="nil"/>
                  </w:tcBorders>
                  <w:shd w:val="clear" w:color="000000" w:fill="C5D9F1"/>
                  <w:noWrap/>
                  <w:vAlign w:val="center"/>
                  <w:hideMark/>
                </w:tcPr>
                <w:p w14:paraId="733FB13B" w14:textId="77777777" w:rsidR="0066456C" w:rsidRPr="0066456C" w:rsidRDefault="0066456C" w:rsidP="0066456C">
                  <w:pPr>
                    <w:spacing w:after="0" w:line="240" w:lineRule="auto"/>
                    <w:jc w:val="right"/>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Dermal LD</w:t>
                  </w:r>
                  <w:r w:rsidRPr="0066456C">
                    <w:rPr>
                      <w:rFonts w:ascii="Segoe UI" w:eastAsia="Times New Roman" w:hAnsi="Segoe UI" w:cs="Segoe UI"/>
                      <w:color w:val="000000"/>
                      <w:sz w:val="18"/>
                      <w:szCs w:val="18"/>
                      <w:vertAlign w:val="subscript"/>
                      <w:lang w:eastAsia="en-AU"/>
                    </w:rPr>
                    <w:t>50</w:t>
                  </w:r>
                  <w:r w:rsidRPr="0066456C">
                    <w:rPr>
                      <w:rFonts w:ascii="Segoe UI" w:eastAsia="Times New Roman" w:hAnsi="Segoe UI" w:cs="Segoe UI"/>
                      <w:color w:val="000000"/>
                      <w:sz w:val="18"/>
                      <w:szCs w:val="18"/>
                      <w:lang w:eastAsia="en-AU"/>
                    </w:rPr>
                    <w:t xml:space="preserve"> ≤1000 mg/kg:</w:t>
                  </w:r>
                </w:p>
              </w:tc>
              <w:tc>
                <w:tcPr>
                  <w:tcW w:w="1165" w:type="dxa"/>
                  <w:tcBorders>
                    <w:top w:val="nil"/>
                    <w:left w:val="nil"/>
                    <w:bottom w:val="nil"/>
                    <w:right w:val="nil"/>
                  </w:tcBorders>
                  <w:shd w:val="clear" w:color="000000" w:fill="C5D9F1"/>
                  <w:noWrap/>
                  <w:vAlign w:val="center"/>
                  <w:hideMark/>
                </w:tcPr>
                <w:p w14:paraId="6D7F1127" w14:textId="77777777" w:rsidR="0066456C" w:rsidRPr="0066456C" w:rsidRDefault="0066456C" w:rsidP="0066456C">
                  <w:pPr>
                    <w:spacing w:after="0" w:line="240" w:lineRule="auto"/>
                    <w:jc w:val="center"/>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no</w:t>
                  </w:r>
                </w:p>
              </w:tc>
              <w:tc>
                <w:tcPr>
                  <w:tcW w:w="1165" w:type="dxa"/>
                  <w:tcBorders>
                    <w:top w:val="nil"/>
                    <w:left w:val="nil"/>
                    <w:bottom w:val="nil"/>
                    <w:right w:val="nil"/>
                  </w:tcBorders>
                  <w:shd w:val="clear" w:color="000000" w:fill="C5D9F1"/>
                  <w:noWrap/>
                  <w:vAlign w:val="center"/>
                  <w:hideMark/>
                </w:tcPr>
                <w:p w14:paraId="3EC1F496" w14:textId="77777777" w:rsidR="0066456C" w:rsidRPr="0066456C" w:rsidRDefault="0066456C" w:rsidP="0066456C">
                  <w:pPr>
                    <w:spacing w:after="0" w:line="240" w:lineRule="auto"/>
                    <w:rPr>
                      <w:rFonts w:ascii="Segoe UI" w:eastAsia="Times New Roman" w:hAnsi="Segoe UI" w:cs="Segoe UI"/>
                      <w:color w:val="C5D9F1"/>
                      <w:sz w:val="18"/>
                      <w:szCs w:val="18"/>
                      <w:lang w:eastAsia="en-AU"/>
                    </w:rPr>
                  </w:pPr>
                  <w:r w:rsidRPr="0066456C">
                    <w:rPr>
                      <w:rFonts w:ascii="Segoe UI" w:eastAsia="Times New Roman" w:hAnsi="Segoe UI" w:cs="Segoe UI"/>
                      <w:color w:val="C5D9F1"/>
                      <w:sz w:val="18"/>
                      <w:szCs w:val="18"/>
                      <w:lang w:eastAsia="en-AU"/>
                    </w:rPr>
                    <w:t> </w:t>
                  </w:r>
                </w:p>
              </w:tc>
              <w:tc>
                <w:tcPr>
                  <w:tcW w:w="3223" w:type="dxa"/>
                  <w:tcBorders>
                    <w:top w:val="nil"/>
                    <w:left w:val="nil"/>
                    <w:bottom w:val="nil"/>
                    <w:right w:val="nil"/>
                  </w:tcBorders>
                  <w:shd w:val="clear" w:color="000000" w:fill="C5D9F1"/>
                  <w:noWrap/>
                  <w:vAlign w:val="center"/>
                  <w:hideMark/>
                </w:tcPr>
                <w:p w14:paraId="31D0FC3B" w14:textId="77777777" w:rsidR="0066456C" w:rsidRPr="0066456C" w:rsidRDefault="0066456C" w:rsidP="0066456C">
                  <w:pPr>
                    <w:spacing w:after="0" w:line="240" w:lineRule="auto"/>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 </w:t>
                  </w:r>
                </w:p>
              </w:tc>
            </w:tr>
            <w:tr w:rsidR="0066456C" w:rsidRPr="0066456C" w14:paraId="13606095" w14:textId="77777777" w:rsidTr="0066456C">
              <w:trPr>
                <w:trHeight w:val="231"/>
              </w:trPr>
              <w:tc>
                <w:tcPr>
                  <w:tcW w:w="3957" w:type="dxa"/>
                  <w:tcBorders>
                    <w:top w:val="nil"/>
                    <w:left w:val="nil"/>
                    <w:bottom w:val="nil"/>
                    <w:right w:val="nil"/>
                  </w:tcBorders>
                  <w:shd w:val="clear" w:color="000000" w:fill="C5D9F1"/>
                  <w:noWrap/>
                  <w:vAlign w:val="center"/>
                  <w:hideMark/>
                </w:tcPr>
                <w:p w14:paraId="10F6CAEE" w14:textId="77777777" w:rsidR="0066456C" w:rsidRPr="0066456C" w:rsidRDefault="0066456C" w:rsidP="0066456C">
                  <w:pPr>
                    <w:spacing w:after="0" w:line="240" w:lineRule="auto"/>
                    <w:jc w:val="right"/>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Dermal repeat-dose NOAEL ≤200 mg/kg:</w:t>
                  </w:r>
                </w:p>
              </w:tc>
              <w:tc>
                <w:tcPr>
                  <w:tcW w:w="1165" w:type="dxa"/>
                  <w:tcBorders>
                    <w:top w:val="nil"/>
                    <w:left w:val="nil"/>
                    <w:bottom w:val="nil"/>
                    <w:right w:val="nil"/>
                  </w:tcBorders>
                  <w:shd w:val="clear" w:color="000000" w:fill="C5D9F1"/>
                  <w:noWrap/>
                  <w:vAlign w:val="center"/>
                  <w:hideMark/>
                </w:tcPr>
                <w:p w14:paraId="66D3C7CD" w14:textId="77777777" w:rsidR="0066456C" w:rsidRPr="0066456C" w:rsidRDefault="0066456C" w:rsidP="0066456C">
                  <w:pPr>
                    <w:spacing w:after="0" w:line="240" w:lineRule="auto"/>
                    <w:jc w:val="center"/>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 </w:t>
                  </w:r>
                </w:p>
              </w:tc>
              <w:tc>
                <w:tcPr>
                  <w:tcW w:w="1165" w:type="dxa"/>
                  <w:tcBorders>
                    <w:top w:val="nil"/>
                    <w:left w:val="nil"/>
                    <w:bottom w:val="nil"/>
                    <w:right w:val="nil"/>
                  </w:tcBorders>
                  <w:shd w:val="clear" w:color="000000" w:fill="C5D9F1"/>
                  <w:noWrap/>
                  <w:vAlign w:val="center"/>
                  <w:hideMark/>
                </w:tcPr>
                <w:p w14:paraId="65A4FE47" w14:textId="77777777" w:rsidR="0066456C" w:rsidRPr="0066456C" w:rsidRDefault="0066456C" w:rsidP="0066456C">
                  <w:pPr>
                    <w:spacing w:after="0" w:line="240" w:lineRule="auto"/>
                    <w:rPr>
                      <w:rFonts w:ascii="Segoe UI" w:eastAsia="Times New Roman" w:hAnsi="Segoe UI" w:cs="Segoe UI"/>
                      <w:color w:val="C5D9F1"/>
                      <w:sz w:val="18"/>
                      <w:szCs w:val="18"/>
                      <w:lang w:eastAsia="en-AU"/>
                    </w:rPr>
                  </w:pPr>
                  <w:r w:rsidRPr="0066456C">
                    <w:rPr>
                      <w:rFonts w:ascii="Segoe UI" w:eastAsia="Times New Roman" w:hAnsi="Segoe UI" w:cs="Segoe UI"/>
                      <w:color w:val="C5D9F1"/>
                      <w:sz w:val="18"/>
                      <w:szCs w:val="18"/>
                      <w:lang w:eastAsia="en-AU"/>
                    </w:rPr>
                    <w:t> </w:t>
                  </w:r>
                </w:p>
              </w:tc>
              <w:tc>
                <w:tcPr>
                  <w:tcW w:w="3223" w:type="dxa"/>
                  <w:tcBorders>
                    <w:top w:val="nil"/>
                    <w:left w:val="nil"/>
                    <w:bottom w:val="nil"/>
                    <w:right w:val="nil"/>
                  </w:tcBorders>
                  <w:shd w:val="clear" w:color="000000" w:fill="C5D9F1"/>
                  <w:noWrap/>
                  <w:vAlign w:val="center"/>
                  <w:hideMark/>
                </w:tcPr>
                <w:p w14:paraId="05BBDED6" w14:textId="77777777" w:rsidR="0066456C" w:rsidRPr="0066456C" w:rsidRDefault="0066456C" w:rsidP="0066456C">
                  <w:pPr>
                    <w:spacing w:after="0" w:line="240" w:lineRule="auto"/>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 </w:t>
                  </w:r>
                </w:p>
              </w:tc>
            </w:tr>
            <w:tr w:rsidR="0066456C" w:rsidRPr="0066456C" w14:paraId="79F9A505" w14:textId="77777777" w:rsidTr="0066456C">
              <w:trPr>
                <w:trHeight w:val="231"/>
              </w:trPr>
              <w:tc>
                <w:tcPr>
                  <w:tcW w:w="3957" w:type="dxa"/>
                  <w:tcBorders>
                    <w:top w:val="nil"/>
                    <w:left w:val="nil"/>
                    <w:bottom w:val="nil"/>
                    <w:right w:val="nil"/>
                  </w:tcBorders>
                  <w:shd w:val="clear" w:color="000000" w:fill="C5D9F1"/>
                  <w:noWrap/>
                  <w:vAlign w:val="center"/>
                  <w:hideMark/>
                </w:tcPr>
                <w:p w14:paraId="7365E761" w14:textId="77777777" w:rsidR="0066456C" w:rsidRPr="0066456C" w:rsidRDefault="0066456C" w:rsidP="0066456C">
                  <w:pPr>
                    <w:spacing w:after="0" w:line="240" w:lineRule="auto"/>
                    <w:jc w:val="right"/>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Dermal LD</w:t>
                  </w:r>
                  <w:r w:rsidRPr="0066456C">
                    <w:rPr>
                      <w:rFonts w:ascii="Segoe UI" w:eastAsia="Times New Roman" w:hAnsi="Segoe UI" w:cs="Segoe UI"/>
                      <w:color w:val="000000"/>
                      <w:sz w:val="18"/>
                      <w:szCs w:val="18"/>
                      <w:vertAlign w:val="subscript"/>
                      <w:lang w:eastAsia="en-AU"/>
                    </w:rPr>
                    <w:t>50</w:t>
                  </w:r>
                  <w:r w:rsidRPr="0066456C">
                    <w:rPr>
                      <w:rFonts w:ascii="Segoe UI" w:eastAsia="Times New Roman" w:hAnsi="Segoe UI" w:cs="Segoe UI"/>
                      <w:color w:val="000000"/>
                      <w:sz w:val="18"/>
                      <w:szCs w:val="18"/>
                      <w:lang w:eastAsia="en-AU"/>
                    </w:rPr>
                    <w:t>/Inhalation LD</w:t>
                  </w:r>
                  <w:r w:rsidRPr="0066456C">
                    <w:rPr>
                      <w:rFonts w:ascii="Segoe UI" w:eastAsia="Times New Roman" w:hAnsi="Segoe UI" w:cs="Segoe UI"/>
                      <w:color w:val="000000"/>
                      <w:sz w:val="18"/>
                      <w:szCs w:val="18"/>
                      <w:vertAlign w:val="subscript"/>
                      <w:lang w:eastAsia="en-AU"/>
                    </w:rPr>
                    <w:t>50</w:t>
                  </w:r>
                  <w:r w:rsidRPr="0066456C">
                    <w:rPr>
                      <w:rFonts w:ascii="Segoe UI" w:eastAsia="Times New Roman" w:hAnsi="Segoe UI" w:cs="Segoe UI"/>
                      <w:color w:val="000000"/>
                      <w:sz w:val="18"/>
                      <w:szCs w:val="18"/>
                      <w:lang w:eastAsia="en-AU"/>
                    </w:rPr>
                    <w:t xml:space="preserve"> &lt;10:</w:t>
                  </w:r>
                </w:p>
              </w:tc>
              <w:tc>
                <w:tcPr>
                  <w:tcW w:w="1165" w:type="dxa"/>
                  <w:tcBorders>
                    <w:top w:val="nil"/>
                    <w:left w:val="nil"/>
                    <w:bottom w:val="nil"/>
                    <w:right w:val="nil"/>
                  </w:tcBorders>
                  <w:shd w:val="clear" w:color="000000" w:fill="C5D9F1"/>
                  <w:noWrap/>
                  <w:vAlign w:val="center"/>
                  <w:hideMark/>
                </w:tcPr>
                <w:p w14:paraId="276A575F" w14:textId="77777777" w:rsidR="0066456C" w:rsidRPr="0066456C" w:rsidRDefault="0066456C" w:rsidP="0066456C">
                  <w:pPr>
                    <w:spacing w:after="0" w:line="240" w:lineRule="auto"/>
                    <w:jc w:val="center"/>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 </w:t>
                  </w:r>
                </w:p>
              </w:tc>
              <w:tc>
                <w:tcPr>
                  <w:tcW w:w="1165" w:type="dxa"/>
                  <w:tcBorders>
                    <w:top w:val="nil"/>
                    <w:left w:val="nil"/>
                    <w:bottom w:val="nil"/>
                    <w:right w:val="nil"/>
                  </w:tcBorders>
                  <w:shd w:val="clear" w:color="000000" w:fill="C5D9F1"/>
                  <w:noWrap/>
                  <w:vAlign w:val="center"/>
                  <w:hideMark/>
                </w:tcPr>
                <w:p w14:paraId="35A696FA" w14:textId="77777777" w:rsidR="0066456C" w:rsidRPr="0066456C" w:rsidRDefault="0066456C" w:rsidP="0066456C">
                  <w:pPr>
                    <w:spacing w:after="0" w:line="240" w:lineRule="auto"/>
                    <w:rPr>
                      <w:rFonts w:ascii="Segoe UI" w:eastAsia="Times New Roman" w:hAnsi="Segoe UI" w:cs="Segoe UI"/>
                      <w:color w:val="C5D9F1"/>
                      <w:sz w:val="18"/>
                      <w:szCs w:val="18"/>
                      <w:lang w:eastAsia="en-AU"/>
                    </w:rPr>
                  </w:pPr>
                  <w:r w:rsidRPr="0066456C">
                    <w:rPr>
                      <w:rFonts w:ascii="Segoe UI" w:eastAsia="Times New Roman" w:hAnsi="Segoe UI" w:cs="Segoe UI"/>
                      <w:color w:val="C5D9F1"/>
                      <w:sz w:val="18"/>
                      <w:szCs w:val="18"/>
                      <w:lang w:eastAsia="en-AU"/>
                    </w:rPr>
                    <w:t> </w:t>
                  </w:r>
                </w:p>
              </w:tc>
              <w:tc>
                <w:tcPr>
                  <w:tcW w:w="3223" w:type="dxa"/>
                  <w:tcBorders>
                    <w:top w:val="nil"/>
                    <w:left w:val="nil"/>
                    <w:bottom w:val="nil"/>
                    <w:right w:val="nil"/>
                  </w:tcBorders>
                  <w:shd w:val="clear" w:color="000000" w:fill="C5D9F1"/>
                  <w:noWrap/>
                  <w:vAlign w:val="center"/>
                  <w:hideMark/>
                </w:tcPr>
                <w:p w14:paraId="52FAC8E4" w14:textId="77777777" w:rsidR="0066456C" w:rsidRPr="0066456C" w:rsidRDefault="0066456C" w:rsidP="0066456C">
                  <w:pPr>
                    <w:spacing w:after="0" w:line="240" w:lineRule="auto"/>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 </w:t>
                  </w:r>
                </w:p>
              </w:tc>
            </w:tr>
            <w:tr w:rsidR="0066456C" w:rsidRPr="0066456C" w14:paraId="011024C0" w14:textId="77777777" w:rsidTr="0066456C">
              <w:trPr>
                <w:trHeight w:val="231"/>
              </w:trPr>
              <w:tc>
                <w:tcPr>
                  <w:tcW w:w="3957" w:type="dxa"/>
                  <w:tcBorders>
                    <w:top w:val="nil"/>
                    <w:left w:val="nil"/>
                    <w:bottom w:val="nil"/>
                    <w:right w:val="nil"/>
                  </w:tcBorders>
                  <w:shd w:val="clear" w:color="000000" w:fill="C5D9F1"/>
                  <w:noWrap/>
                  <w:vAlign w:val="center"/>
                  <w:hideMark/>
                </w:tcPr>
                <w:p w14:paraId="793CBAFB" w14:textId="77777777" w:rsidR="0066456C" w:rsidRPr="0066456C" w:rsidRDefault="0066456C" w:rsidP="0066456C">
                  <w:pPr>
                    <w:spacing w:after="0" w:line="240" w:lineRule="auto"/>
                    <w:jc w:val="right"/>
                    <w:rPr>
                      <w:rFonts w:ascii="Segoe UI" w:eastAsia="Times New Roman" w:hAnsi="Segoe UI" w:cs="Segoe UI"/>
                      <w:i/>
                      <w:iCs/>
                      <w:color w:val="000000"/>
                      <w:sz w:val="18"/>
                      <w:szCs w:val="18"/>
                      <w:lang w:eastAsia="en-AU"/>
                    </w:rPr>
                  </w:pPr>
                  <w:r w:rsidRPr="0066456C">
                    <w:rPr>
                      <w:rFonts w:ascii="Segoe UI" w:eastAsia="Times New Roman" w:hAnsi="Segoe UI" w:cs="Segoe UI"/>
                      <w:i/>
                      <w:iCs/>
                      <w:color w:val="000000"/>
                      <w:sz w:val="18"/>
                      <w:szCs w:val="18"/>
                      <w:lang w:eastAsia="en-AU"/>
                    </w:rPr>
                    <w:t>In vivo</w:t>
                  </w:r>
                  <w:r w:rsidRPr="0066456C">
                    <w:rPr>
                      <w:rFonts w:ascii="Segoe UI" w:eastAsia="Times New Roman" w:hAnsi="Segoe UI" w:cs="Segoe UI"/>
                      <w:color w:val="000000"/>
                      <w:sz w:val="18"/>
                      <w:szCs w:val="18"/>
                      <w:lang w:eastAsia="en-AU"/>
                    </w:rPr>
                    <w:t xml:space="preserve"> dermal absorption rate &gt;10%:</w:t>
                  </w:r>
                </w:p>
              </w:tc>
              <w:tc>
                <w:tcPr>
                  <w:tcW w:w="1165" w:type="dxa"/>
                  <w:tcBorders>
                    <w:top w:val="nil"/>
                    <w:left w:val="nil"/>
                    <w:bottom w:val="nil"/>
                    <w:right w:val="nil"/>
                  </w:tcBorders>
                  <w:shd w:val="clear" w:color="000000" w:fill="C5D9F1"/>
                  <w:noWrap/>
                  <w:vAlign w:val="center"/>
                  <w:hideMark/>
                </w:tcPr>
                <w:p w14:paraId="29DE2D4A" w14:textId="77777777" w:rsidR="0066456C" w:rsidRPr="0066456C" w:rsidRDefault="0066456C" w:rsidP="0066456C">
                  <w:pPr>
                    <w:spacing w:after="0" w:line="240" w:lineRule="auto"/>
                    <w:jc w:val="center"/>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 </w:t>
                  </w:r>
                </w:p>
              </w:tc>
              <w:tc>
                <w:tcPr>
                  <w:tcW w:w="1165" w:type="dxa"/>
                  <w:tcBorders>
                    <w:top w:val="nil"/>
                    <w:left w:val="nil"/>
                    <w:bottom w:val="nil"/>
                    <w:right w:val="nil"/>
                  </w:tcBorders>
                  <w:shd w:val="clear" w:color="000000" w:fill="C5D9F1"/>
                  <w:noWrap/>
                  <w:vAlign w:val="center"/>
                  <w:hideMark/>
                </w:tcPr>
                <w:p w14:paraId="4B7C3E55" w14:textId="77777777" w:rsidR="0066456C" w:rsidRPr="0066456C" w:rsidRDefault="0066456C" w:rsidP="0066456C">
                  <w:pPr>
                    <w:spacing w:after="0" w:line="240" w:lineRule="auto"/>
                    <w:rPr>
                      <w:rFonts w:ascii="Segoe UI" w:eastAsia="Times New Roman" w:hAnsi="Segoe UI" w:cs="Segoe UI"/>
                      <w:color w:val="C5D9F1"/>
                      <w:sz w:val="18"/>
                      <w:szCs w:val="18"/>
                      <w:lang w:eastAsia="en-AU"/>
                    </w:rPr>
                  </w:pPr>
                  <w:r w:rsidRPr="0066456C">
                    <w:rPr>
                      <w:rFonts w:ascii="Segoe UI" w:eastAsia="Times New Roman" w:hAnsi="Segoe UI" w:cs="Segoe UI"/>
                      <w:color w:val="C5D9F1"/>
                      <w:sz w:val="18"/>
                      <w:szCs w:val="18"/>
                      <w:lang w:eastAsia="en-AU"/>
                    </w:rPr>
                    <w:t> </w:t>
                  </w:r>
                </w:p>
              </w:tc>
              <w:tc>
                <w:tcPr>
                  <w:tcW w:w="3223" w:type="dxa"/>
                  <w:tcBorders>
                    <w:top w:val="nil"/>
                    <w:left w:val="nil"/>
                    <w:bottom w:val="nil"/>
                    <w:right w:val="nil"/>
                  </w:tcBorders>
                  <w:shd w:val="clear" w:color="000000" w:fill="C5D9F1"/>
                  <w:noWrap/>
                  <w:vAlign w:val="center"/>
                  <w:hideMark/>
                </w:tcPr>
                <w:p w14:paraId="78702389" w14:textId="77777777" w:rsidR="0066456C" w:rsidRPr="0066456C" w:rsidRDefault="0066456C" w:rsidP="0066456C">
                  <w:pPr>
                    <w:spacing w:after="0" w:line="240" w:lineRule="auto"/>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 </w:t>
                  </w:r>
                </w:p>
              </w:tc>
            </w:tr>
            <w:tr w:rsidR="0066456C" w:rsidRPr="0066456C" w14:paraId="40C9C4E9" w14:textId="77777777" w:rsidTr="0066456C">
              <w:trPr>
                <w:trHeight w:val="231"/>
              </w:trPr>
              <w:tc>
                <w:tcPr>
                  <w:tcW w:w="3957" w:type="dxa"/>
                  <w:tcBorders>
                    <w:top w:val="nil"/>
                    <w:left w:val="nil"/>
                    <w:bottom w:val="nil"/>
                    <w:right w:val="nil"/>
                  </w:tcBorders>
                  <w:shd w:val="clear" w:color="000000" w:fill="C5D9F1"/>
                  <w:noWrap/>
                  <w:vAlign w:val="center"/>
                  <w:hideMark/>
                </w:tcPr>
                <w:p w14:paraId="635E9577" w14:textId="77777777" w:rsidR="0066456C" w:rsidRPr="0066456C" w:rsidRDefault="0066456C" w:rsidP="0066456C">
                  <w:pPr>
                    <w:spacing w:after="0" w:line="240" w:lineRule="auto"/>
                    <w:jc w:val="right"/>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Estimated dermal exposure at WES &gt;10%:</w:t>
                  </w:r>
                </w:p>
              </w:tc>
              <w:tc>
                <w:tcPr>
                  <w:tcW w:w="1165" w:type="dxa"/>
                  <w:tcBorders>
                    <w:top w:val="nil"/>
                    <w:left w:val="nil"/>
                    <w:bottom w:val="nil"/>
                    <w:right w:val="nil"/>
                  </w:tcBorders>
                  <w:shd w:val="clear" w:color="000000" w:fill="C5D9F1"/>
                  <w:noWrap/>
                  <w:vAlign w:val="center"/>
                  <w:hideMark/>
                </w:tcPr>
                <w:p w14:paraId="3E98ED85" w14:textId="77777777" w:rsidR="0066456C" w:rsidRPr="0066456C" w:rsidRDefault="0066456C" w:rsidP="0066456C">
                  <w:pPr>
                    <w:spacing w:after="0" w:line="240" w:lineRule="auto"/>
                    <w:jc w:val="center"/>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 </w:t>
                  </w:r>
                </w:p>
              </w:tc>
              <w:tc>
                <w:tcPr>
                  <w:tcW w:w="1165" w:type="dxa"/>
                  <w:tcBorders>
                    <w:top w:val="nil"/>
                    <w:left w:val="nil"/>
                    <w:bottom w:val="nil"/>
                    <w:right w:val="nil"/>
                  </w:tcBorders>
                  <w:shd w:val="clear" w:color="000000" w:fill="C5D9F1"/>
                  <w:noWrap/>
                  <w:vAlign w:val="center"/>
                  <w:hideMark/>
                </w:tcPr>
                <w:p w14:paraId="0BDCCCDA" w14:textId="77777777" w:rsidR="0066456C" w:rsidRPr="0066456C" w:rsidRDefault="0066456C" w:rsidP="0066456C">
                  <w:pPr>
                    <w:spacing w:after="0" w:line="240" w:lineRule="auto"/>
                    <w:rPr>
                      <w:rFonts w:ascii="Segoe UI" w:eastAsia="Times New Roman" w:hAnsi="Segoe UI" w:cs="Segoe UI"/>
                      <w:color w:val="C5D9F1"/>
                      <w:sz w:val="18"/>
                      <w:szCs w:val="18"/>
                      <w:lang w:eastAsia="en-AU"/>
                    </w:rPr>
                  </w:pPr>
                  <w:r w:rsidRPr="0066456C">
                    <w:rPr>
                      <w:rFonts w:ascii="Segoe UI" w:eastAsia="Times New Roman" w:hAnsi="Segoe UI" w:cs="Segoe UI"/>
                      <w:color w:val="C5D9F1"/>
                      <w:sz w:val="18"/>
                      <w:szCs w:val="18"/>
                      <w:lang w:eastAsia="en-AU"/>
                    </w:rPr>
                    <w:t> </w:t>
                  </w:r>
                </w:p>
              </w:tc>
              <w:tc>
                <w:tcPr>
                  <w:tcW w:w="3223" w:type="dxa"/>
                  <w:tcBorders>
                    <w:top w:val="nil"/>
                    <w:left w:val="nil"/>
                    <w:bottom w:val="nil"/>
                    <w:right w:val="nil"/>
                  </w:tcBorders>
                  <w:shd w:val="clear" w:color="000000" w:fill="C5D9F1"/>
                  <w:noWrap/>
                  <w:vAlign w:val="center"/>
                  <w:hideMark/>
                </w:tcPr>
                <w:p w14:paraId="30AB9040" w14:textId="77777777" w:rsidR="0066456C" w:rsidRPr="0066456C" w:rsidRDefault="0066456C" w:rsidP="0066456C">
                  <w:pPr>
                    <w:spacing w:after="0" w:line="240" w:lineRule="auto"/>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 </w:t>
                  </w:r>
                </w:p>
              </w:tc>
            </w:tr>
            <w:tr w:rsidR="0066456C" w:rsidRPr="0066456C" w14:paraId="02F1EF88" w14:textId="77777777" w:rsidTr="0066456C">
              <w:trPr>
                <w:trHeight w:val="231"/>
              </w:trPr>
              <w:tc>
                <w:tcPr>
                  <w:tcW w:w="3957" w:type="dxa"/>
                  <w:tcBorders>
                    <w:top w:val="nil"/>
                    <w:left w:val="nil"/>
                    <w:bottom w:val="nil"/>
                    <w:right w:val="nil"/>
                  </w:tcBorders>
                  <w:shd w:val="clear" w:color="000000" w:fill="C5D9F1"/>
                  <w:noWrap/>
                  <w:vAlign w:val="center"/>
                  <w:hideMark/>
                </w:tcPr>
                <w:p w14:paraId="1793FA6F" w14:textId="77777777" w:rsidR="0066456C" w:rsidRPr="0066456C" w:rsidRDefault="0066456C" w:rsidP="0066456C">
                  <w:pPr>
                    <w:spacing w:after="0" w:line="240" w:lineRule="auto"/>
                    <w:jc w:val="right"/>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 </w:t>
                  </w:r>
                </w:p>
              </w:tc>
              <w:tc>
                <w:tcPr>
                  <w:tcW w:w="1165" w:type="dxa"/>
                  <w:tcBorders>
                    <w:top w:val="nil"/>
                    <w:left w:val="nil"/>
                    <w:bottom w:val="nil"/>
                    <w:right w:val="nil"/>
                  </w:tcBorders>
                  <w:shd w:val="clear" w:color="000000" w:fill="C5D9F1"/>
                  <w:noWrap/>
                  <w:vAlign w:val="center"/>
                  <w:hideMark/>
                </w:tcPr>
                <w:p w14:paraId="22FB3B5C" w14:textId="77777777" w:rsidR="0066456C" w:rsidRPr="0066456C" w:rsidRDefault="0066456C" w:rsidP="0066456C">
                  <w:pPr>
                    <w:spacing w:after="0" w:line="240" w:lineRule="auto"/>
                    <w:jc w:val="center"/>
                    <w:rPr>
                      <w:rFonts w:ascii="Segoe UI" w:eastAsia="Times New Roman" w:hAnsi="Segoe UI" w:cs="Segoe UI"/>
                      <w:color w:val="000000"/>
                      <w:sz w:val="18"/>
                      <w:szCs w:val="18"/>
                      <w:lang w:eastAsia="en-AU"/>
                    </w:rPr>
                  </w:pPr>
                  <w:r w:rsidRPr="0066456C">
                    <w:rPr>
                      <w:rFonts w:ascii="Segoe UI" w:eastAsia="Times New Roman" w:hAnsi="Segoe UI" w:cs="Segoe UI"/>
                      <w:color w:val="000000"/>
                      <w:sz w:val="18"/>
                      <w:szCs w:val="18"/>
                      <w:lang w:eastAsia="en-AU"/>
                    </w:rPr>
                    <w:t> </w:t>
                  </w:r>
                </w:p>
              </w:tc>
              <w:tc>
                <w:tcPr>
                  <w:tcW w:w="1165" w:type="dxa"/>
                  <w:tcBorders>
                    <w:top w:val="nil"/>
                    <w:left w:val="nil"/>
                    <w:bottom w:val="nil"/>
                    <w:right w:val="nil"/>
                  </w:tcBorders>
                  <w:shd w:val="clear" w:color="000000" w:fill="C5D9F1"/>
                  <w:noWrap/>
                  <w:vAlign w:val="center"/>
                  <w:hideMark/>
                </w:tcPr>
                <w:p w14:paraId="1B20F365" w14:textId="77777777" w:rsidR="0066456C" w:rsidRPr="0066456C" w:rsidRDefault="0066456C" w:rsidP="0066456C">
                  <w:pPr>
                    <w:spacing w:after="0" w:line="240" w:lineRule="auto"/>
                    <w:rPr>
                      <w:rFonts w:ascii="Segoe UI" w:eastAsia="Times New Roman" w:hAnsi="Segoe UI" w:cs="Segoe UI"/>
                      <w:color w:val="C5D9F1"/>
                      <w:sz w:val="18"/>
                      <w:szCs w:val="18"/>
                      <w:lang w:eastAsia="en-AU"/>
                    </w:rPr>
                  </w:pPr>
                  <w:r w:rsidRPr="0066456C">
                    <w:rPr>
                      <w:rFonts w:ascii="Segoe UI" w:eastAsia="Times New Roman" w:hAnsi="Segoe UI" w:cs="Segoe UI"/>
                      <w:color w:val="C5D9F1"/>
                      <w:sz w:val="18"/>
                      <w:szCs w:val="18"/>
                      <w:lang w:eastAsia="en-AU"/>
                    </w:rPr>
                    <w:t> </w:t>
                  </w:r>
                </w:p>
              </w:tc>
              <w:tc>
                <w:tcPr>
                  <w:tcW w:w="3223" w:type="dxa"/>
                  <w:tcBorders>
                    <w:top w:val="nil"/>
                    <w:left w:val="nil"/>
                    <w:bottom w:val="nil"/>
                    <w:right w:val="nil"/>
                  </w:tcBorders>
                  <w:shd w:val="clear" w:color="000000" w:fill="C5D9F1"/>
                  <w:noWrap/>
                  <w:vAlign w:val="center"/>
                  <w:hideMark/>
                </w:tcPr>
                <w:p w14:paraId="5A261B4B" w14:textId="77777777" w:rsidR="0066456C" w:rsidRPr="0066456C" w:rsidRDefault="0066456C" w:rsidP="0066456C">
                  <w:pPr>
                    <w:spacing w:after="0" w:line="240" w:lineRule="auto"/>
                    <w:rPr>
                      <w:rFonts w:ascii="Segoe UI" w:eastAsia="Times New Roman" w:hAnsi="Segoe UI" w:cs="Segoe UI"/>
                      <w:b/>
                      <w:bCs/>
                      <w:color w:val="000000"/>
                      <w:sz w:val="18"/>
                      <w:szCs w:val="18"/>
                      <w:lang w:eastAsia="en-AU"/>
                    </w:rPr>
                  </w:pPr>
                  <w:r w:rsidRPr="0066456C">
                    <w:rPr>
                      <w:rFonts w:ascii="Segoe UI" w:eastAsia="Times New Roman" w:hAnsi="Segoe UI" w:cs="Segoe UI"/>
                      <w:b/>
                      <w:bCs/>
                      <w:color w:val="000000"/>
                      <w:sz w:val="18"/>
                      <w:szCs w:val="18"/>
                      <w:lang w:eastAsia="en-AU"/>
                    </w:rPr>
                    <w:t>a skin notation is not warranted</w:t>
                  </w:r>
                </w:p>
              </w:tc>
            </w:tr>
          </w:tbl>
          <w:p w14:paraId="167EDB5F" w14:textId="77777777" w:rsidR="00932DCE" w:rsidRPr="004C23F4" w:rsidRDefault="00932DCE" w:rsidP="00F9496B">
            <w:pPr>
              <w:pStyle w:val="Tablefont"/>
            </w:pPr>
          </w:p>
        </w:tc>
      </w:tr>
    </w:tbl>
    <w:bookmarkEnd w:id="3"/>
    <w:p w14:paraId="2C597A95"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1A8D222F" w14:textId="77777777" w:rsidTr="00610F2E">
        <w:trPr>
          <w:trHeight w:val="454"/>
          <w:tblHeader/>
        </w:trPr>
        <w:tc>
          <w:tcPr>
            <w:tcW w:w="4361" w:type="dxa"/>
            <w:vAlign w:val="center"/>
          </w:tcPr>
          <w:p w14:paraId="7FC07972"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16000A05" w14:textId="77777777" w:rsidR="00EB3D1B" w:rsidRDefault="00ED2CC3" w:rsidP="00EB3D1B">
                <w:pPr>
                  <w:pStyle w:val="Tablefont"/>
                </w:pPr>
                <w:r>
                  <w:t>Yes</w:t>
                </w:r>
              </w:p>
            </w:tc>
          </w:sdtContent>
        </w:sdt>
      </w:tr>
    </w:tbl>
    <w:p w14:paraId="336519AD"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5C049165" w14:textId="77777777" w:rsidTr="00EA6243">
        <w:trPr>
          <w:cantSplit/>
          <w:tblHeader/>
        </w:trPr>
        <w:tc>
          <w:tcPr>
            <w:tcW w:w="4077" w:type="dxa"/>
            <w:vAlign w:val="center"/>
          </w:tcPr>
          <w:p w14:paraId="4896C8F4"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5BA820F0" w14:textId="77777777" w:rsidR="001B79E5" w:rsidRDefault="00AD21B8" w:rsidP="001B79E5">
                <w:pPr>
                  <w:pStyle w:val="Tablefont"/>
                </w:pPr>
                <w:r w:rsidRPr="00AD21B8">
                  <w:t>67.46</w:t>
                </w:r>
              </w:p>
            </w:tc>
          </w:sdtContent>
        </w:sdt>
      </w:tr>
      <w:tr w:rsidR="00A31D99" w:rsidRPr="004C23F4" w14:paraId="281D4055" w14:textId="77777777" w:rsidTr="00EA6243">
        <w:trPr>
          <w:cantSplit/>
          <w:tblHeader/>
        </w:trPr>
        <w:tc>
          <w:tcPr>
            <w:tcW w:w="4077" w:type="dxa"/>
            <w:vAlign w:val="center"/>
          </w:tcPr>
          <w:p w14:paraId="364AB359"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6ACF2722"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43BF04A8" w14:textId="77777777" w:rsidTr="00EA6243">
        <w:trPr>
          <w:cantSplit/>
          <w:tblHeader/>
        </w:trPr>
        <w:tc>
          <w:tcPr>
            <w:tcW w:w="4077" w:type="dxa"/>
            <w:vAlign w:val="center"/>
          </w:tcPr>
          <w:p w14:paraId="0539D5D3" w14:textId="77777777" w:rsidR="00687890" w:rsidRPr="00263255" w:rsidRDefault="00687890" w:rsidP="00263255">
            <w:pPr>
              <w:pStyle w:val="Tablefont"/>
            </w:pPr>
            <w:r w:rsidRPr="00263255">
              <w:t>This chemical is used as a pesticide:</w:t>
            </w:r>
          </w:p>
        </w:tc>
        <w:sdt>
          <w:sdtPr>
            <w:id w:val="1704441067"/>
            <w14:checkbox>
              <w14:checked w14:val="1"/>
              <w14:checkedState w14:val="00FC" w14:font="Wingdings"/>
              <w14:uncheckedState w14:val="2610" w14:font="MS Gothic"/>
            </w14:checkbox>
          </w:sdtPr>
          <w:sdtEndPr/>
          <w:sdtContent>
            <w:tc>
              <w:tcPr>
                <w:tcW w:w="5165" w:type="dxa"/>
                <w:vAlign w:val="center"/>
              </w:tcPr>
              <w:p w14:paraId="16CCA412" w14:textId="77777777" w:rsidR="00687890" w:rsidRPr="004C23F4" w:rsidRDefault="00AD21B8" w:rsidP="00717D45">
                <w:pPr>
                  <w:pStyle w:val="Tablefont"/>
                </w:pPr>
                <w:r>
                  <w:sym w:font="Wingdings" w:char="F0FC"/>
                </w:r>
              </w:p>
            </w:tc>
          </w:sdtContent>
        </w:sdt>
      </w:tr>
      <w:tr w:rsidR="00687890" w:rsidRPr="004C23F4" w14:paraId="71DBBA78" w14:textId="77777777" w:rsidTr="00EA6243">
        <w:trPr>
          <w:cantSplit/>
        </w:trPr>
        <w:tc>
          <w:tcPr>
            <w:tcW w:w="4077" w:type="dxa"/>
            <w:vAlign w:val="center"/>
          </w:tcPr>
          <w:p w14:paraId="12226AC4"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D668A7D"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4E362870" w14:textId="77777777" w:rsidTr="00EA6243">
        <w:trPr>
          <w:cantSplit/>
        </w:trPr>
        <w:tc>
          <w:tcPr>
            <w:tcW w:w="4077" w:type="dxa"/>
            <w:vAlign w:val="center"/>
          </w:tcPr>
          <w:p w14:paraId="158D7E5D" w14:textId="77777777" w:rsidR="00687890" w:rsidRPr="00263255" w:rsidRDefault="00687890" w:rsidP="00263255">
            <w:pPr>
              <w:pStyle w:val="Tablefont"/>
            </w:pPr>
            <w:r w:rsidRPr="00263255">
              <w:t>This chemical is a by-product of a process:</w:t>
            </w:r>
          </w:p>
        </w:tc>
        <w:sdt>
          <w:sdtPr>
            <w:id w:val="-863134491"/>
            <w14:checkbox>
              <w14:checked w14:val="1"/>
              <w14:checkedState w14:val="00FC" w14:font="Wingdings"/>
              <w14:uncheckedState w14:val="2610" w14:font="MS Gothic"/>
            </w14:checkbox>
          </w:sdtPr>
          <w:sdtEndPr/>
          <w:sdtContent>
            <w:tc>
              <w:tcPr>
                <w:tcW w:w="5165" w:type="dxa"/>
                <w:vAlign w:val="center"/>
              </w:tcPr>
              <w:p w14:paraId="7035777F" w14:textId="77777777" w:rsidR="00687890" w:rsidRPr="004C23F4" w:rsidRDefault="00AD21B8" w:rsidP="00717D45">
                <w:pPr>
                  <w:pStyle w:val="Tablefont"/>
                </w:pPr>
                <w:r>
                  <w:sym w:font="Wingdings" w:char="F0FC"/>
                </w:r>
              </w:p>
            </w:tc>
          </w:sdtContent>
        </w:sdt>
      </w:tr>
      <w:tr w:rsidR="00E06F40" w:rsidRPr="004C23F4" w14:paraId="36890B82" w14:textId="77777777" w:rsidTr="00EA6243">
        <w:trPr>
          <w:cantSplit/>
        </w:trPr>
        <w:tc>
          <w:tcPr>
            <w:tcW w:w="4077" w:type="dxa"/>
            <w:vAlign w:val="center"/>
          </w:tcPr>
          <w:p w14:paraId="0EBA40B5"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1A512870" w14:textId="77777777" w:rsidR="00E06F40" w:rsidRPr="00A006A0" w:rsidRDefault="0026598D"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428B4442"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5AB00D4C" w14:textId="77777777" w:rsidTr="00F053FA">
        <w:trPr>
          <w:tblHeader/>
        </w:trPr>
        <w:tc>
          <w:tcPr>
            <w:tcW w:w="4077" w:type="dxa"/>
            <w:shd w:val="clear" w:color="auto" w:fill="BFBFBF" w:themeFill="background1" w:themeFillShade="BF"/>
            <w:vAlign w:val="center"/>
          </w:tcPr>
          <w:p w14:paraId="73C65D22"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1BEFD44B" w14:textId="77777777" w:rsidR="00224EE2" w:rsidRPr="004C23F4" w:rsidRDefault="00224EE2" w:rsidP="00EB3D1B">
            <w:pPr>
              <w:pStyle w:val="Tableheader"/>
              <w:keepNext/>
              <w:keepLines/>
            </w:pPr>
            <w:r>
              <w:t>Standard</w:t>
            </w:r>
          </w:p>
        </w:tc>
      </w:tr>
      <w:tr w:rsidR="007F1005" w:rsidRPr="004C23F4" w14:paraId="2D0F4DB9" w14:textId="77777777" w:rsidTr="00F053FA">
        <w:trPr>
          <w:tblHeader/>
        </w:trPr>
        <w:sdt>
          <w:sdtPr>
            <w:id w:val="-25557549"/>
            <w:placeholder>
              <w:docPart w:val="2BF891C0AB704CDAB9BC6E80D556473F"/>
            </w:placeholder>
            <w:showingPlcHdr/>
            <w:text/>
          </w:sdtPr>
          <w:sdtEndPr/>
          <w:sdtContent>
            <w:tc>
              <w:tcPr>
                <w:tcW w:w="4077" w:type="dxa"/>
                <w:vAlign w:val="center"/>
              </w:tcPr>
              <w:p w14:paraId="2EFB0476"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6EE6F343" w14:textId="77777777" w:rsidR="007F1005" w:rsidRPr="004C23F4" w:rsidRDefault="007F1005" w:rsidP="00EB3D1B">
            <w:pPr>
              <w:pStyle w:val="Tablefont"/>
              <w:keepLines/>
            </w:pPr>
          </w:p>
        </w:tc>
      </w:tr>
    </w:tbl>
    <w:bookmarkEnd w:id="4"/>
    <w:p w14:paraId="3F2579C4" w14:textId="77777777" w:rsidR="00F87D92" w:rsidRDefault="00F87D92" w:rsidP="00EF7F78">
      <w:pPr>
        <w:pStyle w:val="Heading2"/>
        <w:tabs>
          <w:tab w:val="right" w:pos="8505"/>
        </w:tabs>
      </w:pPr>
      <w:r>
        <w:t>References</w:t>
      </w:r>
      <w:r w:rsidR="00EF7F78">
        <w:tab/>
      </w:r>
    </w:p>
    <w:p w14:paraId="1BBD1997"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49CA5EAE" w14:textId="308BD541" w:rsidR="00067DB9" w:rsidRDefault="0046113E" w:rsidP="00084859">
      <w:r w:rsidRPr="0046113E">
        <w:t>Australian Pesticides &amp; Veterinary Medicines Authority (APVMA)</w:t>
      </w:r>
      <w:r>
        <w:t xml:space="preserve"> (201</w:t>
      </w:r>
      <w:r w:rsidRPr="0046113E">
        <w:t xml:space="preserve">8) </w:t>
      </w:r>
      <w:r w:rsidR="00724944" w:rsidRPr="00724944">
        <w:t>Agricultural Chemical Products and Approved Labels</w:t>
      </w:r>
      <w:r w:rsidR="00724944">
        <w:t>, gazette No. 12</w:t>
      </w:r>
      <w:r w:rsidRPr="0046113E">
        <w:t>.</w:t>
      </w:r>
    </w:p>
    <w:p w14:paraId="408B70F9" w14:textId="2000625D" w:rsidR="00F11F29" w:rsidRDefault="00F11F29" w:rsidP="00084859">
      <w:r w:rsidRPr="002022B6">
        <w:t xml:space="preserve">Deutsche </w:t>
      </w:r>
      <w:proofErr w:type="spellStart"/>
      <w:r w:rsidRPr="002022B6">
        <w:t>Forschungsgemeinschaft</w:t>
      </w:r>
      <w:proofErr w:type="spellEnd"/>
      <w:r w:rsidRPr="002022B6">
        <w:t xml:space="preserve"> (DFG)</w:t>
      </w:r>
      <w:r>
        <w:t xml:space="preserve"> (2000) </w:t>
      </w:r>
      <w:proofErr w:type="spellStart"/>
      <w:r w:rsidRPr="00F11F29">
        <w:t>Chlordioxid</w:t>
      </w:r>
      <w:proofErr w:type="spellEnd"/>
      <w:r>
        <w:t xml:space="preserve"> – MAK value documentation, German language </w:t>
      </w:r>
      <w:r w:rsidR="00EF3647">
        <w:t>edition</w:t>
      </w:r>
      <w:r>
        <w:t>.</w:t>
      </w:r>
    </w:p>
    <w:p w14:paraId="4079E65C" w14:textId="77777777" w:rsidR="006A5D6E" w:rsidRDefault="00F11F29" w:rsidP="006A5D6E">
      <w:r w:rsidRPr="002022B6">
        <w:t>National Industrial Chemicals Notification and Assessment Scheme (NICNAS)</w:t>
      </w:r>
      <w:r>
        <w:t xml:space="preserve"> (2016) Chlorine oxide</w:t>
      </w:r>
      <w:r w:rsidRPr="0071660C">
        <w:t xml:space="preserve">: </w:t>
      </w:r>
    </w:p>
    <w:p w14:paraId="1F873276" w14:textId="77777777" w:rsidR="006A5D6E" w:rsidRDefault="00F11F29" w:rsidP="006A5D6E">
      <w:pPr>
        <w:rPr>
          <w:color w:val="000000"/>
        </w:rPr>
      </w:pPr>
      <w:r w:rsidRPr="0071660C">
        <w:t xml:space="preserve">Human health </w:t>
      </w:r>
      <w:r>
        <w:t xml:space="preserve">tier I </w:t>
      </w:r>
      <w:r w:rsidRPr="0071660C">
        <w:t>assessment</w:t>
      </w:r>
      <w:r>
        <w:t xml:space="preserve"> – IMAP report.</w:t>
      </w:r>
      <w:r w:rsidR="006A5D6E" w:rsidRPr="006A5D6E">
        <w:rPr>
          <w:color w:val="000000"/>
        </w:rPr>
        <w:t xml:space="preserve"> </w:t>
      </w:r>
    </w:p>
    <w:p w14:paraId="20A7A6F2" w14:textId="77777777" w:rsidR="006A5D6E" w:rsidRPr="00351FE0" w:rsidRDefault="006A5D6E" w:rsidP="006A5D6E">
      <w:r w:rsidRPr="00E461B8">
        <w:rPr>
          <w:color w:val="000000"/>
        </w:rPr>
        <w:t xml:space="preserve">Tenth Adaptation to Technical Progress Commission Regulation (EU Annex) No 2017/776 amending, for the purposes of its adaptation to technical and scientific progress, Regulation (EC) No 1272/2008 </w:t>
      </w:r>
      <w:r w:rsidRPr="00E461B8">
        <w:rPr>
          <w:color w:val="000000"/>
        </w:rPr>
        <w:lastRenderedPageBreak/>
        <w:t>of the European Parliament and of the Council on classification, labelling and packaging of substances and mixtures (the CLP Regulation).</w:t>
      </w:r>
    </w:p>
    <w:p w14:paraId="5ABC4FBB" w14:textId="77777777" w:rsidR="00F11F29" w:rsidRPr="006A5D6E" w:rsidRDefault="006A5D6E" w:rsidP="00F11F29">
      <w:pPr>
        <w:rPr>
          <w:color w:val="000000"/>
        </w:rPr>
      </w:pPr>
      <w:r w:rsidRPr="00D86E03">
        <w:t>UK Health and Safety Executive</w:t>
      </w:r>
      <w:r>
        <w:t xml:space="preserve"> (HSE) (2002) </w:t>
      </w:r>
      <w:r w:rsidRPr="00485AE6">
        <w:t>EH40/2005 Workplace exposure limits</w:t>
      </w:r>
      <w:r>
        <w:t>.</w:t>
      </w:r>
    </w:p>
    <w:p w14:paraId="054B8D28" w14:textId="77777777" w:rsidR="00F11F29" w:rsidRPr="00351FE0" w:rsidRDefault="00022FC3">
      <w:r>
        <w:t xml:space="preserve">US Environmental Protection Authority (US EPA) (2000) </w:t>
      </w:r>
      <w:r w:rsidRPr="003448DD">
        <w:t>Integrated R</w:t>
      </w:r>
      <w:r>
        <w:t xml:space="preserve">isk Information System (IRIS) </w:t>
      </w:r>
      <w:r w:rsidRPr="003448DD">
        <w:t>Chemical Assessment Summary</w:t>
      </w:r>
      <w:r>
        <w:t xml:space="preserve"> – Chlorine dioxide.</w:t>
      </w:r>
    </w:p>
    <w:sectPr w:rsidR="00F11F29"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D0163" w14:textId="77777777" w:rsidR="00F3611C" w:rsidRDefault="00F3611C" w:rsidP="00F43AD5">
      <w:pPr>
        <w:spacing w:after="0" w:line="240" w:lineRule="auto"/>
      </w:pPr>
      <w:r>
        <w:separator/>
      </w:r>
    </w:p>
  </w:endnote>
  <w:endnote w:type="continuationSeparator" w:id="0">
    <w:p w14:paraId="0463CF78" w14:textId="77777777" w:rsidR="00F3611C" w:rsidRDefault="00F3611C"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42AF53B8" w14:textId="77777777" w:rsidR="00F11F29" w:rsidRDefault="00F11F29" w:rsidP="0034744C">
        <w:pPr>
          <w:pStyle w:val="Footer"/>
          <w:rPr>
            <w:sz w:val="18"/>
            <w:szCs w:val="18"/>
          </w:rPr>
        </w:pPr>
        <w:r>
          <w:rPr>
            <w:b/>
            <w:sz w:val="18"/>
            <w:szCs w:val="18"/>
          </w:rPr>
          <w:t>Chlorine dioxide (10049-04-4)</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201</w:t>
        </w:r>
        <w:r>
          <w:rPr>
            <w:sz w:val="18"/>
            <w:szCs w:val="18"/>
          </w:rPr>
          <w:t>9</w:t>
        </w:r>
      </w:p>
      <w:p w14:paraId="5B2B867E" w14:textId="4A73EDC9" w:rsidR="00F11F29" w:rsidRPr="00F43AD5" w:rsidRDefault="00F11F29"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150673">
          <w:rPr>
            <w:noProof/>
            <w:sz w:val="18"/>
            <w:szCs w:val="18"/>
          </w:rPr>
          <w:t>2</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30A560" w14:textId="77777777" w:rsidR="00F3611C" w:rsidRDefault="00F3611C" w:rsidP="00F43AD5">
      <w:pPr>
        <w:spacing w:after="0" w:line="240" w:lineRule="auto"/>
      </w:pPr>
      <w:r>
        <w:separator/>
      </w:r>
    </w:p>
  </w:footnote>
  <w:footnote w:type="continuationSeparator" w:id="0">
    <w:p w14:paraId="1F294E82" w14:textId="77777777" w:rsidR="00F3611C" w:rsidRDefault="00F3611C"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C0740" w14:textId="18F5BD4E" w:rsidR="00150673" w:rsidRDefault="00150673" w:rsidP="00150673">
    <w:pPr>
      <w:pStyle w:val="Header"/>
      <w:jc w:val="right"/>
    </w:pPr>
    <w:r>
      <w:rPr>
        <w:noProof/>
        <w:lang w:eastAsia="en-AU"/>
      </w:rPr>
      <w:drawing>
        <wp:inline distT="0" distB="0" distL="0" distR="0" wp14:anchorId="5C8F0D65" wp14:editId="7701D226">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p w14:paraId="2418F3EF" w14:textId="6A9EF68D" w:rsidR="00F11F29" w:rsidRDefault="00F11F29" w:rsidP="00F43AD5">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202446" w14:textId="53132C5C" w:rsidR="00150673" w:rsidRDefault="00150673" w:rsidP="00150673">
    <w:pPr>
      <w:pStyle w:val="Header"/>
      <w:jc w:val="right"/>
    </w:pPr>
    <w:r>
      <w:rPr>
        <w:noProof/>
        <w:lang w:eastAsia="en-AU"/>
      </w:rPr>
      <w:drawing>
        <wp:inline distT="0" distB="0" distL="0" distR="0" wp14:anchorId="161C63B4" wp14:editId="5A29B4CD">
          <wp:extent cx="2938272" cy="594360"/>
          <wp:effectExtent l="0" t="0" r="0" b="0"/>
          <wp:docPr id="3" name="Picture 3"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p w14:paraId="613BE785" w14:textId="77777777" w:rsidR="00F11F29" w:rsidRDefault="00F11F29"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6622A"/>
    <w:multiLevelType w:val="hybridMultilevel"/>
    <w:tmpl w:val="B64C1BBA"/>
    <w:lvl w:ilvl="0" w:tplc="45DEDC86">
      <w:numFmt w:val="bullet"/>
      <w:lvlText w:val=""/>
      <w:lvlJc w:val="left"/>
      <w:pPr>
        <w:ind w:left="360" w:hanging="360"/>
      </w:pPr>
      <w:rPr>
        <w:rFonts w:ascii="Symbol" w:eastAsiaTheme="minorHAnsi" w:hAnsi="Symbol" w:cstheme="minorBidi"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07200C5F"/>
    <w:multiLevelType w:val="hybridMultilevel"/>
    <w:tmpl w:val="6FBE25F4"/>
    <w:lvl w:ilvl="0" w:tplc="45DEDC86">
      <w:numFmt w:val="bullet"/>
      <w:lvlText w:val=""/>
      <w:lvlJc w:val="left"/>
      <w:pPr>
        <w:ind w:left="360" w:hanging="360"/>
      </w:pPr>
      <w:rPr>
        <w:rFonts w:ascii="Symbol" w:eastAsiaTheme="minorHAnsi" w:hAnsi="Symbol" w:cstheme="minorBidi"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AC903B4"/>
    <w:multiLevelType w:val="hybridMultilevel"/>
    <w:tmpl w:val="855469E8"/>
    <w:lvl w:ilvl="0" w:tplc="0C090003">
      <w:start w:val="1"/>
      <w:numFmt w:val="bullet"/>
      <w:lvlText w:val="o"/>
      <w:lvlJc w:val="left"/>
      <w:pPr>
        <w:ind w:left="1572" w:hanging="360"/>
      </w:pPr>
      <w:rPr>
        <w:rFonts w:ascii="Courier New" w:hAnsi="Courier New" w:cs="Courier New" w:hint="default"/>
      </w:rPr>
    </w:lvl>
    <w:lvl w:ilvl="1" w:tplc="0C090003">
      <w:start w:val="1"/>
      <w:numFmt w:val="bullet"/>
      <w:lvlText w:val="o"/>
      <w:lvlJc w:val="left"/>
      <w:pPr>
        <w:ind w:left="2292" w:hanging="360"/>
      </w:pPr>
      <w:rPr>
        <w:rFonts w:ascii="Courier New" w:hAnsi="Courier New" w:cs="Courier New" w:hint="default"/>
      </w:rPr>
    </w:lvl>
    <w:lvl w:ilvl="2" w:tplc="0C090005">
      <w:start w:val="1"/>
      <w:numFmt w:val="bullet"/>
      <w:lvlText w:val=""/>
      <w:lvlJc w:val="left"/>
      <w:pPr>
        <w:ind w:left="3012" w:hanging="360"/>
      </w:pPr>
      <w:rPr>
        <w:rFonts w:ascii="Wingdings" w:hAnsi="Wingdings" w:hint="default"/>
      </w:rPr>
    </w:lvl>
    <w:lvl w:ilvl="3" w:tplc="0C090001" w:tentative="1">
      <w:start w:val="1"/>
      <w:numFmt w:val="bullet"/>
      <w:lvlText w:val=""/>
      <w:lvlJc w:val="left"/>
      <w:pPr>
        <w:ind w:left="3732" w:hanging="360"/>
      </w:pPr>
      <w:rPr>
        <w:rFonts w:ascii="Symbol" w:hAnsi="Symbol" w:hint="default"/>
      </w:rPr>
    </w:lvl>
    <w:lvl w:ilvl="4" w:tplc="0C090003" w:tentative="1">
      <w:start w:val="1"/>
      <w:numFmt w:val="bullet"/>
      <w:lvlText w:val="o"/>
      <w:lvlJc w:val="left"/>
      <w:pPr>
        <w:ind w:left="4452" w:hanging="360"/>
      </w:pPr>
      <w:rPr>
        <w:rFonts w:ascii="Courier New" w:hAnsi="Courier New" w:cs="Courier New" w:hint="default"/>
      </w:rPr>
    </w:lvl>
    <w:lvl w:ilvl="5" w:tplc="0C090005" w:tentative="1">
      <w:start w:val="1"/>
      <w:numFmt w:val="bullet"/>
      <w:lvlText w:val=""/>
      <w:lvlJc w:val="left"/>
      <w:pPr>
        <w:ind w:left="5172" w:hanging="360"/>
      </w:pPr>
      <w:rPr>
        <w:rFonts w:ascii="Wingdings" w:hAnsi="Wingdings" w:hint="default"/>
      </w:rPr>
    </w:lvl>
    <w:lvl w:ilvl="6" w:tplc="0C090001" w:tentative="1">
      <w:start w:val="1"/>
      <w:numFmt w:val="bullet"/>
      <w:lvlText w:val=""/>
      <w:lvlJc w:val="left"/>
      <w:pPr>
        <w:ind w:left="5892" w:hanging="360"/>
      </w:pPr>
      <w:rPr>
        <w:rFonts w:ascii="Symbol" w:hAnsi="Symbol" w:hint="default"/>
      </w:rPr>
    </w:lvl>
    <w:lvl w:ilvl="7" w:tplc="0C090003" w:tentative="1">
      <w:start w:val="1"/>
      <w:numFmt w:val="bullet"/>
      <w:lvlText w:val="o"/>
      <w:lvlJc w:val="left"/>
      <w:pPr>
        <w:ind w:left="6612" w:hanging="360"/>
      </w:pPr>
      <w:rPr>
        <w:rFonts w:ascii="Courier New" w:hAnsi="Courier New" w:cs="Courier New" w:hint="default"/>
      </w:rPr>
    </w:lvl>
    <w:lvl w:ilvl="8" w:tplc="0C090005" w:tentative="1">
      <w:start w:val="1"/>
      <w:numFmt w:val="bullet"/>
      <w:lvlText w:val=""/>
      <w:lvlJc w:val="left"/>
      <w:pPr>
        <w:ind w:left="7332" w:hanging="360"/>
      </w:pPr>
      <w:rPr>
        <w:rFonts w:ascii="Wingdings" w:hAnsi="Wingdings" w:hint="default"/>
      </w:rPr>
    </w:lvl>
  </w:abstractNum>
  <w:abstractNum w:abstractNumId="3" w15:restartNumberingAfterBreak="0">
    <w:nsid w:val="669C3D7A"/>
    <w:multiLevelType w:val="hybridMultilevel"/>
    <w:tmpl w:val="B64C1BBA"/>
    <w:lvl w:ilvl="0" w:tplc="45DEDC86">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7789864">
    <w:abstractNumId w:val="0"/>
  </w:num>
  <w:num w:numId="2" w16cid:durableId="1422071516">
    <w:abstractNumId w:val="3"/>
  </w:num>
  <w:num w:numId="3" w16cid:durableId="949505698">
    <w:abstractNumId w:val="2"/>
  </w:num>
  <w:num w:numId="4" w16cid:durableId="5440296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0FB"/>
    <w:rsid w:val="00017C82"/>
    <w:rsid w:val="00022FC3"/>
    <w:rsid w:val="00032B88"/>
    <w:rsid w:val="00046DF5"/>
    <w:rsid w:val="00052060"/>
    <w:rsid w:val="0005574A"/>
    <w:rsid w:val="00055FE1"/>
    <w:rsid w:val="00056EC2"/>
    <w:rsid w:val="00060B48"/>
    <w:rsid w:val="00065CB5"/>
    <w:rsid w:val="00067DB9"/>
    <w:rsid w:val="00067F32"/>
    <w:rsid w:val="00071807"/>
    <w:rsid w:val="000745CC"/>
    <w:rsid w:val="000803E1"/>
    <w:rsid w:val="00084513"/>
    <w:rsid w:val="00084859"/>
    <w:rsid w:val="00092D94"/>
    <w:rsid w:val="000B0868"/>
    <w:rsid w:val="000B3E12"/>
    <w:rsid w:val="000B3E78"/>
    <w:rsid w:val="000B7B48"/>
    <w:rsid w:val="000C096D"/>
    <w:rsid w:val="000C139A"/>
    <w:rsid w:val="000C2053"/>
    <w:rsid w:val="000C248C"/>
    <w:rsid w:val="000D291C"/>
    <w:rsid w:val="000E5A54"/>
    <w:rsid w:val="000E63D3"/>
    <w:rsid w:val="000E67CF"/>
    <w:rsid w:val="0010461E"/>
    <w:rsid w:val="00106FAA"/>
    <w:rsid w:val="00113443"/>
    <w:rsid w:val="00117959"/>
    <w:rsid w:val="001269A7"/>
    <w:rsid w:val="00131092"/>
    <w:rsid w:val="00140E6A"/>
    <w:rsid w:val="00146545"/>
    <w:rsid w:val="00146B75"/>
    <w:rsid w:val="00150673"/>
    <w:rsid w:val="0015266D"/>
    <w:rsid w:val="0015288A"/>
    <w:rsid w:val="00160F47"/>
    <w:rsid w:val="001755F1"/>
    <w:rsid w:val="00177CA1"/>
    <w:rsid w:val="00183823"/>
    <w:rsid w:val="00183942"/>
    <w:rsid w:val="001A009E"/>
    <w:rsid w:val="001A1287"/>
    <w:rsid w:val="001A3859"/>
    <w:rsid w:val="001A3C9D"/>
    <w:rsid w:val="001A43F8"/>
    <w:rsid w:val="001B79E5"/>
    <w:rsid w:val="001D56F0"/>
    <w:rsid w:val="001D663B"/>
    <w:rsid w:val="001D7B41"/>
    <w:rsid w:val="001E46DA"/>
    <w:rsid w:val="001E7D80"/>
    <w:rsid w:val="001F1251"/>
    <w:rsid w:val="001F4B6C"/>
    <w:rsid w:val="001F62CB"/>
    <w:rsid w:val="001F6ED0"/>
    <w:rsid w:val="001F72E6"/>
    <w:rsid w:val="001F73C5"/>
    <w:rsid w:val="002046A6"/>
    <w:rsid w:val="00204956"/>
    <w:rsid w:val="00213640"/>
    <w:rsid w:val="00221547"/>
    <w:rsid w:val="002216FC"/>
    <w:rsid w:val="00222533"/>
    <w:rsid w:val="00222F30"/>
    <w:rsid w:val="00224EE2"/>
    <w:rsid w:val="00227EC7"/>
    <w:rsid w:val="0023248D"/>
    <w:rsid w:val="00244AD1"/>
    <w:rsid w:val="002463BC"/>
    <w:rsid w:val="002465CE"/>
    <w:rsid w:val="002563F1"/>
    <w:rsid w:val="0025734A"/>
    <w:rsid w:val="00263255"/>
    <w:rsid w:val="0026598D"/>
    <w:rsid w:val="00276494"/>
    <w:rsid w:val="00277B0C"/>
    <w:rsid w:val="002808C5"/>
    <w:rsid w:val="002B1A2C"/>
    <w:rsid w:val="002C34F2"/>
    <w:rsid w:val="002C58FF"/>
    <w:rsid w:val="002C7AFE"/>
    <w:rsid w:val="002D05D2"/>
    <w:rsid w:val="002E0D61"/>
    <w:rsid w:val="002E4C7B"/>
    <w:rsid w:val="002F0741"/>
    <w:rsid w:val="002F5905"/>
    <w:rsid w:val="0030740C"/>
    <w:rsid w:val="00315833"/>
    <w:rsid w:val="003215EE"/>
    <w:rsid w:val="003224BF"/>
    <w:rsid w:val="0032316F"/>
    <w:rsid w:val="003241A8"/>
    <w:rsid w:val="003253F0"/>
    <w:rsid w:val="00325683"/>
    <w:rsid w:val="003333FD"/>
    <w:rsid w:val="003337DA"/>
    <w:rsid w:val="00334EFB"/>
    <w:rsid w:val="00335CDE"/>
    <w:rsid w:val="003365A5"/>
    <w:rsid w:val="00347192"/>
    <w:rsid w:val="0034744C"/>
    <w:rsid w:val="00351FE0"/>
    <w:rsid w:val="00352615"/>
    <w:rsid w:val="0035412B"/>
    <w:rsid w:val="003567A8"/>
    <w:rsid w:val="00362895"/>
    <w:rsid w:val="00370DBF"/>
    <w:rsid w:val="00386093"/>
    <w:rsid w:val="003904A4"/>
    <w:rsid w:val="00391841"/>
    <w:rsid w:val="00391B6D"/>
    <w:rsid w:val="00394922"/>
    <w:rsid w:val="003A0E32"/>
    <w:rsid w:val="003A2B94"/>
    <w:rsid w:val="003B387D"/>
    <w:rsid w:val="003B7E9C"/>
    <w:rsid w:val="003C0D58"/>
    <w:rsid w:val="003D43F8"/>
    <w:rsid w:val="003D4FA3"/>
    <w:rsid w:val="003E0807"/>
    <w:rsid w:val="003E51FB"/>
    <w:rsid w:val="003E6B39"/>
    <w:rsid w:val="003F07E1"/>
    <w:rsid w:val="004030BC"/>
    <w:rsid w:val="00403F7D"/>
    <w:rsid w:val="00406785"/>
    <w:rsid w:val="004079B4"/>
    <w:rsid w:val="0041595E"/>
    <w:rsid w:val="00417A56"/>
    <w:rsid w:val="00420957"/>
    <w:rsid w:val="00422A10"/>
    <w:rsid w:val="00430179"/>
    <w:rsid w:val="004414B5"/>
    <w:rsid w:val="00444482"/>
    <w:rsid w:val="00444B42"/>
    <w:rsid w:val="00445E44"/>
    <w:rsid w:val="004509E2"/>
    <w:rsid w:val="004515EE"/>
    <w:rsid w:val="004529F0"/>
    <w:rsid w:val="00460A03"/>
    <w:rsid w:val="0046113E"/>
    <w:rsid w:val="00465B5D"/>
    <w:rsid w:val="00472A11"/>
    <w:rsid w:val="00472AAD"/>
    <w:rsid w:val="00473051"/>
    <w:rsid w:val="00474E33"/>
    <w:rsid w:val="00476803"/>
    <w:rsid w:val="00485BFD"/>
    <w:rsid w:val="004867A2"/>
    <w:rsid w:val="004873F2"/>
    <w:rsid w:val="00490D4C"/>
    <w:rsid w:val="00493A35"/>
    <w:rsid w:val="0049527A"/>
    <w:rsid w:val="004966BF"/>
    <w:rsid w:val="00497984"/>
    <w:rsid w:val="004A5088"/>
    <w:rsid w:val="004B4782"/>
    <w:rsid w:val="004C1E3F"/>
    <w:rsid w:val="004C23F4"/>
    <w:rsid w:val="004C3475"/>
    <w:rsid w:val="004C58B6"/>
    <w:rsid w:val="004D16A3"/>
    <w:rsid w:val="004D4AA1"/>
    <w:rsid w:val="004D6D68"/>
    <w:rsid w:val="004E5EDD"/>
    <w:rsid w:val="004F448A"/>
    <w:rsid w:val="004F493D"/>
    <w:rsid w:val="004F65E8"/>
    <w:rsid w:val="0050005E"/>
    <w:rsid w:val="00502B88"/>
    <w:rsid w:val="005142C4"/>
    <w:rsid w:val="0051509C"/>
    <w:rsid w:val="005272E2"/>
    <w:rsid w:val="00527E01"/>
    <w:rsid w:val="0053108F"/>
    <w:rsid w:val="00532B56"/>
    <w:rsid w:val="00534B10"/>
    <w:rsid w:val="005362B1"/>
    <w:rsid w:val="005446A2"/>
    <w:rsid w:val="00544D2F"/>
    <w:rsid w:val="00551BD8"/>
    <w:rsid w:val="00573D34"/>
    <w:rsid w:val="00581055"/>
    <w:rsid w:val="00591E38"/>
    <w:rsid w:val="0059465A"/>
    <w:rsid w:val="005A19C5"/>
    <w:rsid w:val="005A3034"/>
    <w:rsid w:val="005A462D"/>
    <w:rsid w:val="005B253B"/>
    <w:rsid w:val="005B771D"/>
    <w:rsid w:val="005C5D16"/>
    <w:rsid w:val="005D3193"/>
    <w:rsid w:val="005D4A6E"/>
    <w:rsid w:val="005D6F68"/>
    <w:rsid w:val="005E6979"/>
    <w:rsid w:val="005E75CB"/>
    <w:rsid w:val="006013C1"/>
    <w:rsid w:val="0060669E"/>
    <w:rsid w:val="00610F2E"/>
    <w:rsid w:val="00611399"/>
    <w:rsid w:val="00622414"/>
    <w:rsid w:val="00624C4E"/>
    <w:rsid w:val="00625200"/>
    <w:rsid w:val="006363A8"/>
    <w:rsid w:val="006364A0"/>
    <w:rsid w:val="00636DB7"/>
    <w:rsid w:val="00650905"/>
    <w:rsid w:val="006532ED"/>
    <w:rsid w:val="006549F2"/>
    <w:rsid w:val="006567B7"/>
    <w:rsid w:val="00657BFB"/>
    <w:rsid w:val="0066333C"/>
    <w:rsid w:val="006639B4"/>
    <w:rsid w:val="0066456C"/>
    <w:rsid w:val="006650FE"/>
    <w:rsid w:val="0067305D"/>
    <w:rsid w:val="00677D9B"/>
    <w:rsid w:val="006867F3"/>
    <w:rsid w:val="00687890"/>
    <w:rsid w:val="006901A2"/>
    <w:rsid w:val="00690368"/>
    <w:rsid w:val="0069079C"/>
    <w:rsid w:val="00690B53"/>
    <w:rsid w:val="00695B72"/>
    <w:rsid w:val="006A5D6E"/>
    <w:rsid w:val="006B160A"/>
    <w:rsid w:val="006B4E6C"/>
    <w:rsid w:val="006B50B6"/>
    <w:rsid w:val="006D0F9B"/>
    <w:rsid w:val="006D79EA"/>
    <w:rsid w:val="006E5D05"/>
    <w:rsid w:val="00701053"/>
    <w:rsid w:val="00701507"/>
    <w:rsid w:val="0070646B"/>
    <w:rsid w:val="00714021"/>
    <w:rsid w:val="00716A0F"/>
    <w:rsid w:val="00717D45"/>
    <w:rsid w:val="007208F7"/>
    <w:rsid w:val="007218AF"/>
    <w:rsid w:val="00724944"/>
    <w:rsid w:val="007365D1"/>
    <w:rsid w:val="00740E0E"/>
    <w:rsid w:val="00750212"/>
    <w:rsid w:val="00754779"/>
    <w:rsid w:val="0075716D"/>
    <w:rsid w:val="00765F14"/>
    <w:rsid w:val="00770E31"/>
    <w:rsid w:val="007770F1"/>
    <w:rsid w:val="00783FB1"/>
    <w:rsid w:val="00785CDD"/>
    <w:rsid w:val="00791847"/>
    <w:rsid w:val="007925F0"/>
    <w:rsid w:val="007939B3"/>
    <w:rsid w:val="0079509C"/>
    <w:rsid w:val="00796708"/>
    <w:rsid w:val="007B1B42"/>
    <w:rsid w:val="007C30EB"/>
    <w:rsid w:val="007C56EA"/>
    <w:rsid w:val="007E063C"/>
    <w:rsid w:val="007E2A4B"/>
    <w:rsid w:val="007E307D"/>
    <w:rsid w:val="007E6A4E"/>
    <w:rsid w:val="007E6C94"/>
    <w:rsid w:val="007F1005"/>
    <w:rsid w:val="007F25E0"/>
    <w:rsid w:val="007F5328"/>
    <w:rsid w:val="00804F5A"/>
    <w:rsid w:val="00810C6D"/>
    <w:rsid w:val="00812887"/>
    <w:rsid w:val="00826F21"/>
    <w:rsid w:val="00834CC8"/>
    <w:rsid w:val="00835E00"/>
    <w:rsid w:val="00837113"/>
    <w:rsid w:val="008414E4"/>
    <w:rsid w:val="00843E21"/>
    <w:rsid w:val="0084508E"/>
    <w:rsid w:val="00857A8A"/>
    <w:rsid w:val="008630EE"/>
    <w:rsid w:val="00864D13"/>
    <w:rsid w:val="00871CD5"/>
    <w:rsid w:val="008745A2"/>
    <w:rsid w:val="008768A8"/>
    <w:rsid w:val="0088798F"/>
    <w:rsid w:val="00887E4B"/>
    <w:rsid w:val="008915C8"/>
    <w:rsid w:val="008A36CF"/>
    <w:rsid w:val="008A3BC4"/>
    <w:rsid w:val="008B403C"/>
    <w:rsid w:val="008B7983"/>
    <w:rsid w:val="008C2511"/>
    <w:rsid w:val="008C5B9A"/>
    <w:rsid w:val="008D026D"/>
    <w:rsid w:val="008D23AB"/>
    <w:rsid w:val="008D4B8B"/>
    <w:rsid w:val="008D5A78"/>
    <w:rsid w:val="008E7B64"/>
    <w:rsid w:val="008F5DCD"/>
    <w:rsid w:val="00900951"/>
    <w:rsid w:val="00906543"/>
    <w:rsid w:val="009118A6"/>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60E"/>
    <w:rsid w:val="00955AE2"/>
    <w:rsid w:val="009578DD"/>
    <w:rsid w:val="00961124"/>
    <w:rsid w:val="009621B6"/>
    <w:rsid w:val="00974F2D"/>
    <w:rsid w:val="00977524"/>
    <w:rsid w:val="00977E88"/>
    <w:rsid w:val="00984920"/>
    <w:rsid w:val="0099303A"/>
    <w:rsid w:val="009971C2"/>
    <w:rsid w:val="009A1254"/>
    <w:rsid w:val="009A20DB"/>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402A3"/>
    <w:rsid w:val="00A53681"/>
    <w:rsid w:val="00A633D4"/>
    <w:rsid w:val="00A6461A"/>
    <w:rsid w:val="00A71D16"/>
    <w:rsid w:val="00A827F9"/>
    <w:rsid w:val="00A84504"/>
    <w:rsid w:val="00A8672F"/>
    <w:rsid w:val="00A93057"/>
    <w:rsid w:val="00A968B0"/>
    <w:rsid w:val="00AB2672"/>
    <w:rsid w:val="00AB2817"/>
    <w:rsid w:val="00AB43C4"/>
    <w:rsid w:val="00AC32E7"/>
    <w:rsid w:val="00AC3A9F"/>
    <w:rsid w:val="00AC3B90"/>
    <w:rsid w:val="00AC6D2F"/>
    <w:rsid w:val="00AD21B8"/>
    <w:rsid w:val="00AE2745"/>
    <w:rsid w:val="00AE2F64"/>
    <w:rsid w:val="00AF42CB"/>
    <w:rsid w:val="00AF483F"/>
    <w:rsid w:val="00AF5E07"/>
    <w:rsid w:val="00AF5F06"/>
    <w:rsid w:val="00B00A25"/>
    <w:rsid w:val="00B1422A"/>
    <w:rsid w:val="00B1765C"/>
    <w:rsid w:val="00B213C4"/>
    <w:rsid w:val="00B40C60"/>
    <w:rsid w:val="00B479A9"/>
    <w:rsid w:val="00B52EDF"/>
    <w:rsid w:val="00B64974"/>
    <w:rsid w:val="00B71188"/>
    <w:rsid w:val="00B76A41"/>
    <w:rsid w:val="00B87D4C"/>
    <w:rsid w:val="00B90F2E"/>
    <w:rsid w:val="00B93646"/>
    <w:rsid w:val="00BA0B38"/>
    <w:rsid w:val="00BA1DBB"/>
    <w:rsid w:val="00BA4510"/>
    <w:rsid w:val="00BA529A"/>
    <w:rsid w:val="00BB612A"/>
    <w:rsid w:val="00BD499F"/>
    <w:rsid w:val="00BD56DE"/>
    <w:rsid w:val="00BD6AA0"/>
    <w:rsid w:val="00BF2406"/>
    <w:rsid w:val="00C06E43"/>
    <w:rsid w:val="00C16315"/>
    <w:rsid w:val="00C3091E"/>
    <w:rsid w:val="00C40FF1"/>
    <w:rsid w:val="00C419E2"/>
    <w:rsid w:val="00C5020E"/>
    <w:rsid w:val="00C545C5"/>
    <w:rsid w:val="00C57452"/>
    <w:rsid w:val="00C61EDF"/>
    <w:rsid w:val="00C6239D"/>
    <w:rsid w:val="00C6594B"/>
    <w:rsid w:val="00C65EB3"/>
    <w:rsid w:val="00C67FFB"/>
    <w:rsid w:val="00C7155E"/>
    <w:rsid w:val="00C71D1E"/>
    <w:rsid w:val="00C71D7D"/>
    <w:rsid w:val="00C74833"/>
    <w:rsid w:val="00C850A0"/>
    <w:rsid w:val="00C85A86"/>
    <w:rsid w:val="00C978F0"/>
    <w:rsid w:val="00CA58FE"/>
    <w:rsid w:val="00CB1CB1"/>
    <w:rsid w:val="00CB5862"/>
    <w:rsid w:val="00CB6BC1"/>
    <w:rsid w:val="00CB6CB8"/>
    <w:rsid w:val="00CC1A68"/>
    <w:rsid w:val="00CC2123"/>
    <w:rsid w:val="00CC272B"/>
    <w:rsid w:val="00CD2BFD"/>
    <w:rsid w:val="00CE5AD6"/>
    <w:rsid w:val="00CE617F"/>
    <w:rsid w:val="00CE78EF"/>
    <w:rsid w:val="00D048F7"/>
    <w:rsid w:val="00D0517E"/>
    <w:rsid w:val="00D140FC"/>
    <w:rsid w:val="00D21D8C"/>
    <w:rsid w:val="00D31357"/>
    <w:rsid w:val="00D33220"/>
    <w:rsid w:val="00D334D1"/>
    <w:rsid w:val="00D44C89"/>
    <w:rsid w:val="00D516CD"/>
    <w:rsid w:val="00D517D9"/>
    <w:rsid w:val="00D62957"/>
    <w:rsid w:val="00D668E6"/>
    <w:rsid w:val="00D70670"/>
    <w:rsid w:val="00D74D80"/>
    <w:rsid w:val="00D76624"/>
    <w:rsid w:val="00D815F5"/>
    <w:rsid w:val="00D87570"/>
    <w:rsid w:val="00D91CB9"/>
    <w:rsid w:val="00D97989"/>
    <w:rsid w:val="00D97D8D"/>
    <w:rsid w:val="00DA352E"/>
    <w:rsid w:val="00DC41B3"/>
    <w:rsid w:val="00DC6BAC"/>
    <w:rsid w:val="00DC7694"/>
    <w:rsid w:val="00DD1BF6"/>
    <w:rsid w:val="00DD2F9B"/>
    <w:rsid w:val="00DE2513"/>
    <w:rsid w:val="00DE26E8"/>
    <w:rsid w:val="00DE4EF6"/>
    <w:rsid w:val="00DE6CFD"/>
    <w:rsid w:val="00DF6F36"/>
    <w:rsid w:val="00E0084C"/>
    <w:rsid w:val="00E025AB"/>
    <w:rsid w:val="00E02B23"/>
    <w:rsid w:val="00E0496C"/>
    <w:rsid w:val="00E06F40"/>
    <w:rsid w:val="00E07CE8"/>
    <w:rsid w:val="00E13E13"/>
    <w:rsid w:val="00E26A07"/>
    <w:rsid w:val="00E32595"/>
    <w:rsid w:val="00E37CFD"/>
    <w:rsid w:val="00E41A26"/>
    <w:rsid w:val="00E46BCB"/>
    <w:rsid w:val="00E51CAF"/>
    <w:rsid w:val="00E54A4B"/>
    <w:rsid w:val="00E60F04"/>
    <w:rsid w:val="00E62AAC"/>
    <w:rsid w:val="00E67C2F"/>
    <w:rsid w:val="00E67EF5"/>
    <w:rsid w:val="00E804EA"/>
    <w:rsid w:val="00E80A71"/>
    <w:rsid w:val="00E82337"/>
    <w:rsid w:val="00E92499"/>
    <w:rsid w:val="00E949AF"/>
    <w:rsid w:val="00E96077"/>
    <w:rsid w:val="00E97D29"/>
    <w:rsid w:val="00EA0A06"/>
    <w:rsid w:val="00EA6243"/>
    <w:rsid w:val="00EA74AB"/>
    <w:rsid w:val="00EB3D1B"/>
    <w:rsid w:val="00ED1D89"/>
    <w:rsid w:val="00ED2673"/>
    <w:rsid w:val="00ED2CC3"/>
    <w:rsid w:val="00ED52C8"/>
    <w:rsid w:val="00ED66BC"/>
    <w:rsid w:val="00EF233A"/>
    <w:rsid w:val="00EF303E"/>
    <w:rsid w:val="00EF3647"/>
    <w:rsid w:val="00EF3A40"/>
    <w:rsid w:val="00EF7F78"/>
    <w:rsid w:val="00F01B08"/>
    <w:rsid w:val="00F01C4D"/>
    <w:rsid w:val="00F03079"/>
    <w:rsid w:val="00F053FA"/>
    <w:rsid w:val="00F10C97"/>
    <w:rsid w:val="00F11C71"/>
    <w:rsid w:val="00F11F29"/>
    <w:rsid w:val="00F16019"/>
    <w:rsid w:val="00F17B2B"/>
    <w:rsid w:val="00F20E68"/>
    <w:rsid w:val="00F22093"/>
    <w:rsid w:val="00F236DF"/>
    <w:rsid w:val="00F3611C"/>
    <w:rsid w:val="00F4346C"/>
    <w:rsid w:val="00F43AD5"/>
    <w:rsid w:val="00F4402E"/>
    <w:rsid w:val="00F56DD0"/>
    <w:rsid w:val="00F6491C"/>
    <w:rsid w:val="00F67BBB"/>
    <w:rsid w:val="00F74A67"/>
    <w:rsid w:val="00F767C7"/>
    <w:rsid w:val="00F839A8"/>
    <w:rsid w:val="00F84A04"/>
    <w:rsid w:val="00F87D92"/>
    <w:rsid w:val="00F90AA7"/>
    <w:rsid w:val="00F92498"/>
    <w:rsid w:val="00F9496B"/>
    <w:rsid w:val="00F95F4A"/>
    <w:rsid w:val="00F970C9"/>
    <w:rsid w:val="00FA06A8"/>
    <w:rsid w:val="00FA3DF5"/>
    <w:rsid w:val="00FA741F"/>
    <w:rsid w:val="00FB0554"/>
    <w:rsid w:val="00FB2E4C"/>
    <w:rsid w:val="00FB4E07"/>
    <w:rsid w:val="00FB755A"/>
    <w:rsid w:val="00FC60A2"/>
    <w:rsid w:val="00FD1871"/>
    <w:rsid w:val="00FD3110"/>
    <w:rsid w:val="00FE20A9"/>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28FEE"/>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66456C"/>
    <w:rPr>
      <w:sz w:val="16"/>
      <w:szCs w:val="16"/>
    </w:rPr>
  </w:style>
  <w:style w:type="paragraph" w:styleId="CommentText">
    <w:name w:val="annotation text"/>
    <w:basedOn w:val="Normal"/>
    <w:link w:val="CommentTextChar"/>
    <w:uiPriority w:val="99"/>
    <w:semiHidden/>
    <w:unhideWhenUsed/>
    <w:rsid w:val="0066456C"/>
    <w:pPr>
      <w:spacing w:line="240" w:lineRule="auto"/>
    </w:pPr>
    <w:rPr>
      <w:szCs w:val="20"/>
    </w:rPr>
  </w:style>
  <w:style w:type="character" w:customStyle="1" w:styleId="CommentTextChar">
    <w:name w:val="Comment Text Char"/>
    <w:basedOn w:val="DefaultParagraphFont"/>
    <w:link w:val="CommentText"/>
    <w:uiPriority w:val="99"/>
    <w:semiHidden/>
    <w:rsid w:val="0066456C"/>
    <w:rPr>
      <w:szCs w:val="20"/>
    </w:rPr>
  </w:style>
  <w:style w:type="table" w:styleId="LightShading-Accent2">
    <w:name w:val="Light Shading Accent 2"/>
    <w:aliases w:val="SWA Table Style"/>
    <w:basedOn w:val="TableNormal"/>
    <w:uiPriority w:val="60"/>
    <w:rsid w:val="00F11F29"/>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CommentSubject">
    <w:name w:val="annotation subject"/>
    <w:basedOn w:val="CommentText"/>
    <w:next w:val="CommentText"/>
    <w:link w:val="CommentSubjectChar"/>
    <w:uiPriority w:val="99"/>
    <w:semiHidden/>
    <w:unhideWhenUsed/>
    <w:rsid w:val="00ED52C8"/>
    <w:rPr>
      <w:b/>
      <w:bCs/>
    </w:rPr>
  </w:style>
  <w:style w:type="character" w:customStyle="1" w:styleId="CommentSubjectChar">
    <w:name w:val="Comment Subject Char"/>
    <w:basedOn w:val="CommentTextChar"/>
    <w:link w:val="CommentSubject"/>
    <w:uiPriority w:val="99"/>
    <w:semiHidden/>
    <w:rsid w:val="00ED52C8"/>
    <w:rPr>
      <w:b/>
      <w:bCs/>
      <w:szCs w:val="20"/>
    </w:rPr>
  </w:style>
  <w:style w:type="paragraph" w:styleId="Revision">
    <w:name w:val="Revision"/>
    <w:hidden/>
    <w:uiPriority w:val="99"/>
    <w:semiHidden/>
    <w:rsid w:val="00DC6B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222743">
      <w:bodyDiv w:val="1"/>
      <w:marLeft w:val="0"/>
      <w:marRight w:val="0"/>
      <w:marTop w:val="0"/>
      <w:marBottom w:val="0"/>
      <w:divBdr>
        <w:top w:val="none" w:sz="0" w:space="0" w:color="auto"/>
        <w:left w:val="none" w:sz="0" w:space="0" w:color="auto"/>
        <w:bottom w:val="none" w:sz="0" w:space="0" w:color="auto"/>
        <w:right w:val="none" w:sz="0" w:space="0" w:color="auto"/>
      </w:divBdr>
    </w:div>
    <w:div w:id="1567379498">
      <w:bodyDiv w:val="1"/>
      <w:marLeft w:val="0"/>
      <w:marRight w:val="0"/>
      <w:marTop w:val="0"/>
      <w:marBottom w:val="0"/>
      <w:divBdr>
        <w:top w:val="none" w:sz="0" w:space="0" w:color="auto"/>
        <w:left w:val="none" w:sz="0" w:space="0" w:color="auto"/>
        <w:bottom w:val="none" w:sz="0" w:space="0" w:color="auto"/>
        <w:right w:val="none" w:sz="0" w:space="0" w:color="auto"/>
      </w:divBdr>
    </w:div>
    <w:div w:id="1589846259">
      <w:bodyDiv w:val="1"/>
      <w:marLeft w:val="0"/>
      <w:marRight w:val="0"/>
      <w:marTop w:val="0"/>
      <w:marBottom w:val="0"/>
      <w:divBdr>
        <w:top w:val="none" w:sz="0" w:space="0" w:color="auto"/>
        <w:left w:val="none" w:sz="0" w:space="0" w:color="auto"/>
        <w:bottom w:val="none" w:sz="0" w:space="0" w:color="auto"/>
        <w:right w:val="none" w:sz="0" w:space="0" w:color="auto"/>
      </w:divBdr>
    </w:div>
    <w:div w:id="176032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8DD754E365844A4E82EC69A07E229629"/>
        <w:category>
          <w:name w:val="General"/>
          <w:gallery w:val="placeholder"/>
        </w:category>
        <w:types>
          <w:type w:val="bbPlcHdr"/>
        </w:types>
        <w:behaviors>
          <w:behavior w:val="content"/>
        </w:behaviors>
        <w:guid w:val="{9F4DDB53-9FC4-45A7-A37C-FDECC7AE23CB}"/>
      </w:docPartPr>
      <w:docPartBody>
        <w:p w:rsidR="00D21A9F" w:rsidRDefault="00D21A9F">
          <w:pPr>
            <w:pStyle w:val="8DD754E365844A4E82EC69A07E229629"/>
          </w:pPr>
          <w:r w:rsidRPr="00724F1C">
            <w:rPr>
              <w:rStyle w:val="PlaceholderText"/>
            </w:rPr>
            <w:t>Choose an item.</w:t>
          </w:r>
        </w:p>
      </w:docPartBody>
    </w:docPart>
    <w:docPart>
      <w:docPartPr>
        <w:name w:val="CC96E8CFB35445F7B98574D62F848316"/>
        <w:category>
          <w:name w:val="General"/>
          <w:gallery w:val="placeholder"/>
        </w:category>
        <w:types>
          <w:type w:val="bbPlcHdr"/>
        </w:types>
        <w:behaviors>
          <w:behavior w:val="content"/>
        </w:behaviors>
        <w:guid w:val="{11439DF5-6E93-475B-AC7E-D7E1C74E2052}"/>
      </w:docPartPr>
      <w:docPartBody>
        <w:p w:rsidR="00D21A9F" w:rsidRDefault="00D21A9F">
          <w:pPr>
            <w:pStyle w:val="CC96E8CFB35445F7B98574D62F848316"/>
          </w:pPr>
          <w:r w:rsidRPr="00724F1C">
            <w:rPr>
              <w:rStyle w:val="PlaceholderText"/>
            </w:rPr>
            <w:t>Choose an item.</w:t>
          </w:r>
        </w:p>
      </w:docPartBody>
    </w:docPart>
    <w:docPart>
      <w:docPartPr>
        <w:name w:val="CFFDE270CB50461B826B0194984892C5"/>
        <w:category>
          <w:name w:val="General"/>
          <w:gallery w:val="placeholder"/>
        </w:category>
        <w:types>
          <w:type w:val="bbPlcHdr"/>
        </w:types>
        <w:behaviors>
          <w:behavior w:val="content"/>
        </w:behaviors>
        <w:guid w:val="{FD5D30F8-F751-45C7-BEFB-A7D3397CEB99}"/>
      </w:docPartPr>
      <w:docPartBody>
        <w:p w:rsidR="00D21A9F" w:rsidRDefault="00D21A9F">
          <w:pPr>
            <w:pStyle w:val="CFFDE270CB50461B826B0194984892C5"/>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ADFF14DCF8AA431F9D94F71C7DAF770C"/>
        <w:category>
          <w:name w:val="General"/>
          <w:gallery w:val="placeholder"/>
        </w:category>
        <w:types>
          <w:type w:val="bbPlcHdr"/>
        </w:types>
        <w:behaviors>
          <w:behavior w:val="content"/>
        </w:behaviors>
        <w:guid w:val="{0B35CDA7-68AA-4DDE-9A8B-EACA245605A7}"/>
      </w:docPartPr>
      <w:docPartBody>
        <w:p w:rsidR="001E5C19" w:rsidRDefault="007C63BD" w:rsidP="007C63BD">
          <w:pPr>
            <w:pStyle w:val="ADFF14DCF8AA431F9D94F71C7DAF770C"/>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54A2A"/>
    <w:rsid w:val="001E5C19"/>
    <w:rsid w:val="00600BC3"/>
    <w:rsid w:val="00634B70"/>
    <w:rsid w:val="007C63BD"/>
    <w:rsid w:val="00AC0E36"/>
    <w:rsid w:val="00C65EB3"/>
    <w:rsid w:val="00D21A9F"/>
    <w:rsid w:val="00D517D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63BD"/>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8DD754E365844A4E82EC69A07E229629">
    <w:name w:val="8DD754E365844A4E82EC69A07E229629"/>
  </w:style>
  <w:style w:type="paragraph" w:customStyle="1" w:styleId="CC96E8CFB35445F7B98574D62F848316">
    <w:name w:val="CC96E8CFB35445F7B98574D62F848316"/>
  </w:style>
  <w:style w:type="paragraph" w:customStyle="1" w:styleId="CFFDE270CB50461B826B0194984892C5">
    <w:name w:val="CFFDE270CB50461B826B0194984892C5"/>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ADFF14DCF8AA431F9D94F71C7DAF770C">
    <w:name w:val="ADFF14DCF8AA431F9D94F71C7DAF770C"/>
    <w:rsid w:val="007C63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C01EB3-D664-4F61-A70E-B6590A6CE7C6}">
  <ds:schemaRefs>
    <ds:schemaRef ds:uri="http://schemas.openxmlformats.org/officeDocument/2006/bibliography"/>
  </ds:schemaRefs>
</ds:datastoreItem>
</file>

<file path=customXml/itemProps2.xml><?xml version="1.0" encoding="utf-8"?>
<ds:datastoreItem xmlns:ds="http://schemas.openxmlformats.org/officeDocument/2006/customXml" ds:itemID="{B26FD3B4-E5FF-44D0-A85D-1656AEB7AF7B}">
  <ds:schemaRefs>
    <ds:schemaRef ds:uri="http://schemas.microsoft.com/office/2006/documentManagement/types"/>
    <ds:schemaRef ds:uri="http://schemas.microsoft.com/office/infopath/2007/PartnerControls"/>
    <ds:schemaRef ds:uri="http://www.w3.org/XML/1998/namespace"/>
    <ds:schemaRef ds:uri="http://purl.org/dc/dcmitype/"/>
    <ds:schemaRef ds:uri="a0509f21-ed56-4150-9955-96be669e5f2d"/>
    <ds:schemaRef ds:uri="http://schemas.openxmlformats.org/package/2006/metadata/core-properties"/>
    <ds:schemaRef ds:uri="http://purl.org/dc/terms/"/>
    <ds:schemaRef ds:uri="http://schemas.microsoft.com/office/2006/metadata/properties"/>
    <ds:schemaRef ds:uri="1c567317-0c4d-4a62-8516-c22afd1b5354"/>
    <ds:schemaRef ds:uri="http://purl.org/dc/elements/1.1/"/>
  </ds:schemaRefs>
</ds:datastoreItem>
</file>

<file path=customXml/itemProps3.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4.xml><?xml version="1.0" encoding="utf-8"?>
<ds:datastoreItem xmlns:ds="http://schemas.openxmlformats.org/officeDocument/2006/customXml" ds:itemID="{7D0FB994-BCBA-4598-B7DC-434E094722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791</TotalTime>
  <Pages>6</Pages>
  <Words>1458</Words>
  <Characters>8314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RICHARDSON,Anna</cp:lastModifiedBy>
  <cp:revision>34</cp:revision>
  <cp:lastPrinted>2018-10-22T22:41:00Z</cp:lastPrinted>
  <dcterms:created xsi:type="dcterms:W3CDTF">2019-04-14T23:55:00Z</dcterms:created>
  <dcterms:modified xsi:type="dcterms:W3CDTF">2026-01-09T00:51:00Z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2025-12-18T06:01:54Z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ebf3547d-b1be-44ff-bc8f-2db87a73fe04</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