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53BB92F" w14:textId="77777777" w:rsidR="00BD499F" w:rsidRPr="004C23F4" w:rsidRDefault="008E522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Chlorinated camphene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3947B048" w14:textId="77777777" w:rsidTr="00B76A41">
        <w:trPr>
          <w:cantSplit/>
          <w:tblHeader/>
        </w:trPr>
        <w:tc>
          <w:tcPr>
            <w:tcW w:w="4077" w:type="dxa"/>
          </w:tcPr>
          <w:p w14:paraId="6F3C143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EE09882" w14:textId="77777777" w:rsidR="008E5225" w:rsidRPr="00717D45" w:rsidRDefault="008E5225" w:rsidP="00B76A41">
            <w:pPr>
              <w:pStyle w:val="Tablefont"/>
            </w:pPr>
            <w:r>
              <w:t>8001-35-2</w:t>
            </w:r>
          </w:p>
        </w:tc>
      </w:tr>
      <w:tr w:rsidR="00F43AD5" w:rsidRPr="004C23F4" w14:paraId="682CEE1F" w14:textId="77777777" w:rsidTr="00B76A41">
        <w:trPr>
          <w:cantSplit/>
        </w:trPr>
        <w:tc>
          <w:tcPr>
            <w:tcW w:w="4077" w:type="dxa"/>
          </w:tcPr>
          <w:p w14:paraId="0E429A2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C2024B5" w14:textId="77777777" w:rsidR="00F43AD5" w:rsidRPr="00717D45" w:rsidRDefault="008E5225" w:rsidP="00B76A41">
            <w:pPr>
              <w:pStyle w:val="Tablefont"/>
            </w:pPr>
            <w:proofErr w:type="spellStart"/>
            <w:r>
              <w:t>Campheclor</w:t>
            </w:r>
            <w:proofErr w:type="spellEnd"/>
            <w:r>
              <w:t xml:space="preserve">, </w:t>
            </w:r>
            <w:proofErr w:type="spellStart"/>
            <w:r w:rsidR="00696103">
              <w:t>p</w:t>
            </w:r>
            <w:r>
              <w:t>olychlorcamphene</w:t>
            </w:r>
            <w:proofErr w:type="spellEnd"/>
            <w:r>
              <w:t xml:space="preserve">, </w:t>
            </w:r>
            <w:r w:rsidR="00696103">
              <w:t>t</w:t>
            </w:r>
            <w:r>
              <w:t>oxaphene</w:t>
            </w:r>
          </w:p>
        </w:tc>
      </w:tr>
      <w:tr w:rsidR="00F43AD5" w:rsidRPr="004C23F4" w14:paraId="7CC1AA67" w14:textId="77777777" w:rsidTr="00B76A41">
        <w:trPr>
          <w:cantSplit/>
        </w:trPr>
        <w:tc>
          <w:tcPr>
            <w:tcW w:w="4077" w:type="dxa"/>
          </w:tcPr>
          <w:p w14:paraId="1EB8083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51FB724" w14:textId="77777777" w:rsidR="00F43AD5" w:rsidRPr="008E5225" w:rsidRDefault="008E5225" w:rsidP="00B76A41">
            <w:pPr>
              <w:pStyle w:val="Tablefont"/>
            </w:pPr>
            <w:r>
              <w:t>C</w:t>
            </w:r>
            <w:r>
              <w:rPr>
                <w:vertAlign w:val="subscript"/>
              </w:rPr>
              <w:t>10</w:t>
            </w:r>
            <w:r>
              <w:t>H</w:t>
            </w:r>
            <w:r>
              <w:rPr>
                <w:vertAlign w:val="subscript"/>
              </w:rPr>
              <w:t>10</w:t>
            </w:r>
            <w:r>
              <w:t>Cl</w:t>
            </w:r>
            <w:r>
              <w:rPr>
                <w:vertAlign w:val="subscript"/>
              </w:rPr>
              <w:t>8</w:t>
            </w:r>
            <w:r>
              <w:t xml:space="preserve"> (average)</w:t>
            </w:r>
          </w:p>
        </w:tc>
      </w:tr>
      <w:tr w:rsidR="00F43AD5" w:rsidRPr="004C23F4" w14:paraId="35347B17" w14:textId="77777777" w:rsidTr="00B76A41">
        <w:trPr>
          <w:cantSplit/>
        </w:trPr>
        <w:tc>
          <w:tcPr>
            <w:tcW w:w="4077" w:type="dxa"/>
          </w:tcPr>
          <w:p w14:paraId="2CB338D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2976617" w14:textId="77777777" w:rsidR="00F43AD5" w:rsidRPr="00B40C60" w:rsidRDefault="00696103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3962E936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41B6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40602E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2999DE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7A4A6B5F" w14:textId="77777777" w:rsidR="002C7AFE" w:rsidRPr="00483E4F" w:rsidRDefault="00483E4F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281C0B0F" w14:textId="77777777" w:rsidTr="00921DE7">
        <w:trPr>
          <w:cantSplit/>
        </w:trPr>
        <w:tc>
          <w:tcPr>
            <w:tcW w:w="4077" w:type="dxa"/>
            <w:vAlign w:val="center"/>
          </w:tcPr>
          <w:p w14:paraId="45AA97F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C9480C0" w14:textId="77777777" w:rsidR="002C7AFE" w:rsidRPr="00483E4F" w:rsidRDefault="00483E4F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2D2EF9FE" w14:textId="77777777" w:rsidTr="00921DE7">
        <w:trPr>
          <w:cantSplit/>
        </w:trPr>
        <w:tc>
          <w:tcPr>
            <w:tcW w:w="4077" w:type="dxa"/>
            <w:vAlign w:val="center"/>
          </w:tcPr>
          <w:p w14:paraId="56E118F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4877F65" w14:textId="77777777" w:rsidR="002C7AFE" w:rsidRPr="00EB3D1B" w:rsidRDefault="00483E4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17A23AB" w14:textId="77777777" w:rsidTr="00A2073D">
        <w:trPr>
          <w:cantSplit/>
        </w:trPr>
        <w:tc>
          <w:tcPr>
            <w:tcW w:w="4077" w:type="dxa"/>
          </w:tcPr>
          <w:p w14:paraId="7E3956D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8C67B6E" w14:textId="77777777" w:rsidR="002C7AFE" w:rsidRPr="00EB3D1B" w:rsidRDefault="00483E4F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  <w:r w:rsidR="001F1B87">
              <w:rPr>
                <w:b/>
              </w:rPr>
              <w:t>., Sk.</w:t>
            </w:r>
          </w:p>
        </w:tc>
      </w:tr>
      <w:tr w:rsidR="002C7AFE" w:rsidRPr="004C23F4" w14:paraId="2F60D8FB" w14:textId="77777777" w:rsidTr="00921DE7">
        <w:trPr>
          <w:cantSplit/>
        </w:trPr>
        <w:tc>
          <w:tcPr>
            <w:tcW w:w="4077" w:type="dxa"/>
            <w:vAlign w:val="center"/>
          </w:tcPr>
          <w:p w14:paraId="75B748E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375F5BC" w14:textId="77777777" w:rsidR="002C7AFE" w:rsidRPr="00483E4F" w:rsidRDefault="00483E4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9F04D2" w:rsidRPr="004C23F4" w14:paraId="26DDBA62" w14:textId="77777777" w:rsidTr="00105B75">
        <w:trPr>
          <w:cantSplit/>
        </w:trPr>
        <w:tc>
          <w:tcPr>
            <w:tcW w:w="4077" w:type="dxa"/>
          </w:tcPr>
          <w:p w14:paraId="3170EB0D" w14:textId="77777777" w:rsidR="009F04D2" w:rsidRDefault="009F04D2" w:rsidP="00105B7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53F631B4" w14:textId="3C85320F" w:rsidR="009F04D2" w:rsidRPr="00105B75" w:rsidRDefault="00E62722" w:rsidP="00105B75">
            <w:pPr>
              <w:pStyle w:val="Tablefont"/>
            </w:pPr>
            <w:r w:rsidRPr="00E62722">
              <w:t>The recommended value is quantifiable through available sampling and analysis techniques.</w:t>
            </w:r>
          </w:p>
        </w:tc>
      </w:tr>
    </w:tbl>
    <w:p w14:paraId="2343FBF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5633756" w14:textId="1818600D" w:rsidR="00327EFC" w:rsidRDefault="00B229A8" w:rsidP="006001BF">
      <w:pPr>
        <w:rPr>
          <w:rFonts w:cs="Arial"/>
        </w:rPr>
      </w:pPr>
      <w:r>
        <w:rPr>
          <w:rFonts w:cs="Arial"/>
        </w:rPr>
        <w:t>The current</w:t>
      </w:r>
      <w:r w:rsidRPr="006001BF">
        <w:rPr>
          <w:rFonts w:cs="Arial"/>
        </w:rPr>
        <w:t xml:space="preserve"> </w:t>
      </w:r>
      <w:r w:rsidR="006001BF" w:rsidRPr="006001BF">
        <w:rPr>
          <w:rFonts w:cs="Arial"/>
        </w:rPr>
        <w:t xml:space="preserve">TWA of </w:t>
      </w:r>
      <w:r w:rsidR="006001BF">
        <w:rPr>
          <w:rFonts w:cs="Arial"/>
        </w:rPr>
        <w:t>0.5 mg/m</w:t>
      </w:r>
      <w:r w:rsidR="006001BF">
        <w:rPr>
          <w:rFonts w:cs="Arial"/>
          <w:vertAlign w:val="superscript"/>
        </w:rPr>
        <w:t>3</w:t>
      </w:r>
      <w:r w:rsidR="006001BF">
        <w:rPr>
          <w:rFonts w:cs="Arial"/>
        </w:rPr>
        <w:t xml:space="preserve"> </w:t>
      </w:r>
      <w:r w:rsidR="006001BF" w:rsidRPr="006001BF">
        <w:rPr>
          <w:rFonts w:cs="Arial"/>
        </w:rPr>
        <w:t xml:space="preserve">is </w:t>
      </w:r>
      <w:r w:rsidR="00B81AB5">
        <w:rPr>
          <w:rFonts w:cs="Arial"/>
        </w:rPr>
        <w:t>recommended</w:t>
      </w:r>
      <w:r w:rsidR="00B81AB5" w:rsidRPr="006001BF">
        <w:rPr>
          <w:rFonts w:cs="Arial"/>
        </w:rPr>
        <w:t xml:space="preserve"> </w:t>
      </w:r>
      <w:r w:rsidR="006001BF" w:rsidRPr="006001BF">
        <w:rPr>
          <w:rFonts w:cs="Arial"/>
        </w:rPr>
        <w:t xml:space="preserve">to protect for </w:t>
      </w:r>
      <w:r w:rsidR="006001BF">
        <w:rPr>
          <w:rFonts w:cs="Arial"/>
        </w:rPr>
        <w:t xml:space="preserve">acute central nervous system </w:t>
      </w:r>
      <w:r w:rsidR="004A1BA6">
        <w:rPr>
          <w:rFonts w:cs="Arial"/>
        </w:rPr>
        <w:t xml:space="preserve">(CNS) </w:t>
      </w:r>
      <w:r w:rsidR="006001BF">
        <w:rPr>
          <w:rFonts w:cs="Arial"/>
        </w:rPr>
        <w:t xml:space="preserve">effects </w:t>
      </w:r>
      <w:r w:rsidR="00193858">
        <w:rPr>
          <w:rFonts w:cs="Arial"/>
        </w:rPr>
        <w:t>including</w:t>
      </w:r>
      <w:r w:rsidR="006001BF">
        <w:rPr>
          <w:rFonts w:cs="Arial"/>
        </w:rPr>
        <w:t xml:space="preserve"> excess </w:t>
      </w:r>
      <w:r w:rsidR="006001BF">
        <w:t>salivation, nausea, vomiting, muscle spasms</w:t>
      </w:r>
      <w:r w:rsidR="00327EFC">
        <w:t xml:space="preserve">, </w:t>
      </w:r>
      <w:r w:rsidR="006001BF">
        <w:t>convulsions and potential liver damage in exposed workers</w:t>
      </w:r>
      <w:r w:rsidR="006001BF">
        <w:rPr>
          <w:rFonts w:cs="Arial"/>
        </w:rPr>
        <w:t xml:space="preserve">. </w:t>
      </w:r>
    </w:p>
    <w:p w14:paraId="0226460B" w14:textId="28D37699" w:rsidR="006639B4" w:rsidRPr="004C23F4" w:rsidRDefault="006001BF" w:rsidP="006001BF">
      <w:pPr>
        <w:rPr>
          <w:rFonts w:cs="Arial"/>
        </w:rPr>
      </w:pPr>
      <w:r>
        <w:rPr>
          <w:rFonts w:cs="Arial"/>
        </w:rPr>
        <w:t xml:space="preserve">A </w:t>
      </w:r>
      <w:r w:rsidRPr="006001BF">
        <w:rPr>
          <w:rFonts w:cs="Arial"/>
        </w:rPr>
        <w:t xml:space="preserve">STEL of </w:t>
      </w:r>
      <w:r>
        <w:rPr>
          <w:rFonts w:cs="Arial"/>
        </w:rPr>
        <w:t>1 mg/m</w:t>
      </w:r>
      <w:r>
        <w:rPr>
          <w:rFonts w:cs="Arial"/>
          <w:vertAlign w:val="superscript"/>
        </w:rPr>
        <w:t>3</w:t>
      </w:r>
      <w:r w:rsidRPr="006001BF">
        <w:rPr>
          <w:rFonts w:cs="Arial"/>
        </w:rPr>
        <w:t xml:space="preserve"> is recommended to </w:t>
      </w:r>
      <w:r>
        <w:rPr>
          <w:rFonts w:cs="Arial"/>
        </w:rPr>
        <w:t xml:space="preserve">prevent systemic toxicity </w:t>
      </w:r>
      <w:r w:rsidR="00327EFC">
        <w:rPr>
          <w:rFonts w:cs="Arial"/>
        </w:rPr>
        <w:t>due to</w:t>
      </w:r>
      <w:r>
        <w:rPr>
          <w:rFonts w:cs="Arial"/>
        </w:rPr>
        <w:t xml:space="preserve"> bioaccumulation.</w:t>
      </w:r>
    </w:p>
    <w:p w14:paraId="1159CB8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AB2C112" w14:textId="1C6D7DB4" w:rsidR="00327EFC" w:rsidRDefault="003C57F9" w:rsidP="003C57F9">
      <w:r>
        <w:t>T</w:t>
      </w:r>
      <w:r w:rsidR="006B084A" w:rsidRPr="003C57F9">
        <w:t xml:space="preserve">echnical grade </w:t>
      </w:r>
      <w:r>
        <w:t>mixtures</w:t>
      </w:r>
      <w:r w:rsidR="006B084A" w:rsidRPr="003C57F9">
        <w:t xml:space="preserve"> (toxaphene</w:t>
      </w:r>
      <w:r w:rsidR="006001BF" w:rsidRPr="003C57F9">
        <w:t xml:space="preserve">) </w:t>
      </w:r>
      <w:r>
        <w:t>are</w:t>
      </w:r>
      <w:r w:rsidR="006001BF" w:rsidRPr="003C57F9">
        <w:t xml:space="preserve"> used as a contact insecticide and</w:t>
      </w:r>
      <w:r w:rsidR="006B084A" w:rsidRPr="003C57F9">
        <w:t xml:space="preserve"> comprise up to 670</w:t>
      </w:r>
      <w:r w:rsidR="00B229A8">
        <w:t> </w:t>
      </w:r>
      <w:r w:rsidR="006B084A" w:rsidRPr="003C57F9">
        <w:t>chlorinated derivatives.</w:t>
      </w:r>
      <w:r w:rsidR="00D6086F">
        <w:t xml:space="preserve"> </w:t>
      </w:r>
    </w:p>
    <w:p w14:paraId="75A9C23D" w14:textId="682C8CBA" w:rsidR="00327EFC" w:rsidRPr="00921E7A" w:rsidRDefault="00327EFC" w:rsidP="00327EFC">
      <w:r>
        <w:t>While there are no</w:t>
      </w:r>
      <w:r w:rsidRPr="00EE32FD">
        <w:t xml:space="preserve"> quant</w:t>
      </w:r>
      <w:r>
        <w:t>itative estimates, available studies</w:t>
      </w:r>
      <w:r w:rsidRPr="00EE32FD">
        <w:t xml:space="preserve"> indicate</w:t>
      </w:r>
      <w:r>
        <w:t xml:space="preserve"> the</w:t>
      </w:r>
      <w:r w:rsidRPr="00EE32FD">
        <w:t xml:space="preserve"> potential </w:t>
      </w:r>
      <w:r>
        <w:t xml:space="preserve">for systemic </w:t>
      </w:r>
      <w:r w:rsidRPr="00EA44C0">
        <w:rPr>
          <w:rStyle w:val="checkbox"/>
          <w:rFonts w:ascii="Arial" w:hAnsi="Arial" w:cs="Arial"/>
        </w:rPr>
        <w:t>toxicity</w:t>
      </w:r>
      <w:r>
        <w:t xml:space="preserve"> from skin absorption (NIOSH 2019). </w:t>
      </w:r>
      <w:r w:rsidR="00D6086F">
        <w:t>Acute a</w:t>
      </w:r>
      <w:r w:rsidR="00921E7A" w:rsidRPr="003C57F9">
        <w:t xml:space="preserve">dverse </w:t>
      </w:r>
      <w:r w:rsidR="009878D1">
        <w:t>CNS</w:t>
      </w:r>
      <w:r w:rsidR="00921E7A" w:rsidRPr="003C57F9">
        <w:t xml:space="preserve"> effects</w:t>
      </w:r>
      <w:r>
        <w:t xml:space="preserve"> are</w:t>
      </w:r>
      <w:r w:rsidR="00921E7A" w:rsidRPr="003C57F9">
        <w:t xml:space="preserve"> </w:t>
      </w:r>
      <w:r w:rsidR="009878D1">
        <w:t xml:space="preserve">reported </w:t>
      </w:r>
      <w:r w:rsidR="00921E7A" w:rsidRPr="003C57F9">
        <w:t xml:space="preserve">in humans </w:t>
      </w:r>
      <w:r w:rsidR="003C57F9">
        <w:t>following ingestion of 10</w:t>
      </w:r>
      <w:r w:rsidR="00D6086F">
        <w:t> </w:t>
      </w:r>
      <w:r w:rsidR="003C57F9">
        <w:t>mg/kg</w:t>
      </w:r>
      <w:r w:rsidR="009878D1">
        <w:t>.</w:t>
      </w:r>
      <w:r w:rsidR="00D6086F">
        <w:t xml:space="preserve"> In rats</w:t>
      </w:r>
      <w:r>
        <w:t>,</w:t>
      </w:r>
      <w:r w:rsidR="00D6086F">
        <w:t xml:space="preserve"> d</w:t>
      </w:r>
      <w:r w:rsidR="00331827" w:rsidRPr="003C57F9">
        <w:t>ietary exposures of 50</w:t>
      </w:r>
      <w:r w:rsidR="003C57F9">
        <w:t xml:space="preserve"> </w:t>
      </w:r>
      <w:r w:rsidR="00331827" w:rsidRPr="003C57F9">
        <w:t xml:space="preserve">mg/kg </w:t>
      </w:r>
      <w:r w:rsidR="009878D1">
        <w:t xml:space="preserve">are </w:t>
      </w:r>
      <w:r w:rsidR="00331827" w:rsidRPr="003C57F9">
        <w:t>associated with liver damage</w:t>
      </w:r>
      <w:r w:rsidR="00D6086F">
        <w:t xml:space="preserve"> </w:t>
      </w:r>
      <w:r w:rsidR="00331827" w:rsidRPr="003C57F9">
        <w:t xml:space="preserve">(ACGIH, </w:t>
      </w:r>
      <w:r w:rsidR="00EA44C0">
        <w:t>2018</w:t>
      </w:r>
      <w:r w:rsidR="00331827" w:rsidRPr="003C57F9">
        <w:t>)</w:t>
      </w:r>
      <w:r w:rsidR="00921E7A" w:rsidRPr="003C57F9">
        <w:t>.</w:t>
      </w:r>
      <w:r w:rsidR="00ED2A8F" w:rsidRPr="003C57F9">
        <w:t xml:space="preserve"> </w:t>
      </w:r>
      <w:r w:rsidR="004A1BA6">
        <w:t xml:space="preserve">In animals, chronic ingestion </w:t>
      </w:r>
      <w:r w:rsidR="004A1BA6" w:rsidRPr="003C57F9">
        <w:t xml:space="preserve">also leads to temporary </w:t>
      </w:r>
      <w:r w:rsidR="004A1BA6">
        <w:t>bio</w:t>
      </w:r>
      <w:r w:rsidR="004A1BA6" w:rsidRPr="003C57F9">
        <w:t xml:space="preserve">accumulation in </w:t>
      </w:r>
      <w:r w:rsidR="00E62722">
        <w:t>adipose</w:t>
      </w:r>
      <w:r w:rsidR="005D360D">
        <w:t xml:space="preserve"> and other</w:t>
      </w:r>
      <w:r w:rsidR="004A1BA6" w:rsidRPr="003C57F9">
        <w:t xml:space="preserve"> tissues.</w:t>
      </w:r>
      <w:r>
        <w:t xml:space="preserve"> </w:t>
      </w:r>
      <w:r w:rsidRPr="003C57F9">
        <w:t>The compounds are mutagenic in bacterial systems and carcinogenic in animals</w:t>
      </w:r>
      <w:r>
        <w:t>,</w:t>
      </w:r>
      <w:r w:rsidRPr="003C57F9">
        <w:t xml:space="preserve"> causing liver cancers in chronic feeding studies (ACGIH, </w:t>
      </w:r>
      <w:r>
        <w:t>2018</w:t>
      </w:r>
      <w:r w:rsidRPr="003C57F9">
        <w:t xml:space="preserve">; DFG, </w:t>
      </w:r>
      <w:r>
        <w:t>2003</w:t>
      </w:r>
      <w:r w:rsidRPr="003C57F9">
        <w:t>). However, no mechanistic studies or evidence for carcinogenicity in human case studies are</w:t>
      </w:r>
      <w:r>
        <w:t xml:space="preserve"> available.</w:t>
      </w:r>
    </w:p>
    <w:p w14:paraId="37A62D07" w14:textId="5C277DA5" w:rsidR="004A1BA6" w:rsidRPr="00C20652" w:rsidRDefault="00D41B62" w:rsidP="00105B75">
      <w:pPr>
        <w:pStyle w:val="ListBullet"/>
        <w:rPr>
          <w:rFonts w:cs="Arial"/>
        </w:rPr>
      </w:pPr>
      <w:r w:rsidRPr="004A1BA6">
        <w:t xml:space="preserve">The recommended TWA is </w:t>
      </w:r>
      <w:r w:rsidR="00921E7A" w:rsidRPr="004A1BA6">
        <w:t>expected to protect for</w:t>
      </w:r>
      <w:r w:rsidR="00331827" w:rsidRPr="004A1BA6">
        <w:t xml:space="preserve"> </w:t>
      </w:r>
      <w:r w:rsidR="00921E7A" w:rsidRPr="004A1BA6">
        <w:t>adverse</w:t>
      </w:r>
      <w:r w:rsidR="004A1BA6">
        <w:t xml:space="preserve"> CNS</w:t>
      </w:r>
      <w:r w:rsidR="00921E7A" w:rsidRPr="004A1BA6">
        <w:t xml:space="preserve"> effects </w:t>
      </w:r>
      <w:r w:rsidR="004A1BA6">
        <w:t>and is consistent with</w:t>
      </w:r>
      <w:r w:rsidR="00921E7A" w:rsidRPr="004A1BA6">
        <w:t xml:space="preserve"> the </w:t>
      </w:r>
      <w:r w:rsidR="00B762F9">
        <w:t xml:space="preserve">TWA for the </w:t>
      </w:r>
      <w:r w:rsidR="00921E7A" w:rsidRPr="004A1BA6">
        <w:t xml:space="preserve">toxicologically similar </w:t>
      </w:r>
      <w:r w:rsidR="003C57F9" w:rsidRPr="004A1BA6">
        <w:t>congener</w:t>
      </w:r>
      <w:r w:rsidRPr="004A1BA6">
        <w:t xml:space="preserve"> chlordane</w:t>
      </w:r>
      <w:r w:rsidR="00921E7A" w:rsidRPr="004A1BA6">
        <w:t>.</w:t>
      </w:r>
      <w:r w:rsidR="00921E7A" w:rsidRPr="003C57F9">
        <w:t xml:space="preserve"> </w:t>
      </w:r>
      <w:r w:rsidR="00B762F9">
        <w:t>A</w:t>
      </w:r>
      <w:r w:rsidR="00B762F9" w:rsidRPr="003C57F9">
        <w:t xml:space="preserve"> </w:t>
      </w:r>
      <w:r w:rsidR="00921E7A" w:rsidRPr="003C57F9">
        <w:t>S</w:t>
      </w:r>
      <w:r w:rsidR="006B084A" w:rsidRPr="003C57F9">
        <w:t xml:space="preserve">TEL </w:t>
      </w:r>
      <w:r w:rsidR="00921E7A" w:rsidRPr="003C57F9">
        <w:t xml:space="preserve">is recommended to </w:t>
      </w:r>
      <w:r w:rsidR="006B084A" w:rsidRPr="003C57F9">
        <w:t>prevent bioaccumulation and accompanying systemic effects</w:t>
      </w:r>
      <w:r w:rsidR="00331827" w:rsidRPr="003C57F9">
        <w:t xml:space="preserve">. </w:t>
      </w:r>
    </w:p>
    <w:p w14:paraId="1B0B0C3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1E041D8" w14:textId="46529A95" w:rsidR="00ED2A8F" w:rsidRPr="007D0A4A" w:rsidRDefault="00ED2A8F" w:rsidP="00ED2A8F">
      <w:pPr>
        <w:rPr>
          <w:rFonts w:cs="Arial"/>
          <w:szCs w:val="20"/>
        </w:rPr>
      </w:pPr>
      <w:r w:rsidRPr="007D0A4A">
        <w:t>Classified as carcinogen category 2 according to the Globally Harmonized System of Classification and Labelling o</w:t>
      </w:r>
      <w:r w:rsidR="00E67A7D">
        <w:t>f</w:t>
      </w:r>
      <w:r w:rsidRPr="007D0A4A">
        <w:t xml:space="preserve"> Chemicals (GHS). </w:t>
      </w:r>
    </w:p>
    <w:p w14:paraId="634AC738" w14:textId="77777777" w:rsidR="00ED2A8F" w:rsidRPr="007D0A4A" w:rsidRDefault="00ED2A8F" w:rsidP="00ED2A8F">
      <w:pPr>
        <w:rPr>
          <w:rFonts w:ascii="Calibri" w:hAnsi="Calibri" w:cs="Calibri"/>
          <w:sz w:val="22"/>
        </w:rPr>
      </w:pPr>
      <w:r w:rsidRPr="007D0A4A">
        <w:t>Not classified as a skin</w:t>
      </w:r>
      <w:r w:rsidR="00635D0B">
        <w:t xml:space="preserve"> sensitiser</w:t>
      </w:r>
      <w:r w:rsidRPr="007D0A4A">
        <w:t xml:space="preserve"> or respiratory sensitiser according to the GHS.</w:t>
      </w:r>
    </w:p>
    <w:p w14:paraId="46C9A1AF" w14:textId="77777777" w:rsidR="0025734A" w:rsidRPr="004C23F4" w:rsidRDefault="00ED2A8F">
      <w:pPr>
        <w:rPr>
          <w:rFonts w:cs="Arial"/>
        </w:rPr>
      </w:pPr>
      <w:r>
        <w:lastRenderedPageBreak/>
        <w:t xml:space="preserve">A skin notation is recommended based on evidence of systemic effects following dermal exposure in </w:t>
      </w:r>
      <w:r w:rsidR="00E653BB">
        <w:t>humans and animals</w:t>
      </w:r>
      <w:r>
        <w:t>.</w:t>
      </w:r>
    </w:p>
    <w:p w14:paraId="404C9775" w14:textId="77777777" w:rsidR="005E6979" w:rsidRPr="004C23F4" w:rsidRDefault="005E6979">
      <w:pPr>
        <w:rPr>
          <w:rFonts w:cs="Arial"/>
        </w:rPr>
        <w:sectPr w:rsidR="005E6979" w:rsidRPr="004C23F4" w:rsidSect="00454799">
          <w:headerReference w:type="default" r:id="rId11"/>
          <w:footerReference w:type="default" r:id="rId12"/>
          <w:headerReference w:type="first" r:id="rId13"/>
          <w:pgSz w:w="11906" w:h="16838"/>
          <w:pgMar w:top="1985" w:right="1440" w:bottom="1440" w:left="1440" w:header="708" w:footer="283" w:gutter="0"/>
          <w:cols w:space="708"/>
          <w:titlePg/>
          <w:docGrid w:linePitch="360"/>
        </w:sectPr>
      </w:pPr>
    </w:p>
    <w:p w14:paraId="555B380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8113D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E3FEFE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DE250B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953D11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5E4105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E7ED8">
                  <w:t>1993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ACGIH WES equivalent"/>
                    <w:tag w:val="ACGIH WES equivalent"/>
                    <w:id w:val="-1910370928"/>
                    <w:placeholder>
                      <w:docPart w:val="0390E145AC4247B78A17280B3C05E19C"/>
                    </w:placeholder>
                  </w:sdtPr>
                  <w:sdtEndPr/>
                  <w:sdtContent>
                    <w:r w:rsidR="004F2910">
                      <w:t>TWA: 0.5 mg/m</w:t>
                    </w:r>
                    <w:r w:rsidR="004F2910">
                      <w:rPr>
                        <w:vertAlign w:val="superscript"/>
                      </w:rPr>
                      <w:t>3</w:t>
                    </w:r>
                    <w:r w:rsidR="004F2910">
                      <w:t>; STEL: 1 mg/m</w:t>
                    </w:r>
                    <w:r w:rsidR="004F2910">
                      <w:rPr>
                        <w:vertAlign w:val="superscript"/>
                      </w:rPr>
                      <w:t>3</w:t>
                    </w:r>
                  </w:sdtContent>
                </w:sdt>
              </w:sdtContent>
            </w:sdt>
          </w:p>
        </w:tc>
      </w:tr>
      <w:tr w:rsidR="00C978F0" w:rsidRPr="00DA352E" w14:paraId="7501681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8A3AD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2ECB2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02DD3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E522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E5225">
                  <w:t>TLV-TWA: 0.5 mg/m</w:t>
                </w:r>
                <w:r w:rsidR="008E5225">
                  <w:rPr>
                    <w:vertAlign w:val="superscript"/>
                  </w:rPr>
                  <w:t>3</w:t>
                </w:r>
                <w:r w:rsidR="008E5225">
                  <w:t>; TLV-STEL: 1 mg/m</w:t>
                </w:r>
                <w:r w:rsidR="008E522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C16AF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9324E8" w14:textId="67EF4D45" w:rsidR="00327EFC" w:rsidRDefault="008E5225" w:rsidP="003365A5">
            <w:pPr>
              <w:pStyle w:val="Tabletextprimarysource"/>
            </w:pPr>
            <w:r>
              <w:t>TLV-TWA</w:t>
            </w:r>
            <w:r w:rsidR="00034BEC">
              <w:t xml:space="preserve"> based on that of chlordane by analogy and</w:t>
            </w:r>
            <w:r>
              <w:t xml:space="preserve"> intended to minimise potential for acute adverse effects to central nervous system including salivation, nausea, vomiting, muscle spasms/convulsions and potential liver damage. </w:t>
            </w:r>
          </w:p>
          <w:p w14:paraId="5D959641" w14:textId="662CA66A" w:rsidR="00CA53C1" w:rsidRDefault="008E5225" w:rsidP="003365A5">
            <w:pPr>
              <w:pStyle w:val="Tabletextprimarysource"/>
            </w:pPr>
            <w:r>
              <w:t xml:space="preserve">TLV-STEL intended </w:t>
            </w:r>
            <w:r w:rsidR="00CA53C1">
              <w:t xml:space="preserve">to prevent bioaccumulation and </w:t>
            </w:r>
            <w:r w:rsidR="00B229A8">
              <w:t xml:space="preserve">consequential </w:t>
            </w:r>
            <w:r w:rsidR="00CA53C1">
              <w:t xml:space="preserve">systemic effects. Skin notation </w:t>
            </w:r>
            <w:r w:rsidR="00B229A8">
              <w:t xml:space="preserve">is </w:t>
            </w:r>
            <w:r w:rsidR="00CA53C1">
              <w:t xml:space="preserve">recommended due to reported toxicity in dermal absorption studies with </w:t>
            </w:r>
            <w:r w:rsidR="00E75869">
              <w:t>rabbits</w:t>
            </w:r>
            <w:r w:rsidR="00CA53C1">
              <w:t>. Classified as a carcinogen in animals with unknown relevance to humans.</w:t>
            </w:r>
          </w:p>
          <w:p w14:paraId="4EB225A3" w14:textId="77777777" w:rsidR="00CA53C1" w:rsidRDefault="00E75869" w:rsidP="003365A5">
            <w:pPr>
              <w:pStyle w:val="Tabletextprimarysource"/>
            </w:pPr>
            <w:r>
              <w:t>Summary of additional</w:t>
            </w:r>
            <w:r w:rsidR="00696103">
              <w:t xml:space="preserve"> data</w:t>
            </w:r>
            <w:r>
              <w:t>:</w:t>
            </w:r>
          </w:p>
          <w:p w14:paraId="235AB8E1" w14:textId="331838FC" w:rsidR="00E75869" w:rsidRDefault="00694518" w:rsidP="003365A5">
            <w:pPr>
              <w:pStyle w:val="Tabletextprimarysource"/>
            </w:pPr>
            <w:r>
              <w:t>Chronic ingestion</w:t>
            </w:r>
            <w:r w:rsidR="000A540B">
              <w:t xml:space="preserve"> leads to accumulation </w:t>
            </w:r>
            <w:r w:rsidR="00327EFC">
              <w:t xml:space="preserve">(including </w:t>
            </w:r>
            <w:r w:rsidR="000A540B">
              <w:t>chlorinated metabolites</w:t>
            </w:r>
            <w:r w:rsidR="00327EFC">
              <w:t>)</w:t>
            </w:r>
            <w:r w:rsidR="000A540B">
              <w:t xml:space="preserve"> in fatty tissues</w:t>
            </w:r>
            <w:r w:rsidR="00327EFC">
              <w:t>.</w:t>
            </w:r>
            <w:r w:rsidR="000A540B">
              <w:t xml:space="preserve"> </w:t>
            </w:r>
            <w:r w:rsidR="00327EFC">
              <w:t>T</w:t>
            </w:r>
            <w:r w:rsidR="000A540B">
              <w:t>hese are eliminated rapidly when ingestion ceases.</w:t>
            </w:r>
          </w:p>
          <w:p w14:paraId="6A736155" w14:textId="77777777" w:rsidR="00E40E42" w:rsidRDefault="00E40E42" w:rsidP="003365A5">
            <w:pPr>
              <w:pStyle w:val="Tabletextprimarysource"/>
            </w:pPr>
            <w:r>
              <w:t>Human data:</w:t>
            </w:r>
          </w:p>
          <w:p w14:paraId="6769F2A9" w14:textId="471D2927" w:rsidR="00E40E42" w:rsidRDefault="00E40E42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Lethal dose in humans estimated 2</w:t>
            </w:r>
            <w:r w:rsidR="00696103">
              <w:t>–</w:t>
            </w:r>
            <w:r>
              <w:t>7 g</w:t>
            </w:r>
          </w:p>
          <w:p w14:paraId="668F361A" w14:textId="77777777" w:rsidR="00521690" w:rsidRDefault="00521690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Similar acute toxicity </w:t>
            </w:r>
            <w:r w:rsidR="00A3104C">
              <w:t>to</w:t>
            </w:r>
            <w:r>
              <w:t xml:space="preserve"> </w:t>
            </w:r>
            <w:r w:rsidR="00A3104C">
              <w:t xml:space="preserve">the </w:t>
            </w:r>
            <w:r>
              <w:t>structurally related chlordane</w:t>
            </w:r>
          </w:p>
          <w:p w14:paraId="1F1B7530" w14:textId="63E21C0B" w:rsidR="00E40E42" w:rsidRDefault="00E40E42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Acute toxicity usually results from accidental ingestion and causes </w:t>
            </w:r>
            <w:r w:rsidR="00327EFC">
              <w:t>CNS</w:t>
            </w:r>
            <w:r>
              <w:t xml:space="preserve"> stimulation</w:t>
            </w:r>
            <w:r w:rsidR="00327EFC">
              <w:t xml:space="preserve"> including</w:t>
            </w:r>
            <w:r>
              <w:t xml:space="preserve"> confusion, nausea, vomiting and muscle spasms in the extremities and convulsions </w:t>
            </w:r>
            <w:r w:rsidR="00521690">
              <w:t>within 4 h</w:t>
            </w:r>
          </w:p>
          <w:p w14:paraId="7B6B81EF" w14:textId="77777777" w:rsidR="00E40E42" w:rsidRDefault="00E40E42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In fatal cases, death occurs within 4</w:t>
            </w:r>
            <w:r w:rsidR="00696103">
              <w:t>–</w:t>
            </w:r>
            <w:r>
              <w:t>24 h of exposure</w:t>
            </w:r>
          </w:p>
          <w:p w14:paraId="6664A34F" w14:textId="77777777" w:rsidR="00E40E42" w:rsidRDefault="00E40E42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Non-fatal poisoning causes adverse central nervous effects at 10 mg/kg in some exposed individuals, but not in others</w:t>
            </w:r>
            <w:r w:rsidR="00521690">
              <w:t xml:space="preserve"> (no further information provided)</w:t>
            </w:r>
          </w:p>
          <w:p w14:paraId="6A3E4CBD" w14:textId="4CB8E85D" w:rsidR="00635D0B" w:rsidRDefault="00521690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 reports on chronic intoxication available</w:t>
            </w:r>
            <w:r w:rsidR="00635D0B">
              <w:t>.</w:t>
            </w:r>
          </w:p>
          <w:p w14:paraId="780E5DB0" w14:textId="77777777" w:rsidR="009339FC" w:rsidRDefault="009339FC" w:rsidP="009878D1">
            <w:pPr>
              <w:pStyle w:val="Tabletextprimarysource"/>
            </w:pPr>
          </w:p>
          <w:p w14:paraId="7312E5B8" w14:textId="1B8C7FC5" w:rsidR="00521690" w:rsidRDefault="00521690" w:rsidP="009878D1">
            <w:pPr>
              <w:pStyle w:val="Tabletextprimarysource"/>
            </w:pPr>
            <w:r>
              <w:t>Animal data:</w:t>
            </w:r>
          </w:p>
          <w:p w14:paraId="3703B5BC" w14:textId="77777777" w:rsidR="00151513" w:rsidRDefault="00151513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Oral LD</w:t>
            </w:r>
            <w:r w:rsidRPr="00957A19">
              <w:rPr>
                <w:vertAlign w:val="subscript"/>
              </w:rPr>
              <w:t>50</w:t>
            </w:r>
            <w:r>
              <w:t>: 60</w:t>
            </w:r>
            <w:r w:rsidR="00696103">
              <w:t>–</w:t>
            </w:r>
            <w:r>
              <w:t>120 mg/kg (rats), 290</w:t>
            </w:r>
            <w:r w:rsidR="00696103">
              <w:t>–</w:t>
            </w:r>
            <w:r>
              <w:t>365 mg/kg (guinea pigs), 200 mg/kg (hamsters)</w:t>
            </w:r>
          </w:p>
          <w:p w14:paraId="09BE133F" w14:textId="4AC505E9" w:rsidR="005D360D" w:rsidRDefault="00151513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LC</w:t>
            </w:r>
            <w:r w:rsidRPr="00957A19">
              <w:rPr>
                <w:vertAlign w:val="subscript"/>
              </w:rPr>
              <w:t>50</w:t>
            </w:r>
            <w:r>
              <w:t>: 20 mg/m</w:t>
            </w:r>
            <w:r w:rsidRPr="00957A19">
              <w:rPr>
                <w:vertAlign w:val="superscript"/>
              </w:rPr>
              <w:t>3</w:t>
            </w:r>
            <w:r>
              <w:t xml:space="preserve"> (mice, 2 h</w:t>
            </w:r>
            <w:r w:rsidR="005D360D">
              <w:t xml:space="preserve">, </w:t>
            </w:r>
            <w:r>
              <w:t>technical grade</w:t>
            </w:r>
            <w:r w:rsidR="005D360D">
              <w:t>)</w:t>
            </w:r>
            <w:r>
              <w:t xml:space="preserve"> </w:t>
            </w:r>
          </w:p>
          <w:p w14:paraId="5EF804CF" w14:textId="03808A9F" w:rsidR="00327EFC" w:rsidRDefault="00696103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/>
              <w:contextualSpacing w:val="0"/>
            </w:pPr>
            <w:r>
              <w:t>tonic-</w:t>
            </w:r>
            <w:proofErr w:type="spellStart"/>
            <w:r>
              <w:t>clonic</w:t>
            </w:r>
            <w:proofErr w:type="spellEnd"/>
            <w:r w:rsidR="00151513">
              <w:t xml:space="preserve"> convulsions, vomiting and hyperreflexia observed</w:t>
            </w:r>
          </w:p>
          <w:p w14:paraId="245FCABC" w14:textId="037399A0" w:rsidR="00151513" w:rsidRDefault="00327EFC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/>
              <w:contextualSpacing w:val="0"/>
            </w:pPr>
            <w:r>
              <w:t>d</w:t>
            </w:r>
            <w:r w:rsidR="00151513">
              <w:t>eath</w:t>
            </w:r>
            <w:r w:rsidR="00B762F9">
              <w:t xml:space="preserve">s resulted from </w:t>
            </w:r>
            <w:r w:rsidR="00151513">
              <w:t>respiratory failure</w:t>
            </w:r>
          </w:p>
          <w:p w14:paraId="3C7991E5" w14:textId="05CEE2D3" w:rsidR="00327EFC" w:rsidRDefault="00B762F9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</w:t>
            </w:r>
            <w:r w:rsidR="0065754A">
              <w:t xml:space="preserve">ot toxic </w:t>
            </w:r>
            <w:r w:rsidR="004171E2">
              <w:t xml:space="preserve">to dogs </w:t>
            </w:r>
            <w:r w:rsidR="0065754A">
              <w:t>at high concentrations</w:t>
            </w:r>
            <w:r w:rsidR="004171E2">
              <w:t xml:space="preserve"> (50% dust)</w:t>
            </w:r>
            <w:r w:rsidR="0065754A">
              <w:t xml:space="preserve"> </w:t>
            </w:r>
            <w:r w:rsidR="004171E2">
              <w:t xml:space="preserve">in </w:t>
            </w:r>
            <w:r>
              <w:t>dermal absorption studies</w:t>
            </w:r>
          </w:p>
          <w:p w14:paraId="09F1552F" w14:textId="6CE06575" w:rsidR="0065754A" w:rsidRDefault="00327EFC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/>
              <w:contextualSpacing w:val="0"/>
            </w:pPr>
            <w:r>
              <w:t>l</w:t>
            </w:r>
            <w:r w:rsidR="004171E2">
              <w:t>ethal to rabbits at lower concentrations (no further information)</w:t>
            </w:r>
          </w:p>
          <w:p w14:paraId="3E4E19B3" w14:textId="77777777" w:rsidR="00327EFC" w:rsidRDefault="0065754A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Liver damage at 50</w:t>
            </w:r>
            <w:r w:rsidR="00696103">
              <w:t>–</w:t>
            </w:r>
            <w:r>
              <w:t>200 mg toxaphene/kg of diet in repeat feeding study (rats, 2</w:t>
            </w:r>
            <w:r w:rsidR="00696103">
              <w:t>–</w:t>
            </w:r>
            <w:r>
              <w:t xml:space="preserve">9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0A5D991C" w14:textId="7D01FF96" w:rsidR="0065754A" w:rsidRDefault="0065754A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/>
              <w:contextualSpacing w:val="0"/>
            </w:pPr>
            <w:r>
              <w:t xml:space="preserve">no </w:t>
            </w:r>
            <w:r w:rsidR="00EA13B6">
              <w:t xml:space="preserve">such </w:t>
            </w:r>
            <w:r>
              <w:t xml:space="preserve">effects </w:t>
            </w:r>
            <w:r w:rsidR="00327EFC">
              <w:t xml:space="preserve">in diet </w:t>
            </w:r>
            <w:r w:rsidR="00EA13B6">
              <w:t xml:space="preserve">at 189 mg/kg after </w:t>
            </w:r>
            <w:r w:rsidR="009259E5">
              <w:t xml:space="preserve">12 </w:t>
            </w:r>
            <w:proofErr w:type="spellStart"/>
            <w:r w:rsidR="009259E5">
              <w:t>wk</w:t>
            </w:r>
            <w:proofErr w:type="spellEnd"/>
          </w:p>
          <w:p w14:paraId="43C78104" w14:textId="77777777" w:rsidR="0065754A" w:rsidRDefault="000A4330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Thyroid and adrenal hypertrophy at 5</w:t>
            </w:r>
            <w:r w:rsidR="00696103">
              <w:t>–</w:t>
            </w:r>
            <w:r>
              <w:t xml:space="preserve">500 mg toxaphene/kg of diet (quails, 4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57AD58FC" w14:textId="77777777" w:rsidR="0065754A" w:rsidRDefault="000A4330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Positive dose-related dependence of liver cell carcinoma incidence in range of 99</w:t>
            </w:r>
            <w:r w:rsidR="00696103">
              <w:t>–</w:t>
            </w:r>
            <w:r>
              <w:t>198 mg toxaphene/kg of diet (mice) and thyroid tumour incidence in range of 540</w:t>
            </w:r>
            <w:r w:rsidR="00696103">
              <w:t>–</w:t>
            </w:r>
            <w:r>
              <w:t>1</w:t>
            </w:r>
            <w:r w:rsidR="00635D0B">
              <w:t>,</w:t>
            </w:r>
            <w:r>
              <w:t>112 mg/kg of diet (rats, durations both unspecified)</w:t>
            </w:r>
          </w:p>
          <w:p w14:paraId="27E29FBC" w14:textId="5D593961" w:rsidR="009339FC" w:rsidRPr="00DA352E" w:rsidRDefault="00694518" w:rsidP="009339FC">
            <w:pPr>
              <w:pStyle w:val="ListBullet"/>
              <w:pageBreakBefore/>
              <w:widowControl w:val="0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Mutagen</w:t>
            </w:r>
            <w:r w:rsidR="00D05BE9">
              <w:t>ic in bacterial assays</w:t>
            </w:r>
            <w:r w:rsidR="00327EFC">
              <w:t xml:space="preserve"> and</w:t>
            </w:r>
            <w:r w:rsidR="00D05BE9">
              <w:t xml:space="preserve"> non-</w:t>
            </w:r>
            <w:r>
              <w:t>clastogenic in mice</w:t>
            </w:r>
            <w:r w:rsidR="000A540B">
              <w:t>.</w:t>
            </w:r>
          </w:p>
        </w:tc>
      </w:tr>
      <w:tr w:rsidR="009339FC" w:rsidRPr="00DA352E" w14:paraId="61545EE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2EAA9E" w14:textId="1808389A" w:rsidR="009339FC" w:rsidRDefault="009339FC" w:rsidP="003365A5">
            <w:pPr>
              <w:pStyle w:val="Tabletextprimarysource"/>
            </w:pPr>
          </w:p>
        </w:tc>
      </w:tr>
      <w:tr w:rsidR="00C978F0" w:rsidRPr="00DA352E" w14:paraId="328943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D5AE17C" w14:textId="785E1838" w:rsidR="00C978F0" w:rsidRPr="00DA352E" w:rsidRDefault="00DA352E" w:rsidP="007628BE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628BE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05BE9">
                  <w:t>n</w:t>
                </w:r>
                <w:r w:rsidR="00D24295">
                  <w:t>ot established</w:t>
                </w:r>
              </w:sdtContent>
            </w:sdt>
          </w:p>
        </w:tc>
      </w:tr>
      <w:tr w:rsidR="00C978F0" w:rsidRPr="00DA352E" w14:paraId="0F2E5D19" w14:textId="77777777" w:rsidTr="00105B75">
        <w:trPr>
          <w:gridAfter w:val="1"/>
          <w:wAfter w:w="8" w:type="pct"/>
        </w:trPr>
        <w:tc>
          <w:tcPr>
            <w:tcW w:w="4992" w:type="pct"/>
          </w:tcPr>
          <w:p w14:paraId="56F4AC24" w14:textId="77777777" w:rsidR="00C978F0" w:rsidRDefault="000A540B" w:rsidP="002E0864">
            <w:pPr>
              <w:pStyle w:val="Tabletextprimarysource"/>
            </w:pPr>
            <w:r>
              <w:t>Summary of additional data:</w:t>
            </w:r>
          </w:p>
          <w:p w14:paraId="69366E63" w14:textId="77777777" w:rsidR="004171E2" w:rsidRDefault="00D05BE9" w:rsidP="009878D1">
            <w:pPr>
              <w:pStyle w:val="Tabletextprimarysource"/>
            </w:pPr>
            <w:r>
              <w:lastRenderedPageBreak/>
              <w:t xml:space="preserve">Previous MAK value withdrawn due to carcinogenicity in animals and unknown carcinogenic potential in humans. </w:t>
            </w:r>
            <w:r w:rsidR="009946D7">
              <w:t xml:space="preserve">Usage banned in Germany, but exposure may occur during remediation or waste disposal. </w:t>
            </w:r>
          </w:p>
          <w:p w14:paraId="62BCBF4F" w14:textId="77777777" w:rsidR="00D05BE9" w:rsidRDefault="00D8702A" w:rsidP="009878D1">
            <w:pPr>
              <w:pStyle w:val="Tabletextprimarysource"/>
            </w:pPr>
            <w:r>
              <w:t>Human data:</w:t>
            </w:r>
          </w:p>
          <w:p w14:paraId="5B72ACE7" w14:textId="39357509" w:rsidR="00327EFC" w:rsidRDefault="00CD2C14" w:rsidP="009339FC">
            <w:pPr>
              <w:pStyle w:val="ListBullet"/>
              <w:pageBreakBefore/>
              <w:widowControl w:val="0"/>
              <w:numPr>
                <w:ilvl w:val="0"/>
                <w:numId w:val="6"/>
              </w:numPr>
              <w:spacing w:before="60" w:after="60"/>
              <w:ind w:left="720" w:hanging="357"/>
              <w:contextualSpacing w:val="0"/>
            </w:pPr>
            <w:r>
              <w:t xml:space="preserve">No abnormal findings in volunteer inhalational study </w:t>
            </w:r>
            <w:r w:rsidR="00327EFC">
              <w:t>at</w:t>
            </w:r>
            <w:r>
              <w:t xml:space="preserve"> up to 500 mg/m</w:t>
            </w:r>
            <w:r w:rsidRPr="00957A19">
              <w:rPr>
                <w:vertAlign w:val="superscript"/>
              </w:rPr>
              <w:t>3</w:t>
            </w:r>
            <w:r>
              <w:t xml:space="preserve"> toxaphene (n=25, 30</w:t>
            </w:r>
            <w:r w:rsidR="009765BA">
              <w:t> </w:t>
            </w:r>
            <w:r>
              <w:t>min, 10 d)</w:t>
            </w:r>
          </w:p>
          <w:p w14:paraId="7E0427FD" w14:textId="52D7B11D" w:rsidR="00D8702A" w:rsidRDefault="00CD2C14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 xml:space="preserve">follow-up exposure 3 </w:t>
            </w:r>
            <w:proofErr w:type="spellStart"/>
            <w:r>
              <w:t>wk</w:t>
            </w:r>
            <w:proofErr w:type="spellEnd"/>
            <w:r>
              <w:t xml:space="preserve"> later under same conditions for 3 d</w:t>
            </w:r>
            <w:r w:rsidR="00921E7A">
              <w:t>, low information content of study questioned by agency</w:t>
            </w:r>
          </w:p>
          <w:p w14:paraId="007F2381" w14:textId="4E5D203B" w:rsidR="00CD2C14" w:rsidRDefault="00327EFC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20" w:hanging="357"/>
              <w:contextualSpacing w:val="0"/>
            </w:pPr>
            <w:r>
              <w:t>SCE reported</w:t>
            </w:r>
            <w:r w:rsidR="00CD2C14">
              <w:t xml:space="preserve"> in lymphocytes of 8 women accidentally intoxicated </w:t>
            </w:r>
            <w:r w:rsidR="00D41B62">
              <w:t xml:space="preserve">by crop sprayer </w:t>
            </w:r>
            <w:r w:rsidR="00CD2C14">
              <w:t>at an unknown concentration</w:t>
            </w:r>
            <w:r w:rsidR="00D24295">
              <w:t xml:space="preserve"> for</w:t>
            </w:r>
            <w:r w:rsidR="00CD2C14">
              <w:t xml:space="preserve"> &gt;4 h</w:t>
            </w:r>
          </w:p>
          <w:p w14:paraId="6417C71A" w14:textId="77777777" w:rsidR="005D360D" w:rsidRDefault="00CD2C14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20" w:hanging="357"/>
              <w:contextualSpacing w:val="0"/>
            </w:pPr>
            <w:r>
              <w:t>Increased lung cancer incidence reported in epidemiological study of pesticide-exposed workers</w:t>
            </w:r>
          </w:p>
          <w:p w14:paraId="12A7D487" w14:textId="76B21478" w:rsidR="002E0864" w:rsidRPr="00CD2C14" w:rsidRDefault="00CD2C14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>no conclusions on carcinogenicity of toxaphene due to mixed exposures</w:t>
            </w:r>
            <w:r w:rsidR="002E0864">
              <w:t>.</w:t>
            </w:r>
          </w:p>
          <w:p w14:paraId="79E3478B" w14:textId="77777777" w:rsidR="00454799" w:rsidRDefault="00454799" w:rsidP="003365A5">
            <w:pPr>
              <w:pStyle w:val="Tabletextprimarysource"/>
            </w:pPr>
          </w:p>
          <w:p w14:paraId="4B90E97D" w14:textId="2B01A9FE" w:rsidR="00D8702A" w:rsidRDefault="00D8702A" w:rsidP="003365A5">
            <w:pPr>
              <w:pStyle w:val="Tabletextprimarysource"/>
            </w:pPr>
            <w:r>
              <w:t>Animal data:</w:t>
            </w:r>
          </w:p>
          <w:p w14:paraId="26DE72B1" w14:textId="77777777" w:rsidR="005D360D" w:rsidRDefault="00D8702A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Dermal application of 16 mg/kg leads to </w:t>
            </w:r>
            <w:r w:rsidR="00D24295">
              <w:t xml:space="preserve">substance </w:t>
            </w:r>
            <w:r>
              <w:t>accumulation in adipose tissue, adrenal cortex, bone marrow, liver and kidneys (rats)</w:t>
            </w:r>
          </w:p>
          <w:p w14:paraId="115A4993" w14:textId="28C8250C" w:rsidR="00D8702A" w:rsidRDefault="00D8702A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>detectable up to 24 h post-exposure</w:t>
            </w:r>
          </w:p>
          <w:p w14:paraId="5EE5409D" w14:textId="448BDF42" w:rsidR="005D360D" w:rsidRDefault="009946D7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Thyroid tumour</w:t>
            </w:r>
            <w:r w:rsidR="005D360D">
              <w:t>s reported in</w:t>
            </w:r>
            <w:r>
              <w:t xml:space="preserve"> rats reported </w:t>
            </w:r>
            <w:r w:rsidR="005D360D">
              <w:t>in</w:t>
            </w:r>
            <w:r>
              <w:t xml:space="preserve"> repeat </w:t>
            </w:r>
            <w:r w:rsidR="00EE7ED8">
              <w:t>13</w:t>
            </w:r>
            <w:r w:rsidR="00306426">
              <w:t xml:space="preserve"> </w:t>
            </w:r>
            <w:proofErr w:type="spellStart"/>
            <w:r w:rsidR="00EE7ED8">
              <w:t>wk</w:t>
            </w:r>
            <w:proofErr w:type="spellEnd"/>
            <w:r w:rsidR="00EE7ED8">
              <w:t xml:space="preserve"> </w:t>
            </w:r>
            <w:r>
              <w:t>feeding study</w:t>
            </w:r>
            <w:r w:rsidR="00EE7ED8">
              <w:t xml:space="preserve"> </w:t>
            </w:r>
          </w:p>
          <w:p w14:paraId="58853B5F" w14:textId="176027D8" w:rsidR="00D8702A" w:rsidRDefault="009946D7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>not relevant to humans due</w:t>
            </w:r>
            <w:r w:rsidR="00AE1190">
              <w:t xml:space="preserve"> to species-specific metabolism</w:t>
            </w:r>
          </w:p>
          <w:p w14:paraId="0A437FCF" w14:textId="77DF38EF" w:rsidR="009946D7" w:rsidRDefault="00AE1190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No mechanistic studies available, but may act as tumour promoter by analogy to other </w:t>
            </w:r>
            <w:r w:rsidR="00D8702A">
              <w:t>poly</w:t>
            </w:r>
            <w:r>
              <w:t xml:space="preserve">chlorinated </w:t>
            </w:r>
            <w:r w:rsidR="00D8702A">
              <w:t>compounds</w:t>
            </w:r>
          </w:p>
          <w:p w14:paraId="5A8AE8F0" w14:textId="77777777" w:rsidR="00EA13B6" w:rsidRDefault="00CD2C14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Some pure isolated substances from technical grade mixtures are significantly more toxic than toxaphene</w:t>
            </w:r>
          </w:p>
          <w:p w14:paraId="1E1716A2" w14:textId="45001864" w:rsidR="00EA13B6" w:rsidRDefault="00EA13B6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LD</w:t>
            </w:r>
            <w:r w:rsidRPr="00957A19">
              <w:rPr>
                <w:vertAlign w:val="subscript"/>
              </w:rPr>
              <w:t>50</w:t>
            </w:r>
            <w:r>
              <w:t>: 3.1 and 6.6 mg/kg</w:t>
            </w:r>
            <w:r w:rsidR="005D360D">
              <w:t>,</w:t>
            </w:r>
            <w:r>
              <w:t xml:space="preserve"> </w:t>
            </w:r>
            <w:r w:rsidR="009259E5">
              <w:t>respectively for</w:t>
            </w:r>
            <w:r w:rsidR="00E72137">
              <w:t xml:space="preserve"> an</w:t>
            </w:r>
            <w:r w:rsidR="009259E5">
              <w:t xml:space="preserve"> </w:t>
            </w:r>
            <w:proofErr w:type="spellStart"/>
            <w:r>
              <w:t>octachloro</w:t>
            </w:r>
            <w:proofErr w:type="spellEnd"/>
            <w:r>
              <w:t xml:space="preserve"> derivative</w:t>
            </w:r>
            <w:r w:rsidR="009259E5">
              <w:t xml:space="preserve"> and </w:t>
            </w:r>
            <w:proofErr w:type="spellStart"/>
            <w:r w:rsidR="009259E5">
              <w:t>heptachlorobornane</w:t>
            </w:r>
            <w:proofErr w:type="spellEnd"/>
            <w:r w:rsidR="005D360D">
              <w:t xml:space="preserve"> (mice, IP)</w:t>
            </w:r>
          </w:p>
          <w:p w14:paraId="76CBF75A" w14:textId="77777777" w:rsidR="009259E5" w:rsidRDefault="009259E5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E72137">
              <w:t>chronic</w:t>
            </w:r>
            <w:r>
              <w:t xml:space="preserve"> inhalational or allergenic data available</w:t>
            </w:r>
          </w:p>
          <w:p w14:paraId="7D8DEAF1" w14:textId="56EC4DD2" w:rsidR="005D360D" w:rsidRDefault="009259E5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>NOAEL: 0.29</w:t>
            </w:r>
            <w:r w:rsidR="00306426">
              <w:t>–</w:t>
            </w:r>
            <w:r>
              <w:t xml:space="preserve">0.38 mg/kg for haematological and </w:t>
            </w:r>
            <w:r w:rsidR="00B229A8">
              <w:t>histopathological</w:t>
            </w:r>
            <w:r>
              <w:t xml:space="preserve"> changes in </w:t>
            </w:r>
            <w:r w:rsidR="00306426">
              <w:t>2</w:t>
            </w:r>
            <w:r>
              <w:t xml:space="preserve"> repeat feeding studies (rats, 13</w:t>
            </w:r>
            <w:r w:rsidR="00306426">
              <w:t>–</w:t>
            </w:r>
            <w:r>
              <w:t xml:space="preserve">27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09DD21DF" w14:textId="2C105D1F" w:rsidR="009259E5" w:rsidRDefault="009259E5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 xml:space="preserve">LOAEL </w:t>
            </w:r>
            <w:r w:rsidR="005D360D">
              <w:rPr>
                <w:rFonts w:cs="Arial"/>
              </w:rPr>
              <w:t>≈</w:t>
            </w:r>
            <w:r w:rsidR="00E5651B">
              <w:t xml:space="preserve">2 mg/kg for </w:t>
            </w:r>
            <w:r w:rsidR="00B229A8">
              <w:t>histopathological</w:t>
            </w:r>
            <w:r w:rsidR="00E5651B">
              <w:t xml:space="preserve"> changes to liver, kidney and thyroid described in one study</w:t>
            </w:r>
          </w:p>
          <w:p w14:paraId="7D93663C" w14:textId="63BC2B65" w:rsidR="005D360D" w:rsidRDefault="0025026A" w:rsidP="00105B75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</w:pPr>
            <w:r>
              <w:t xml:space="preserve">NOAEL: 0.2 mg/kg for </w:t>
            </w:r>
            <w:r w:rsidR="00B229A8">
              <w:t>histopathological</w:t>
            </w:r>
            <w:r>
              <w:t xml:space="preserve"> effects on liver, kidney, and thyroid in repeat </w:t>
            </w:r>
            <w:r w:rsidR="00EC3CDF">
              <w:t xml:space="preserve">feeding </w:t>
            </w:r>
            <w:r>
              <w:t xml:space="preserve">study (dogs, 13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4C3E92F6" w14:textId="221EBC35" w:rsidR="005D360D" w:rsidRDefault="0025026A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 xml:space="preserve">dosage </w:t>
            </w:r>
            <w:r w:rsidR="00E62722">
              <w:t>reduced</w:t>
            </w:r>
            <w:r>
              <w:t xml:space="preserve"> to 5 mg/kg in 10 mg/kg group due to seizures and vomitin</w:t>
            </w:r>
            <w:r w:rsidR="00105B75">
              <w:t>g</w:t>
            </w:r>
          </w:p>
          <w:p w14:paraId="18168A7B" w14:textId="661B70E9" w:rsidR="00105B75" w:rsidRDefault="0025026A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>all animals survived</w:t>
            </w:r>
          </w:p>
          <w:p w14:paraId="03692A54" w14:textId="130E2538" w:rsidR="009259E5" w:rsidRDefault="0025026A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1156" w:hanging="357"/>
              <w:contextualSpacing w:val="0"/>
            </w:pPr>
            <w:r>
              <w:t>dose dependent increase in serum phosphatase levels</w:t>
            </w:r>
            <w:r w:rsidR="00105B75">
              <w:t xml:space="preserve"> reported.</w:t>
            </w:r>
          </w:p>
          <w:p w14:paraId="39BC7DAE" w14:textId="208A83BF" w:rsidR="002E0864" w:rsidRPr="00DA352E" w:rsidRDefault="002E0864" w:rsidP="004171E2">
            <w:pPr>
              <w:pStyle w:val="ListBullet"/>
              <w:spacing w:before="60" w:after="60"/>
              <w:ind w:left="720"/>
            </w:pPr>
          </w:p>
        </w:tc>
      </w:tr>
      <w:tr w:rsidR="00C978F0" w:rsidRPr="00DA352E" w14:paraId="694B97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B6363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E7ED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E7ED8">
                  <w:t>NA</w:t>
                </w:r>
                <w:proofErr w:type="spellEnd"/>
              </w:sdtContent>
            </w:sdt>
          </w:p>
        </w:tc>
      </w:tr>
      <w:tr w:rsidR="00C978F0" w:rsidRPr="00DA352E" w14:paraId="18F6EA7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40B84EB" w14:textId="5C8CECCA" w:rsidR="00C978F0" w:rsidRPr="00DA352E" w:rsidRDefault="00EE7ED8" w:rsidP="003365A5">
            <w:pPr>
              <w:pStyle w:val="Tabletextprimarysource"/>
            </w:pPr>
            <w:r>
              <w:t>No report</w:t>
            </w:r>
            <w:r w:rsidR="00105B75">
              <w:t>.</w:t>
            </w:r>
          </w:p>
        </w:tc>
      </w:tr>
      <w:tr w:rsidR="00DA352E" w:rsidRPr="00DA352E" w14:paraId="77B8D74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8D887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E7ED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E7ED8">
                  <w:t>NA</w:t>
                </w:r>
                <w:proofErr w:type="spellEnd"/>
              </w:sdtContent>
            </w:sdt>
          </w:p>
        </w:tc>
      </w:tr>
      <w:tr w:rsidR="00DA352E" w:rsidRPr="00DA352E" w14:paraId="788BF3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928AD45" w14:textId="31CBB0F9" w:rsidR="00DA352E" w:rsidRPr="00DA352E" w:rsidRDefault="00EE7ED8" w:rsidP="003365A5">
            <w:pPr>
              <w:pStyle w:val="Tabletextprimarysource"/>
            </w:pPr>
            <w:r>
              <w:t>No report</w:t>
            </w:r>
            <w:r w:rsidR="00105B75">
              <w:t>.</w:t>
            </w:r>
          </w:p>
        </w:tc>
      </w:tr>
      <w:tr w:rsidR="00DA352E" w:rsidRPr="00DA352E" w14:paraId="5792DD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FB024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E7ED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E7ED8">
                  <w:t>NA</w:t>
                </w:r>
                <w:proofErr w:type="spellEnd"/>
              </w:sdtContent>
            </w:sdt>
          </w:p>
        </w:tc>
      </w:tr>
      <w:tr w:rsidR="00DA352E" w:rsidRPr="00DA352E" w14:paraId="5131D0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8452F3C" w14:textId="7505973A" w:rsidR="00DA352E" w:rsidRPr="00DA352E" w:rsidRDefault="00EE7ED8" w:rsidP="003365A5">
            <w:pPr>
              <w:pStyle w:val="Tabletextprimarysource"/>
            </w:pPr>
            <w:r>
              <w:t>No report</w:t>
            </w:r>
            <w:r w:rsidR="00105B75">
              <w:t>.</w:t>
            </w:r>
          </w:p>
        </w:tc>
      </w:tr>
    </w:tbl>
    <w:p w14:paraId="7EAAC2B3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2"/>
        <w:gridCol w:w="717"/>
        <w:gridCol w:w="6399"/>
      </w:tblGrid>
      <w:tr w:rsidR="004966BF" w:rsidRPr="00263255" w14:paraId="3BCA9417" w14:textId="77777777" w:rsidTr="00EA44C0">
        <w:trPr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77FC3CF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2BBDE5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17" w:type="dxa"/>
            <w:shd w:val="clear" w:color="auto" w:fill="BFBFBF" w:themeFill="background1" w:themeFillShade="BF"/>
            <w:vAlign w:val="center"/>
          </w:tcPr>
          <w:p w14:paraId="1C4CBCB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399" w:type="dxa"/>
            <w:shd w:val="clear" w:color="auto" w:fill="BFBFBF" w:themeFill="background1" w:themeFillShade="BF"/>
            <w:vAlign w:val="center"/>
          </w:tcPr>
          <w:p w14:paraId="46F18D6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E040574" w14:textId="77777777" w:rsidTr="00EA44C0">
        <w:trPr>
          <w:cantSplit/>
        </w:trPr>
        <w:tc>
          <w:tcPr>
            <w:tcW w:w="1488" w:type="dxa"/>
          </w:tcPr>
          <w:p w14:paraId="65A010DE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48B3FEAC" w14:textId="77777777" w:rsidR="004966BF" w:rsidRPr="00CE617F" w:rsidRDefault="007E4A1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642E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3C3DE726" w14:textId="77777777" w:rsidR="004966BF" w:rsidRPr="004C23F4" w:rsidRDefault="008642E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399" w:type="dxa"/>
          </w:tcPr>
          <w:p w14:paraId="2DD96E67" w14:textId="08D9C96B" w:rsidR="004966BF" w:rsidRDefault="00306426" w:rsidP="008642E5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2 </w:t>
            </w:r>
            <w:r w:rsidR="008642E5">
              <w:rPr>
                <w:rStyle w:val="checkbox"/>
                <w:rFonts w:ascii="Arial" w:hAnsi="Arial" w:cs="Arial"/>
              </w:rPr>
              <w:t>parallel case–control studies</w:t>
            </w:r>
            <w:r w:rsidR="004F2910" w:rsidRPr="004F2910">
              <w:rPr>
                <w:rStyle w:val="checkbox"/>
                <w:rFonts w:ascii="Arial" w:hAnsi="Arial" w:cs="Arial"/>
              </w:rPr>
              <w:t xml:space="preserve"> </w:t>
            </w:r>
            <w:r w:rsidR="008642E5">
              <w:rPr>
                <w:rStyle w:val="checkbox"/>
                <w:rFonts w:ascii="Arial" w:hAnsi="Arial" w:cs="Arial"/>
              </w:rPr>
              <w:t>(1</w:t>
            </w:r>
            <w:r w:rsidR="00254260">
              <w:rPr>
                <w:rStyle w:val="checkbox"/>
                <w:rFonts w:ascii="Arial" w:hAnsi="Arial" w:cs="Arial"/>
              </w:rPr>
              <w:t>,</w:t>
            </w:r>
            <w:r w:rsidR="008642E5">
              <w:rPr>
                <w:rStyle w:val="checkbox"/>
                <w:rFonts w:ascii="Arial" w:hAnsi="Arial" w:cs="Arial"/>
              </w:rPr>
              <w:t xml:space="preserve">245 controls) </w:t>
            </w:r>
            <w:r w:rsidR="004F2910" w:rsidRPr="004F2910">
              <w:rPr>
                <w:rStyle w:val="checkbox"/>
                <w:rFonts w:ascii="Arial" w:hAnsi="Arial" w:cs="Arial"/>
              </w:rPr>
              <w:t xml:space="preserve">of </w:t>
            </w:r>
            <w:r w:rsidR="00105B75">
              <w:rPr>
                <w:rStyle w:val="checkbox"/>
                <w:rFonts w:ascii="Arial" w:hAnsi="Arial" w:cs="Arial"/>
              </w:rPr>
              <w:t>NHL</w:t>
            </w:r>
            <w:r w:rsidR="004F2910" w:rsidRPr="004F2910">
              <w:rPr>
                <w:rStyle w:val="checkbox"/>
                <w:rFonts w:ascii="Arial" w:hAnsi="Arial" w:cs="Arial"/>
              </w:rPr>
              <w:t xml:space="preserve"> </w:t>
            </w:r>
            <w:r w:rsidR="008642E5">
              <w:rPr>
                <w:rStyle w:val="checkbox"/>
                <w:rFonts w:ascii="Arial" w:hAnsi="Arial" w:cs="Arial"/>
              </w:rPr>
              <w:t>(n=622) and</w:t>
            </w:r>
            <w:r w:rsidR="004F2910" w:rsidRPr="004F2910">
              <w:rPr>
                <w:rStyle w:val="checkbox"/>
                <w:rFonts w:ascii="Arial" w:hAnsi="Arial" w:cs="Arial"/>
              </w:rPr>
              <w:t xml:space="preserve"> leukaemia </w:t>
            </w:r>
            <w:r w:rsidR="008642E5">
              <w:rPr>
                <w:rStyle w:val="checkbox"/>
                <w:rFonts w:ascii="Arial" w:hAnsi="Arial" w:cs="Arial"/>
              </w:rPr>
              <w:t>(</w:t>
            </w:r>
            <w:r w:rsidR="00254260">
              <w:rPr>
                <w:rStyle w:val="checkbox"/>
                <w:rFonts w:ascii="Arial" w:hAnsi="Arial" w:cs="Arial"/>
              </w:rPr>
              <w:t>n=</w:t>
            </w:r>
            <w:r w:rsidR="008642E5">
              <w:rPr>
                <w:rStyle w:val="checkbox"/>
                <w:rFonts w:ascii="Arial" w:hAnsi="Arial" w:cs="Arial"/>
              </w:rPr>
              <w:t xml:space="preserve">578) </w:t>
            </w:r>
            <w:r w:rsidR="004F2910" w:rsidRPr="004F2910">
              <w:rPr>
                <w:rStyle w:val="checkbox"/>
                <w:rFonts w:ascii="Arial" w:hAnsi="Arial" w:cs="Arial"/>
              </w:rPr>
              <w:t xml:space="preserve">in the same populations </w:t>
            </w:r>
            <w:r w:rsidR="004F2910" w:rsidRPr="00EA44C0">
              <w:t>showed</w:t>
            </w:r>
            <w:r w:rsidR="004F2910" w:rsidRPr="004F2910">
              <w:rPr>
                <w:rStyle w:val="checkbox"/>
                <w:rFonts w:ascii="Arial" w:hAnsi="Arial" w:cs="Arial"/>
              </w:rPr>
              <w:t xml:space="preserve"> no significant increase in risk</w:t>
            </w:r>
            <w:r w:rsidR="004F2910">
              <w:rPr>
                <w:rStyle w:val="checkbox"/>
                <w:rFonts w:ascii="Arial" w:hAnsi="Arial" w:cs="Arial"/>
              </w:rPr>
              <w:t xml:space="preserve"> </w:t>
            </w:r>
            <w:r w:rsidR="004F2910" w:rsidRPr="004F2910">
              <w:rPr>
                <w:rStyle w:val="checkbox"/>
                <w:rFonts w:ascii="Arial" w:hAnsi="Arial" w:cs="Arial"/>
              </w:rPr>
              <w:t>associated with exposure to toxaphene</w:t>
            </w:r>
          </w:p>
          <w:p w14:paraId="096D37D8" w14:textId="422060CD" w:rsidR="008642E5" w:rsidRPr="004C23F4" w:rsidRDefault="008642E5" w:rsidP="00EA44C0">
            <w:pPr>
              <w:pStyle w:val="ListBullet"/>
              <w:numPr>
                <w:ilvl w:val="0"/>
                <w:numId w:val="2"/>
              </w:numPr>
              <w:rPr>
                <w:rStyle w:val="checkbox"/>
                <w:rFonts w:ascii="Arial" w:hAnsi="Arial" w:cs="Arial"/>
              </w:rPr>
            </w:pPr>
            <w:r>
              <w:t>Sufficient evidence for carcinogenicity in animals</w:t>
            </w:r>
            <w:r w:rsidR="00105B75">
              <w:t xml:space="preserve"> with</w:t>
            </w:r>
            <w:r>
              <w:t xml:space="preserve"> inadequate evidence in </w:t>
            </w:r>
            <w:r w:rsidRPr="00EA44C0">
              <w:rPr>
                <w:rStyle w:val="checkbox"/>
                <w:rFonts w:ascii="Arial" w:hAnsi="Arial" w:cs="Arial"/>
              </w:rPr>
              <w:t>humans</w:t>
            </w:r>
            <w:r w:rsidR="0025426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76AC8D7" w14:textId="77777777" w:rsidTr="00EA44C0">
        <w:trPr>
          <w:cantSplit/>
        </w:trPr>
        <w:tc>
          <w:tcPr>
            <w:tcW w:w="1488" w:type="dxa"/>
          </w:tcPr>
          <w:p w14:paraId="3B51FE85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539E03D1" w14:textId="77777777" w:rsidR="004966BF" w:rsidRDefault="007E4A1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2065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7005380C" w14:textId="3B26157B" w:rsidR="004966BF" w:rsidRPr="004C23F4" w:rsidRDefault="00E653B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399" w:type="dxa"/>
          </w:tcPr>
          <w:p w14:paraId="349AA6DF" w14:textId="77777777" w:rsidR="00105B75" w:rsidRPr="00105B75" w:rsidRDefault="00C20652" w:rsidP="00C20652">
            <w:pPr>
              <w:pStyle w:val="ListBullet"/>
              <w:numPr>
                <w:ilvl w:val="0"/>
                <w:numId w:val="2"/>
              </w:numPr>
              <w:rPr>
                <w:rFonts w:cs="Arial"/>
              </w:rPr>
            </w:pPr>
            <w:r>
              <w:t>N</w:t>
            </w:r>
            <w:r w:rsidR="00EE32FD" w:rsidRPr="00EE32FD">
              <w:t>o quant</w:t>
            </w:r>
            <w:r>
              <w:t>itative estimates of absorption</w:t>
            </w:r>
          </w:p>
          <w:p w14:paraId="13441D5F" w14:textId="1BBAB3DD" w:rsidR="004966BF" w:rsidRPr="00C20652" w:rsidRDefault="00105B75" w:rsidP="00C20652">
            <w:pPr>
              <w:pStyle w:val="ListBullet"/>
              <w:numPr>
                <w:ilvl w:val="0"/>
                <w:numId w:val="2"/>
              </w:numPr>
              <w:rPr>
                <w:rFonts w:cs="Arial"/>
              </w:rPr>
            </w:pPr>
            <w:r>
              <w:t>A</w:t>
            </w:r>
            <w:r w:rsidR="00C20652">
              <w:t>vailable studies</w:t>
            </w:r>
            <w:r w:rsidR="00EE32FD" w:rsidRPr="00EE32FD">
              <w:t xml:space="preserve"> indicate potential </w:t>
            </w:r>
            <w:r w:rsidR="00C20652">
              <w:t xml:space="preserve">for systemic </w:t>
            </w:r>
            <w:r w:rsidR="00C20652" w:rsidRPr="00EA44C0">
              <w:rPr>
                <w:rStyle w:val="checkbox"/>
                <w:rFonts w:ascii="Arial" w:hAnsi="Arial" w:cs="Arial"/>
              </w:rPr>
              <w:t>toxicity</w:t>
            </w:r>
            <w:r w:rsidR="00C20652">
              <w:t xml:space="preserve"> from dermal absorption</w:t>
            </w:r>
          </w:p>
          <w:p w14:paraId="21AE6FE0" w14:textId="77777777" w:rsidR="00105B75" w:rsidRPr="00105B75" w:rsidRDefault="00C20652" w:rsidP="007628BE">
            <w:pPr>
              <w:pStyle w:val="ListBullet"/>
              <w:numPr>
                <w:ilvl w:val="0"/>
                <w:numId w:val="2"/>
              </w:numPr>
              <w:rPr>
                <w:rFonts w:cs="Arial"/>
              </w:rPr>
            </w:pPr>
            <w:r>
              <w:t>Dermal LD</w:t>
            </w:r>
            <w:r w:rsidRPr="00C20652">
              <w:rPr>
                <w:vertAlign w:val="subscript"/>
              </w:rPr>
              <w:t>50</w:t>
            </w:r>
            <w:r>
              <w:t>: 780</w:t>
            </w:r>
            <w:r w:rsidR="00306426">
              <w:t>–</w:t>
            </w:r>
            <w:r>
              <w:t>1</w:t>
            </w:r>
            <w:r w:rsidR="00254260">
              <w:t>,</w:t>
            </w:r>
            <w:r>
              <w:t>075 mg/kg (rats), 1</w:t>
            </w:r>
            <w:r w:rsidR="00254260">
              <w:t>,</w:t>
            </w:r>
            <w:r>
              <w:t>025 mg/kg (rabbits)</w:t>
            </w:r>
          </w:p>
          <w:p w14:paraId="025EBC4F" w14:textId="2D69B4DA" w:rsidR="00C20652" w:rsidRPr="007628BE" w:rsidRDefault="00C20652" w:rsidP="00105B75">
            <w:pPr>
              <w:pStyle w:val="ListBullet"/>
              <w:numPr>
                <w:ilvl w:val="0"/>
                <w:numId w:val="8"/>
              </w:numPr>
              <w:spacing w:before="60" w:after="60"/>
              <w:ind w:left="662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non-standard acute toxicity test that involved </w:t>
            </w:r>
            <w:r w:rsidRPr="00EA44C0">
              <w:rPr>
                <w:rStyle w:val="checkbox"/>
                <w:rFonts w:ascii="Arial" w:hAnsi="Arial" w:cs="Arial"/>
              </w:rPr>
              <w:t>submersion</w:t>
            </w:r>
            <w:r>
              <w:t xml:space="preserve"> of animal in aqueous solution of the substance for 2 min</w:t>
            </w:r>
            <w:r w:rsidR="007628B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7628BE" w:rsidRPr="004C23F4" w14:paraId="50B52228" w14:textId="77777777" w:rsidTr="00EA44C0">
        <w:trPr>
          <w:cantSplit/>
        </w:trPr>
        <w:tc>
          <w:tcPr>
            <w:tcW w:w="1488" w:type="dxa"/>
          </w:tcPr>
          <w:p w14:paraId="1B063186" w14:textId="31B89478" w:rsidR="007628BE" w:rsidRDefault="007628BE" w:rsidP="007628BE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57A699E0" w14:textId="27C18D21" w:rsidR="007628BE" w:rsidRDefault="007E4A12" w:rsidP="007628BE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663003674"/>
                <w:placeholder>
                  <w:docPart w:val="2D1C2EC3F8514340A95A1997F9BEFDD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628B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17" w:type="dxa"/>
          </w:tcPr>
          <w:p w14:paraId="2D6A090F" w14:textId="504589E3" w:rsidR="007628BE" w:rsidRDefault="007628BE" w:rsidP="007628BE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399" w:type="dxa"/>
          </w:tcPr>
          <w:p w14:paraId="57EA4064" w14:textId="6D3FF9DC" w:rsidR="007628BE" w:rsidRDefault="007628BE" w:rsidP="007628BE">
            <w:pPr>
              <w:pStyle w:val="ListBullet"/>
              <w:numPr>
                <w:ilvl w:val="0"/>
                <w:numId w:val="2"/>
              </w:numPr>
            </w:pPr>
            <w:r>
              <w:rPr>
                <w:rStyle w:val="checkbox"/>
                <w:rFonts w:ascii="Arial" w:hAnsi="Arial" w:cs="Arial"/>
              </w:rPr>
              <w:t>IDLH b</w:t>
            </w:r>
            <w:r w:rsidRPr="00C20652">
              <w:rPr>
                <w:rStyle w:val="checkbox"/>
                <w:rFonts w:ascii="Arial" w:hAnsi="Arial" w:cs="Arial"/>
              </w:rPr>
              <w:t>ased on acute inhalation toxicity data in humans</w:t>
            </w:r>
            <w:r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6A7A50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3AC0FEF" w14:textId="77777777" w:rsidTr="002B4250">
        <w:trPr>
          <w:trHeight w:val="454"/>
          <w:tblHeader/>
        </w:trPr>
        <w:tc>
          <w:tcPr>
            <w:tcW w:w="6597" w:type="dxa"/>
            <w:vAlign w:val="center"/>
          </w:tcPr>
          <w:p w14:paraId="087365A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E0FEAB5" w14:textId="77777777" w:rsidR="002E0D61" w:rsidRDefault="002B425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9F22991" w14:textId="77777777" w:rsidTr="002B4250">
        <w:trPr>
          <w:trHeight w:val="454"/>
        </w:trPr>
        <w:tc>
          <w:tcPr>
            <w:tcW w:w="6597" w:type="dxa"/>
            <w:vAlign w:val="center"/>
          </w:tcPr>
          <w:p w14:paraId="0AEC34D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2B30C78" w14:textId="77777777" w:rsidR="008A36CF" w:rsidRDefault="002B425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05B75" w14:paraId="16B7057B" w14:textId="77777777" w:rsidTr="00B27058">
        <w:trPr>
          <w:trHeight w:val="454"/>
        </w:trPr>
        <w:sdt>
          <w:sdtPr>
            <w:rPr>
              <w:b/>
            </w:rPr>
            <w:id w:val="1830936485"/>
            <w:placeholder>
              <w:docPart w:val="99354733EB074BF2A2D42BCABF12451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56BE183" w14:textId="7391D547" w:rsidR="00105B75" w:rsidRDefault="00105B7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659FD9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D218F9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561CB9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3CC3BD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BE6CCC" w14:textId="77777777" w:rsidTr="00812887">
        <w:trPr>
          <w:cantSplit/>
        </w:trPr>
        <w:tc>
          <w:tcPr>
            <w:tcW w:w="3227" w:type="dxa"/>
          </w:tcPr>
          <w:p w14:paraId="6B8E427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B9881F5" w14:textId="77777777" w:rsidR="00687890" w:rsidRPr="00DD2F9B" w:rsidRDefault="00483E4F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2, Sk</w:t>
            </w:r>
            <w:r w:rsidR="00E653BB">
              <w:t>in</w:t>
            </w:r>
          </w:p>
        </w:tc>
      </w:tr>
      <w:tr w:rsidR="007925F0" w:rsidRPr="004C23F4" w14:paraId="1E91BDFC" w14:textId="77777777" w:rsidTr="00812887">
        <w:trPr>
          <w:cantSplit/>
        </w:trPr>
        <w:tc>
          <w:tcPr>
            <w:tcW w:w="3227" w:type="dxa"/>
          </w:tcPr>
          <w:p w14:paraId="08608AF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ABF78FF" w14:textId="77777777" w:rsidR="007925F0" w:rsidRPr="00DD2F9B" w:rsidRDefault="00E653BB" w:rsidP="00DD2F9B">
            <w:pPr>
              <w:pStyle w:val="Tablefont"/>
            </w:pPr>
            <w:r>
              <w:t>Carcinogenicity – category 2</w:t>
            </w:r>
          </w:p>
        </w:tc>
      </w:tr>
      <w:tr w:rsidR="00AF483F" w:rsidRPr="004C23F4" w14:paraId="5E4D93F5" w14:textId="77777777" w:rsidTr="00812887">
        <w:trPr>
          <w:cantSplit/>
        </w:trPr>
        <w:tc>
          <w:tcPr>
            <w:tcW w:w="3227" w:type="dxa"/>
          </w:tcPr>
          <w:p w14:paraId="58321D0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5905D07" w14:textId="77777777" w:rsidR="00AF483F" w:rsidRPr="00DD2F9B" w:rsidRDefault="00C2065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D618E4D" w14:textId="77777777" w:rsidTr="00812887">
        <w:trPr>
          <w:cantSplit/>
        </w:trPr>
        <w:tc>
          <w:tcPr>
            <w:tcW w:w="3227" w:type="dxa"/>
          </w:tcPr>
          <w:p w14:paraId="6132039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6C136D6" w14:textId="77777777" w:rsidR="00687890" w:rsidRPr="00DD2F9B" w:rsidRDefault="00E653BB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3E281049" w14:textId="77777777" w:rsidTr="00812887">
        <w:trPr>
          <w:cantSplit/>
        </w:trPr>
        <w:tc>
          <w:tcPr>
            <w:tcW w:w="3227" w:type="dxa"/>
          </w:tcPr>
          <w:p w14:paraId="329D02A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C7BA2F9" w14:textId="77777777" w:rsidR="00E41A26" w:rsidRPr="00DD2F9B" w:rsidRDefault="00C206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AA6D186" w14:textId="77777777" w:rsidTr="00812887">
        <w:trPr>
          <w:cantSplit/>
        </w:trPr>
        <w:tc>
          <w:tcPr>
            <w:tcW w:w="3227" w:type="dxa"/>
          </w:tcPr>
          <w:p w14:paraId="2205949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B22370D" w14:textId="77777777" w:rsidR="002E0D61" w:rsidRPr="00DD2F9B" w:rsidRDefault="00C20652" w:rsidP="00DD2F9B">
            <w:pPr>
              <w:pStyle w:val="Tablefont"/>
            </w:pPr>
            <w:r>
              <w:t xml:space="preserve">Carcinogenicity </w:t>
            </w:r>
            <w:r w:rsidR="00E653BB">
              <w:t xml:space="preserve">– </w:t>
            </w:r>
            <w:r>
              <w:t>A2, Skin</w:t>
            </w:r>
          </w:p>
        </w:tc>
      </w:tr>
      <w:tr w:rsidR="002E0D61" w:rsidRPr="004C23F4" w14:paraId="79B02C53" w14:textId="77777777" w:rsidTr="00812887">
        <w:trPr>
          <w:cantSplit/>
        </w:trPr>
        <w:tc>
          <w:tcPr>
            <w:tcW w:w="3227" w:type="dxa"/>
          </w:tcPr>
          <w:p w14:paraId="6CC0FFC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3219078" w14:textId="77777777" w:rsidR="002E0D61" w:rsidRPr="00DD2F9B" w:rsidRDefault="00E653BB" w:rsidP="00DD2F9B">
            <w:pPr>
              <w:pStyle w:val="Tablefont"/>
            </w:pPr>
            <w:r>
              <w:t xml:space="preserve">Carcinogenicity – 2, </w:t>
            </w:r>
            <w:r w:rsidR="00483E4F">
              <w:t>H (skin)</w:t>
            </w:r>
          </w:p>
        </w:tc>
      </w:tr>
      <w:tr w:rsidR="002E0D61" w:rsidRPr="004C23F4" w14:paraId="11CC413E" w14:textId="77777777" w:rsidTr="00812887">
        <w:trPr>
          <w:cantSplit/>
        </w:trPr>
        <w:tc>
          <w:tcPr>
            <w:tcW w:w="3227" w:type="dxa"/>
          </w:tcPr>
          <w:p w14:paraId="76A1591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6E3F21E" w14:textId="77777777" w:rsidR="002E0D61" w:rsidRPr="00DD2F9B" w:rsidRDefault="00483E4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F1EED3C" w14:textId="77777777" w:rsidTr="00812887">
        <w:trPr>
          <w:cantSplit/>
        </w:trPr>
        <w:tc>
          <w:tcPr>
            <w:tcW w:w="3227" w:type="dxa"/>
          </w:tcPr>
          <w:p w14:paraId="63EFA0E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AFD3674" w14:textId="77777777" w:rsidR="002E0D61" w:rsidRPr="00DD2F9B" w:rsidRDefault="00483E4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991199E" w14:textId="77777777" w:rsidTr="00812887">
        <w:trPr>
          <w:cantSplit/>
        </w:trPr>
        <w:tc>
          <w:tcPr>
            <w:tcW w:w="3227" w:type="dxa"/>
          </w:tcPr>
          <w:p w14:paraId="4080029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9F14FDA" w14:textId="77777777" w:rsidR="00386093" w:rsidRPr="00DD2F9B" w:rsidRDefault="00C9286C" w:rsidP="00DD2F9B">
            <w:pPr>
              <w:pStyle w:val="Tablefont"/>
            </w:pPr>
            <w:r>
              <w:t>Carcinogenicity – Group 2B</w:t>
            </w:r>
          </w:p>
        </w:tc>
      </w:tr>
      <w:tr w:rsidR="00386093" w:rsidRPr="004C23F4" w14:paraId="5A2E2974" w14:textId="77777777" w:rsidTr="00812887">
        <w:trPr>
          <w:cantSplit/>
        </w:trPr>
        <w:tc>
          <w:tcPr>
            <w:tcW w:w="3227" w:type="dxa"/>
          </w:tcPr>
          <w:p w14:paraId="1E90777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7434155" w14:textId="77777777" w:rsidR="00386093" w:rsidRPr="00DD2F9B" w:rsidRDefault="00E653BB" w:rsidP="00D87570">
            <w:pPr>
              <w:pStyle w:val="Tablefont"/>
              <w:keepNext/>
            </w:pPr>
            <w:r>
              <w:t>SK:SYS</w:t>
            </w:r>
          </w:p>
        </w:tc>
      </w:tr>
    </w:tbl>
    <w:bookmarkEnd w:id="2"/>
    <w:p w14:paraId="37F91D3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E3555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DC84E7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E4D126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B826F7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18"/>
              <w:gridCol w:w="1135"/>
              <w:gridCol w:w="1135"/>
              <w:gridCol w:w="2722"/>
            </w:tblGrid>
            <w:tr w:rsidR="005833B2" w:rsidRPr="005833B2" w14:paraId="3810AB4C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60809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31F29F3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8F93D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E6835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33B2" w:rsidRPr="005833B2" w14:paraId="5C130CDF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88479E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1305D66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7C0C8F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FAC98E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33B2" w:rsidRPr="005833B2" w14:paraId="062D74F9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E1C15E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C424BE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C24E95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4DA7DB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33B2" w:rsidRPr="005833B2" w14:paraId="63167B43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ED23F7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897459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416E53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322086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33B2" w:rsidRPr="005833B2" w14:paraId="1EA47E2F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839739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4D5667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F86816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BDF672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33B2" w:rsidRPr="005833B2" w14:paraId="1439E017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993D6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F94C83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F91A46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71E3B9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833B2" w:rsidRPr="005833B2" w14:paraId="36EDB682" w14:textId="77777777" w:rsidTr="00D6086F">
              <w:trPr>
                <w:trHeight w:val="299"/>
              </w:trPr>
              <w:tc>
                <w:tcPr>
                  <w:tcW w:w="21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68875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BDA987" w14:textId="77777777" w:rsidR="005833B2" w:rsidRPr="005833B2" w:rsidRDefault="005833B2" w:rsidP="005833B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1D5C49" w14:textId="77777777" w:rsidR="005833B2" w:rsidRPr="005833B2" w:rsidRDefault="005833B2" w:rsidP="005833B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54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6A37DB" w14:textId="77777777" w:rsidR="005833B2" w:rsidRPr="005833B2" w:rsidRDefault="005833B2" w:rsidP="005833B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833B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87F6CE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5FA873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9A6896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721124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AC81A53" w14:textId="77777777" w:rsidR="00EB3D1B" w:rsidRDefault="00483E4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4F2883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1BBF1CF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761791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16FDEB1" w14:textId="77777777" w:rsidR="001B79E5" w:rsidRDefault="00483E4F" w:rsidP="001B79E5">
                <w:pPr>
                  <w:pStyle w:val="Tablefont"/>
                </w:pPr>
                <w:r>
                  <w:t>414 (average)</w:t>
                </w:r>
              </w:p>
            </w:tc>
          </w:sdtContent>
        </w:sdt>
      </w:tr>
      <w:tr w:rsidR="00A31D99" w:rsidRPr="004C23F4" w14:paraId="4B4C082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C81D4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1191BC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AE4D0E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E165A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04CACC" w14:textId="77777777" w:rsidR="00687890" w:rsidRPr="004C23F4" w:rsidRDefault="00483E4F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1745141" w14:textId="77777777" w:rsidTr="00EA6243">
        <w:trPr>
          <w:cantSplit/>
        </w:trPr>
        <w:tc>
          <w:tcPr>
            <w:tcW w:w="4077" w:type="dxa"/>
            <w:vAlign w:val="center"/>
          </w:tcPr>
          <w:p w14:paraId="572DCFE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8DC96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E8DB01" w14:textId="77777777" w:rsidTr="00EA6243">
        <w:trPr>
          <w:cantSplit/>
        </w:trPr>
        <w:tc>
          <w:tcPr>
            <w:tcW w:w="4077" w:type="dxa"/>
            <w:vAlign w:val="center"/>
          </w:tcPr>
          <w:p w14:paraId="265E067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2B4453" w14:textId="77777777" w:rsidR="00687890" w:rsidRPr="004C23F4" w:rsidRDefault="00483E4F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0D73822B" w14:textId="77777777" w:rsidTr="00EA6243">
        <w:trPr>
          <w:cantSplit/>
        </w:trPr>
        <w:tc>
          <w:tcPr>
            <w:tcW w:w="4077" w:type="dxa"/>
            <w:vAlign w:val="center"/>
          </w:tcPr>
          <w:p w14:paraId="7E26675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25762BC" w14:textId="77777777" w:rsidR="00E06F40" w:rsidRPr="00A006A0" w:rsidRDefault="007E4A1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355641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3B79CA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DEEAB1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826632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6D8EC0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6025ED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3FCDDE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AE3F34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5F9CF9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B9E1FBB" w14:textId="5E66A063" w:rsidR="003C57F9" w:rsidRDefault="003C57F9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7628BE">
        <w:t>2003</w:t>
      </w:r>
      <w:r>
        <w:t>) Toxaphene – MAK value documentation.</w:t>
      </w:r>
    </w:p>
    <w:p w14:paraId="7C345280" w14:textId="77777777" w:rsidR="007A3710" w:rsidRDefault="007A3710" w:rsidP="00084859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E4DE538" w14:textId="77777777" w:rsidR="008642E5" w:rsidRDefault="008642E5" w:rsidP="00084859">
      <w:r w:rsidRPr="008642E5">
        <w:t>International Agency for Research on Cancer (IARC) (</w:t>
      </w:r>
      <w:r>
        <w:t>2001</w:t>
      </w:r>
      <w:r w:rsidRPr="008642E5">
        <w:t>)</w:t>
      </w:r>
      <w:r>
        <w:t xml:space="preserve"> </w:t>
      </w:r>
      <w:r w:rsidRPr="008642E5">
        <w:t xml:space="preserve">Some Thyrotropic Agents. IARC Monographs on the evaluation of </w:t>
      </w:r>
      <w:r>
        <w:t>the carcinogenic risk to humans, volume 79.</w:t>
      </w:r>
    </w:p>
    <w:p w14:paraId="0D5F84C4" w14:textId="77777777" w:rsidR="003C57F9" w:rsidRDefault="003C57F9" w:rsidP="00084859">
      <w:r w:rsidRPr="00D86E03">
        <w:lastRenderedPageBreak/>
        <w:t>US National Institute for Occupational Safety and Health (NIOSH</w:t>
      </w:r>
      <w:r w:rsidRPr="00EA44C0">
        <w:t>) (</w:t>
      </w:r>
      <w:sdt>
        <w:sdtPr>
          <w:id w:val="-1194999823"/>
          <w:placeholder>
            <w:docPart w:val="AA11DF5596BD4203A2E4FC58F4532CC4"/>
          </w:placeholder>
          <w:temporary/>
          <w:showingPlcHdr/>
        </w:sdtPr>
        <w:sdtEndPr/>
        <w:sdtContent>
          <w:r w:rsidRPr="00EA44C0">
            <w:t>1994</w:t>
          </w:r>
        </w:sdtContent>
      </w:sdt>
      <w:r w:rsidRPr="00EA44C0">
        <w:t xml:space="preserve">) Immediately </w:t>
      </w:r>
      <w:r>
        <w:t>dangerous to life or health concentrations – chlorinated camphene.</w:t>
      </w:r>
    </w:p>
    <w:p w14:paraId="24750A94" w14:textId="77777777" w:rsidR="003C57F9" w:rsidRPr="00351FE0" w:rsidRDefault="003C57F9" w:rsidP="00084859">
      <w:r w:rsidRPr="00D86E03">
        <w:t>US National Institute for Occupational Safety and Health (NIOSH)</w:t>
      </w:r>
      <w:r>
        <w:t xml:space="preserve"> (2019) </w:t>
      </w:r>
      <w:r w:rsidRPr="006B0272">
        <w:t xml:space="preserve">NIOSH Skin Notation Profiles: </w:t>
      </w:r>
      <w:r>
        <w:t>chlorinated camphene.</w:t>
      </w:r>
    </w:p>
    <w:sectPr w:rsidR="003C57F9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9AE5D" w14:textId="77777777" w:rsidR="00AA7CE2" w:rsidRDefault="00AA7CE2" w:rsidP="00F43AD5">
      <w:pPr>
        <w:spacing w:after="0" w:line="240" w:lineRule="auto"/>
      </w:pPr>
      <w:r>
        <w:separator/>
      </w:r>
    </w:p>
  </w:endnote>
  <w:endnote w:type="continuationSeparator" w:id="0">
    <w:p w14:paraId="4A709D69" w14:textId="77777777" w:rsidR="00AA7CE2" w:rsidRDefault="00AA7CE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8C341D2" w14:textId="77777777" w:rsidR="008A36CF" w:rsidRDefault="00EE7ED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Chlorinated camphene</w:t>
        </w:r>
        <w:r w:rsidR="008A36CF">
          <w:rPr>
            <w:b/>
            <w:sz w:val="18"/>
            <w:szCs w:val="18"/>
          </w:rPr>
          <w:t xml:space="preserve"> (</w:t>
        </w:r>
        <w:r w:rsidRPr="00EE7ED8">
          <w:rPr>
            <w:b/>
            <w:sz w:val="18"/>
            <w:szCs w:val="18"/>
          </w:rPr>
          <w:t>8001-35-2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5C0C459" w14:textId="475B45D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4249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95526" w14:textId="77777777" w:rsidR="00AA7CE2" w:rsidRDefault="00AA7CE2" w:rsidP="00F43AD5">
      <w:pPr>
        <w:spacing w:after="0" w:line="240" w:lineRule="auto"/>
      </w:pPr>
      <w:r>
        <w:separator/>
      </w:r>
    </w:p>
  </w:footnote>
  <w:footnote w:type="continuationSeparator" w:id="0">
    <w:p w14:paraId="78C9548B" w14:textId="77777777" w:rsidR="00AA7CE2" w:rsidRDefault="00AA7CE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6DD03F" w14:textId="77C7E742" w:rsidR="00A42491" w:rsidRDefault="00A42491" w:rsidP="00A4249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CDAE1B1" wp14:editId="74113736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46CD50" w14:textId="48B83CE5" w:rsidR="008A36CF" w:rsidRPr="007D19B7" w:rsidRDefault="008A36CF" w:rsidP="007D19B7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813D1B" w14:textId="4DCCA8AF" w:rsidR="00454799" w:rsidRDefault="00454799" w:rsidP="00454799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F52BF2" wp14:editId="11A3A88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B31E0" w14:textId="224D80E5" w:rsidR="00A42491" w:rsidRDefault="00A42491" w:rsidP="00A4249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95196A" wp14:editId="5CFCFCCE">
          <wp:extent cx="2938272" cy="594360"/>
          <wp:effectExtent l="0" t="0" r="0" b="0"/>
          <wp:docPr id="4" name="Picture 4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6C7B36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C090003"/>
    <w:lvl w:ilvl="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</w:abstractNum>
  <w:abstractNum w:abstractNumId="1" w15:restartNumberingAfterBreak="0">
    <w:nsid w:val="09F354CE"/>
    <w:multiLevelType w:val="hybridMultilevel"/>
    <w:tmpl w:val="5994196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B63C3E"/>
    <w:multiLevelType w:val="hybridMultilevel"/>
    <w:tmpl w:val="916E976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155448"/>
    <w:multiLevelType w:val="hybridMultilevel"/>
    <w:tmpl w:val="145A204A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0B1487"/>
    <w:multiLevelType w:val="hybridMultilevel"/>
    <w:tmpl w:val="6890C36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433084"/>
    <w:multiLevelType w:val="hybridMultilevel"/>
    <w:tmpl w:val="FD96292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3D14A6A"/>
    <w:multiLevelType w:val="hybridMultilevel"/>
    <w:tmpl w:val="0E70303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15F5584"/>
    <w:multiLevelType w:val="hybridMultilevel"/>
    <w:tmpl w:val="35F68FFC"/>
    <w:lvl w:ilvl="0" w:tplc="516AB752">
      <w:start w:val="800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0F70320"/>
    <w:multiLevelType w:val="hybridMultilevel"/>
    <w:tmpl w:val="38D0E170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283772">
    <w:abstractNumId w:val="0"/>
  </w:num>
  <w:num w:numId="2" w16cid:durableId="1807772369">
    <w:abstractNumId w:val="2"/>
  </w:num>
  <w:num w:numId="3" w16cid:durableId="520054492">
    <w:abstractNumId w:val="8"/>
  </w:num>
  <w:num w:numId="4" w16cid:durableId="1352875322">
    <w:abstractNumId w:val="5"/>
  </w:num>
  <w:num w:numId="5" w16cid:durableId="1890451626">
    <w:abstractNumId w:val="1"/>
  </w:num>
  <w:num w:numId="6" w16cid:durableId="313679056">
    <w:abstractNumId w:val="6"/>
  </w:num>
  <w:num w:numId="7" w16cid:durableId="299925073">
    <w:abstractNumId w:val="7"/>
  </w:num>
  <w:num w:numId="8" w16cid:durableId="1055735822">
    <w:abstractNumId w:val="4"/>
  </w:num>
  <w:num w:numId="9" w16cid:durableId="1310746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4BEC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6F51"/>
    <w:rsid w:val="00092D94"/>
    <w:rsid w:val="000A4330"/>
    <w:rsid w:val="000A540B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5B75"/>
    <w:rsid w:val="00106FAA"/>
    <w:rsid w:val="00113443"/>
    <w:rsid w:val="001269A7"/>
    <w:rsid w:val="00131092"/>
    <w:rsid w:val="00140E6A"/>
    <w:rsid w:val="00146545"/>
    <w:rsid w:val="00146B75"/>
    <w:rsid w:val="00151513"/>
    <w:rsid w:val="0015266D"/>
    <w:rsid w:val="0015288A"/>
    <w:rsid w:val="00160F47"/>
    <w:rsid w:val="00177CA1"/>
    <w:rsid w:val="00183823"/>
    <w:rsid w:val="00183942"/>
    <w:rsid w:val="00193858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1B87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01DB"/>
    <w:rsid w:val="00244AD1"/>
    <w:rsid w:val="002463BC"/>
    <w:rsid w:val="002465CE"/>
    <w:rsid w:val="0025026A"/>
    <w:rsid w:val="00254260"/>
    <w:rsid w:val="0025734A"/>
    <w:rsid w:val="00263255"/>
    <w:rsid w:val="00276494"/>
    <w:rsid w:val="00277B0C"/>
    <w:rsid w:val="002B1A2C"/>
    <w:rsid w:val="002B4250"/>
    <w:rsid w:val="002C34F2"/>
    <w:rsid w:val="002C49D2"/>
    <w:rsid w:val="002C58FF"/>
    <w:rsid w:val="002C7AFE"/>
    <w:rsid w:val="002D05D2"/>
    <w:rsid w:val="002E0864"/>
    <w:rsid w:val="002E0D61"/>
    <w:rsid w:val="002E4C7B"/>
    <w:rsid w:val="002F034E"/>
    <w:rsid w:val="00306426"/>
    <w:rsid w:val="0030740C"/>
    <w:rsid w:val="00313C1F"/>
    <w:rsid w:val="00315833"/>
    <w:rsid w:val="003215EE"/>
    <w:rsid w:val="003224BF"/>
    <w:rsid w:val="003241A8"/>
    <w:rsid w:val="003253F0"/>
    <w:rsid w:val="00327EFC"/>
    <w:rsid w:val="00331827"/>
    <w:rsid w:val="003333CB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863D6"/>
    <w:rsid w:val="003904A4"/>
    <w:rsid w:val="00391841"/>
    <w:rsid w:val="00391B6D"/>
    <w:rsid w:val="00394922"/>
    <w:rsid w:val="003A0E32"/>
    <w:rsid w:val="003A2B94"/>
    <w:rsid w:val="003B387D"/>
    <w:rsid w:val="003C0D58"/>
    <w:rsid w:val="003C57F9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1E2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799"/>
    <w:rsid w:val="00460A03"/>
    <w:rsid w:val="00472A11"/>
    <w:rsid w:val="00472AAD"/>
    <w:rsid w:val="00474E33"/>
    <w:rsid w:val="00476803"/>
    <w:rsid w:val="00483E4F"/>
    <w:rsid w:val="00485BFD"/>
    <w:rsid w:val="004867A2"/>
    <w:rsid w:val="004873F2"/>
    <w:rsid w:val="00490D4C"/>
    <w:rsid w:val="004933C3"/>
    <w:rsid w:val="00493A35"/>
    <w:rsid w:val="0049527A"/>
    <w:rsid w:val="004966BF"/>
    <w:rsid w:val="00497984"/>
    <w:rsid w:val="004A1BA6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2910"/>
    <w:rsid w:val="004F448A"/>
    <w:rsid w:val="004F493D"/>
    <w:rsid w:val="004F65E8"/>
    <w:rsid w:val="0050005E"/>
    <w:rsid w:val="00502B88"/>
    <w:rsid w:val="005142C4"/>
    <w:rsid w:val="0051509C"/>
    <w:rsid w:val="00521690"/>
    <w:rsid w:val="005272E2"/>
    <w:rsid w:val="0053108F"/>
    <w:rsid w:val="00532B56"/>
    <w:rsid w:val="00534B10"/>
    <w:rsid w:val="005446A2"/>
    <w:rsid w:val="00544D2F"/>
    <w:rsid w:val="00551BD8"/>
    <w:rsid w:val="00581055"/>
    <w:rsid w:val="005822D3"/>
    <w:rsid w:val="005833B2"/>
    <w:rsid w:val="00591E38"/>
    <w:rsid w:val="005A19C5"/>
    <w:rsid w:val="005A3034"/>
    <w:rsid w:val="005A462D"/>
    <w:rsid w:val="005B253B"/>
    <w:rsid w:val="005B771D"/>
    <w:rsid w:val="005C5D16"/>
    <w:rsid w:val="005D3193"/>
    <w:rsid w:val="005D360D"/>
    <w:rsid w:val="005D4A6E"/>
    <w:rsid w:val="005E6979"/>
    <w:rsid w:val="005E75CB"/>
    <w:rsid w:val="006001BF"/>
    <w:rsid w:val="006013C1"/>
    <w:rsid w:val="0060669E"/>
    <w:rsid w:val="00610F2E"/>
    <w:rsid w:val="00611399"/>
    <w:rsid w:val="00624C4E"/>
    <w:rsid w:val="00625200"/>
    <w:rsid w:val="00635D0B"/>
    <w:rsid w:val="006363A8"/>
    <w:rsid w:val="00636DB7"/>
    <w:rsid w:val="00650905"/>
    <w:rsid w:val="006532ED"/>
    <w:rsid w:val="006549F2"/>
    <w:rsid w:val="006567B7"/>
    <w:rsid w:val="0065754A"/>
    <w:rsid w:val="00657BFB"/>
    <w:rsid w:val="0066333C"/>
    <w:rsid w:val="006639B4"/>
    <w:rsid w:val="006650FE"/>
    <w:rsid w:val="0067305D"/>
    <w:rsid w:val="00677D9B"/>
    <w:rsid w:val="00685F13"/>
    <w:rsid w:val="006867F3"/>
    <w:rsid w:val="00687890"/>
    <w:rsid w:val="006901A2"/>
    <w:rsid w:val="00690368"/>
    <w:rsid w:val="0069079C"/>
    <w:rsid w:val="00690B53"/>
    <w:rsid w:val="00694518"/>
    <w:rsid w:val="00695B72"/>
    <w:rsid w:val="00696103"/>
    <w:rsid w:val="006B084A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4EDA"/>
    <w:rsid w:val="0075716D"/>
    <w:rsid w:val="007628BE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710"/>
    <w:rsid w:val="007B1B42"/>
    <w:rsid w:val="007C30EB"/>
    <w:rsid w:val="007D19B7"/>
    <w:rsid w:val="007E063C"/>
    <w:rsid w:val="007E2A4B"/>
    <w:rsid w:val="007E307D"/>
    <w:rsid w:val="007E4A12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2E5"/>
    <w:rsid w:val="00864D13"/>
    <w:rsid w:val="00870B36"/>
    <w:rsid w:val="00871CD5"/>
    <w:rsid w:val="008745A2"/>
    <w:rsid w:val="008768A8"/>
    <w:rsid w:val="008801AE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5225"/>
    <w:rsid w:val="008E7B64"/>
    <w:rsid w:val="008F5DCD"/>
    <w:rsid w:val="00900951"/>
    <w:rsid w:val="009118A6"/>
    <w:rsid w:val="00916909"/>
    <w:rsid w:val="00916EC0"/>
    <w:rsid w:val="00920467"/>
    <w:rsid w:val="00921DE7"/>
    <w:rsid w:val="00921E7A"/>
    <w:rsid w:val="009259E5"/>
    <w:rsid w:val="0093041A"/>
    <w:rsid w:val="00930714"/>
    <w:rsid w:val="00931B03"/>
    <w:rsid w:val="009323B9"/>
    <w:rsid w:val="00932DCE"/>
    <w:rsid w:val="0093327E"/>
    <w:rsid w:val="009339FC"/>
    <w:rsid w:val="00934028"/>
    <w:rsid w:val="0093760E"/>
    <w:rsid w:val="00946044"/>
    <w:rsid w:val="0094660B"/>
    <w:rsid w:val="00946A33"/>
    <w:rsid w:val="0095260E"/>
    <w:rsid w:val="009578DD"/>
    <w:rsid w:val="00957A19"/>
    <w:rsid w:val="00961124"/>
    <w:rsid w:val="009621B6"/>
    <w:rsid w:val="00974F2D"/>
    <w:rsid w:val="009765BA"/>
    <w:rsid w:val="00977524"/>
    <w:rsid w:val="00977E88"/>
    <w:rsid w:val="00984920"/>
    <w:rsid w:val="009878D1"/>
    <w:rsid w:val="0099303A"/>
    <w:rsid w:val="009946D7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7C"/>
    <w:rsid w:val="00A10FCE"/>
    <w:rsid w:val="00A16D91"/>
    <w:rsid w:val="00A174CC"/>
    <w:rsid w:val="00A2073D"/>
    <w:rsid w:val="00A20751"/>
    <w:rsid w:val="00A27E2D"/>
    <w:rsid w:val="00A3104C"/>
    <w:rsid w:val="00A31D99"/>
    <w:rsid w:val="00A357BA"/>
    <w:rsid w:val="00A35ADC"/>
    <w:rsid w:val="00A402A3"/>
    <w:rsid w:val="00A42491"/>
    <w:rsid w:val="00A53681"/>
    <w:rsid w:val="00A633D4"/>
    <w:rsid w:val="00A6461A"/>
    <w:rsid w:val="00A84504"/>
    <w:rsid w:val="00A8672F"/>
    <w:rsid w:val="00A93057"/>
    <w:rsid w:val="00A968B0"/>
    <w:rsid w:val="00AA7CE2"/>
    <w:rsid w:val="00AB2672"/>
    <w:rsid w:val="00AB2817"/>
    <w:rsid w:val="00AB43C4"/>
    <w:rsid w:val="00AC32E7"/>
    <w:rsid w:val="00AC3A9F"/>
    <w:rsid w:val="00AC6D2F"/>
    <w:rsid w:val="00AE1190"/>
    <w:rsid w:val="00AE2745"/>
    <w:rsid w:val="00AE2F64"/>
    <w:rsid w:val="00AF42CB"/>
    <w:rsid w:val="00AF483F"/>
    <w:rsid w:val="00AF54CC"/>
    <w:rsid w:val="00AF5E07"/>
    <w:rsid w:val="00AF5F06"/>
    <w:rsid w:val="00B00A25"/>
    <w:rsid w:val="00B1422A"/>
    <w:rsid w:val="00B1765C"/>
    <w:rsid w:val="00B213C4"/>
    <w:rsid w:val="00B229A8"/>
    <w:rsid w:val="00B40C60"/>
    <w:rsid w:val="00B479A9"/>
    <w:rsid w:val="00B52EDF"/>
    <w:rsid w:val="00B55557"/>
    <w:rsid w:val="00B71188"/>
    <w:rsid w:val="00B762F9"/>
    <w:rsid w:val="00B76A41"/>
    <w:rsid w:val="00B81AB5"/>
    <w:rsid w:val="00B87D4C"/>
    <w:rsid w:val="00B93646"/>
    <w:rsid w:val="00BA0B38"/>
    <w:rsid w:val="00BA1DBB"/>
    <w:rsid w:val="00BA4510"/>
    <w:rsid w:val="00BA529A"/>
    <w:rsid w:val="00BB612A"/>
    <w:rsid w:val="00BC22A7"/>
    <w:rsid w:val="00BD499F"/>
    <w:rsid w:val="00BD56DE"/>
    <w:rsid w:val="00BF2406"/>
    <w:rsid w:val="00C06E43"/>
    <w:rsid w:val="00C16315"/>
    <w:rsid w:val="00C20652"/>
    <w:rsid w:val="00C3091E"/>
    <w:rsid w:val="00C40FF1"/>
    <w:rsid w:val="00C419E2"/>
    <w:rsid w:val="00C429F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286C"/>
    <w:rsid w:val="00C978F0"/>
    <w:rsid w:val="00CA53C1"/>
    <w:rsid w:val="00CA58FE"/>
    <w:rsid w:val="00CA5A16"/>
    <w:rsid w:val="00CB1CB1"/>
    <w:rsid w:val="00CB6BC1"/>
    <w:rsid w:val="00CB6CB8"/>
    <w:rsid w:val="00CC1A68"/>
    <w:rsid w:val="00CC2123"/>
    <w:rsid w:val="00CD2BFD"/>
    <w:rsid w:val="00CD2C14"/>
    <w:rsid w:val="00CE5AD6"/>
    <w:rsid w:val="00CE617F"/>
    <w:rsid w:val="00CE78EF"/>
    <w:rsid w:val="00D048F7"/>
    <w:rsid w:val="00D0517E"/>
    <w:rsid w:val="00D0569E"/>
    <w:rsid w:val="00D05BE9"/>
    <w:rsid w:val="00D140FC"/>
    <w:rsid w:val="00D21D8C"/>
    <w:rsid w:val="00D24295"/>
    <w:rsid w:val="00D31357"/>
    <w:rsid w:val="00D33220"/>
    <w:rsid w:val="00D334D1"/>
    <w:rsid w:val="00D41B62"/>
    <w:rsid w:val="00D44C89"/>
    <w:rsid w:val="00D516CD"/>
    <w:rsid w:val="00D6086F"/>
    <w:rsid w:val="00D668E6"/>
    <w:rsid w:val="00D70670"/>
    <w:rsid w:val="00D70EC2"/>
    <w:rsid w:val="00D74D80"/>
    <w:rsid w:val="00D76624"/>
    <w:rsid w:val="00D8702A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0E42"/>
    <w:rsid w:val="00E41A26"/>
    <w:rsid w:val="00E43EAC"/>
    <w:rsid w:val="00E46BCB"/>
    <w:rsid w:val="00E51CAF"/>
    <w:rsid w:val="00E5651B"/>
    <w:rsid w:val="00E60F04"/>
    <w:rsid w:val="00E62722"/>
    <w:rsid w:val="00E62AAC"/>
    <w:rsid w:val="00E653BB"/>
    <w:rsid w:val="00E67A7D"/>
    <w:rsid w:val="00E67C2F"/>
    <w:rsid w:val="00E67EF5"/>
    <w:rsid w:val="00E72137"/>
    <w:rsid w:val="00E75869"/>
    <w:rsid w:val="00E804EA"/>
    <w:rsid w:val="00E80A71"/>
    <w:rsid w:val="00E82337"/>
    <w:rsid w:val="00E92499"/>
    <w:rsid w:val="00E949AF"/>
    <w:rsid w:val="00E96077"/>
    <w:rsid w:val="00EA0A06"/>
    <w:rsid w:val="00EA13B6"/>
    <w:rsid w:val="00EA44C0"/>
    <w:rsid w:val="00EA6243"/>
    <w:rsid w:val="00EA74AB"/>
    <w:rsid w:val="00EB3D1B"/>
    <w:rsid w:val="00EC3CDF"/>
    <w:rsid w:val="00ED1D89"/>
    <w:rsid w:val="00ED2A8F"/>
    <w:rsid w:val="00ED66BC"/>
    <w:rsid w:val="00EE32FD"/>
    <w:rsid w:val="00EE7ED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0A4923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21690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938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385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385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38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3858"/>
    <w:rPr>
      <w:b/>
      <w:bCs/>
      <w:szCs w:val="20"/>
    </w:rPr>
  </w:style>
  <w:style w:type="paragraph" w:styleId="Revision">
    <w:name w:val="Revision"/>
    <w:hidden/>
    <w:uiPriority w:val="99"/>
    <w:semiHidden/>
    <w:rsid w:val="004171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4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390E145AC4247B78A17280B3C05E1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12DCB-41E1-4EC8-BE6E-3CDBD4D38ADE}"/>
      </w:docPartPr>
      <w:docPartBody>
        <w:p w:rsidR="003D10F7" w:rsidRDefault="00BD2D0A" w:rsidP="00BD2D0A">
          <w:pPr>
            <w:pStyle w:val="0390E145AC4247B78A17280B3C05E19C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AA11DF5596BD4203A2E4FC58F4532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0EEDB6-8DDF-4144-87D4-2073D1FEA181}"/>
      </w:docPartPr>
      <w:docPartBody>
        <w:p w:rsidR="00742CBF" w:rsidRDefault="003D10F7" w:rsidP="003D10F7">
          <w:pPr>
            <w:pStyle w:val="AA11DF5596BD4203A2E4FC58F4532CC4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2D1C2EC3F8514340A95A1997F9BEFD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4E5E6-8497-44D5-9834-463BA269876D}"/>
      </w:docPartPr>
      <w:docPartBody>
        <w:p w:rsidR="00A8654A" w:rsidRDefault="00951286" w:rsidP="00951286">
          <w:pPr>
            <w:pStyle w:val="2D1C2EC3F8514340A95A1997F9BEFDD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99354733EB074BF2A2D42BCABF1245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814E2-C618-4DE4-BBD6-7C9FEBBFBF37}"/>
      </w:docPartPr>
      <w:docPartBody>
        <w:p w:rsidR="005F368A" w:rsidRDefault="00A8612C" w:rsidP="00A8612C">
          <w:pPr>
            <w:pStyle w:val="99354733EB074BF2A2D42BCABF12451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822EC"/>
    <w:rsid w:val="00313C1F"/>
    <w:rsid w:val="003D10F7"/>
    <w:rsid w:val="005F368A"/>
    <w:rsid w:val="00742CBF"/>
    <w:rsid w:val="00760313"/>
    <w:rsid w:val="00951286"/>
    <w:rsid w:val="00A8612C"/>
    <w:rsid w:val="00A8654A"/>
    <w:rsid w:val="00BD2D0A"/>
    <w:rsid w:val="00D0569E"/>
    <w:rsid w:val="00D21A9F"/>
    <w:rsid w:val="00E3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612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390E145AC4247B78A17280B3C05E19C">
    <w:name w:val="0390E145AC4247B78A17280B3C05E19C"/>
    <w:rsid w:val="00BD2D0A"/>
  </w:style>
  <w:style w:type="paragraph" w:customStyle="1" w:styleId="AA11DF5596BD4203A2E4FC58F4532CC4">
    <w:name w:val="AA11DF5596BD4203A2E4FC58F4532CC4"/>
    <w:rsid w:val="003D10F7"/>
  </w:style>
  <w:style w:type="paragraph" w:customStyle="1" w:styleId="2D1C2EC3F8514340A95A1997F9BEFDDD">
    <w:name w:val="2D1C2EC3F8514340A95A1997F9BEFDDD"/>
    <w:rsid w:val="00951286"/>
  </w:style>
  <w:style w:type="paragraph" w:customStyle="1" w:styleId="99354733EB074BF2A2D42BCABF12451F">
    <w:name w:val="99354733EB074BF2A2D42BCABF12451F"/>
    <w:rsid w:val="00A8612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CBF79AA-C738-46A4-BA1D-7BB890F451B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A96349-6A28-4B3E-ABD9-7FDA54EF74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717</TotalTime>
  <Pages>7</Pages>
  <Words>1499</Words>
  <Characters>8546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33</cp:revision>
  <cp:lastPrinted>2018-10-22T22:41:00Z</cp:lastPrinted>
  <dcterms:created xsi:type="dcterms:W3CDTF">2019-07-19T07:56:00Z</dcterms:created>
  <dcterms:modified xsi:type="dcterms:W3CDTF">2026-01-09T00:50:00Z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2025-12-18T06:00:38Z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27df7d52-d61a-41d8-8578-7aa25b6859f2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