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06B258B" w14:textId="77777777" w:rsidR="00BD499F" w:rsidRPr="004C23F4" w:rsidRDefault="00C27A06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a</w:t>
          </w:r>
          <w:r w:rsidR="00A350D9">
            <w:rPr>
              <w:rFonts w:ascii="Arial" w:hAnsi="Arial" w:cs="Arial"/>
            </w:rPr>
            <w:t>l</w:t>
          </w:r>
          <w:r>
            <w:rPr>
              <w:rFonts w:ascii="Arial" w:hAnsi="Arial" w:cs="Arial"/>
            </w:rPr>
            <w:t>P</w:t>
          </w:r>
          <w:r w:rsidR="00A350D9">
            <w:rPr>
              <w:rFonts w:ascii="Arial" w:hAnsi="Arial" w:cs="Arial"/>
            </w:rPr>
            <w:t>ha-chloroacetophenone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68849F98" w14:textId="77777777" w:rsidTr="003A5FB5">
        <w:trPr>
          <w:cantSplit/>
          <w:tblHeader/>
        </w:trPr>
        <w:tc>
          <w:tcPr>
            <w:tcW w:w="3974" w:type="dxa"/>
          </w:tcPr>
          <w:p w14:paraId="698C19B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2" w:type="dxa"/>
          </w:tcPr>
          <w:p w14:paraId="3EC3619D" w14:textId="77777777" w:rsidR="00F43AD5" w:rsidRPr="00717D45" w:rsidRDefault="00BB089E" w:rsidP="00B76A41">
            <w:pPr>
              <w:pStyle w:val="Tablefont"/>
            </w:pPr>
            <w:r w:rsidRPr="00BB089E">
              <w:t>532-27-4</w:t>
            </w:r>
          </w:p>
        </w:tc>
      </w:tr>
      <w:tr w:rsidR="00F43AD5" w:rsidRPr="004C23F4" w14:paraId="1491AC10" w14:textId="77777777" w:rsidTr="003A5FB5">
        <w:trPr>
          <w:cantSplit/>
        </w:trPr>
        <w:tc>
          <w:tcPr>
            <w:tcW w:w="3974" w:type="dxa"/>
          </w:tcPr>
          <w:p w14:paraId="42EB891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2" w:type="dxa"/>
          </w:tcPr>
          <w:p w14:paraId="679685A3" w14:textId="57D03B76" w:rsidR="00F43AD5" w:rsidRPr="00717D45" w:rsidRDefault="0029549E" w:rsidP="00AC465B">
            <w:pPr>
              <w:autoSpaceDE w:val="0"/>
              <w:autoSpaceDN w:val="0"/>
              <w:adjustRightInd w:val="0"/>
              <w:spacing w:after="0"/>
            </w:pPr>
            <w:r w:rsidRPr="0029549E">
              <w:t>Phenacyl chloride</w:t>
            </w:r>
            <w:r w:rsidR="001B7432">
              <w:t xml:space="preserve">, </w:t>
            </w:r>
            <w:r w:rsidR="001B7432" w:rsidRPr="001B7432">
              <w:t>chloroacetophenone</w:t>
            </w:r>
            <w:r w:rsidR="001B7432">
              <w:t>,</w:t>
            </w:r>
            <w:r w:rsidR="001B7432" w:rsidRPr="001B7432">
              <w:t xml:space="preserve"> </w:t>
            </w:r>
            <w:r w:rsidR="003A5FB5">
              <w:br/>
            </w:r>
            <w:r w:rsidR="001B7432" w:rsidRPr="001B7432">
              <w:t>α-chloroacetophenone</w:t>
            </w:r>
            <w:r w:rsidR="001B7432">
              <w:t>,</w:t>
            </w:r>
            <w:r w:rsidR="001B7432" w:rsidRPr="001B7432">
              <w:t xml:space="preserve"> ω-chloroacetophenone</w:t>
            </w:r>
            <w:r w:rsidR="001B7432">
              <w:t>,</w:t>
            </w:r>
            <w:r w:rsidR="00AC465B">
              <w:br/>
            </w:r>
            <w:r w:rsidR="001B7432" w:rsidRPr="001B7432">
              <w:t>1-chloroacetophenone</w:t>
            </w:r>
            <w:r w:rsidR="00B523E1">
              <w:t>,</w:t>
            </w:r>
            <w:r w:rsidR="001B7432" w:rsidRPr="001B7432">
              <w:t xml:space="preserve"> chlorome</w:t>
            </w:r>
            <w:r w:rsidR="001B7432">
              <w:t>thyl phenyl ketone</w:t>
            </w:r>
            <w:r w:rsidR="00B523E1">
              <w:t>,</w:t>
            </w:r>
            <w:r w:rsidR="001B7432">
              <w:t xml:space="preserve"> </w:t>
            </w:r>
            <w:r w:rsidR="003A5FB5">
              <w:br/>
            </w:r>
            <w:r w:rsidR="001B7432">
              <w:t>2-chloro-1-</w:t>
            </w:r>
            <w:r w:rsidR="001B7432" w:rsidRPr="001B7432">
              <w:t>phenylethanone</w:t>
            </w:r>
            <w:r w:rsidR="00D268E9">
              <w:t>,</w:t>
            </w:r>
            <w:r w:rsidR="001B7432" w:rsidRPr="001B7432">
              <w:t xml:space="preserve"> </w:t>
            </w:r>
            <w:r w:rsidR="003A5FB5">
              <w:br/>
            </w:r>
            <w:r w:rsidR="001B7432" w:rsidRPr="001B7432">
              <w:t>phenyl chloromethyl ketone</w:t>
            </w:r>
          </w:p>
        </w:tc>
      </w:tr>
      <w:tr w:rsidR="00F43AD5" w:rsidRPr="004C23F4" w14:paraId="67F1CA03" w14:textId="77777777" w:rsidTr="003A5FB5">
        <w:trPr>
          <w:cantSplit/>
        </w:trPr>
        <w:tc>
          <w:tcPr>
            <w:tcW w:w="3974" w:type="dxa"/>
          </w:tcPr>
          <w:p w14:paraId="3382A03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2" w:type="dxa"/>
          </w:tcPr>
          <w:p w14:paraId="3549B6AD" w14:textId="77777777" w:rsidR="00F43AD5" w:rsidRPr="00717D45" w:rsidRDefault="005F1EAC" w:rsidP="00B76A41">
            <w:pPr>
              <w:pStyle w:val="Tablefont"/>
            </w:pPr>
            <w:r>
              <w:t>C</w:t>
            </w:r>
            <w:r w:rsidRPr="005F1EAC">
              <w:rPr>
                <w:vertAlign w:val="subscript"/>
              </w:rPr>
              <w:t>8</w:t>
            </w:r>
            <w:r w:rsidRPr="005F1EAC">
              <w:t>H</w:t>
            </w:r>
            <w:r w:rsidRPr="005F1EAC">
              <w:rPr>
                <w:vertAlign w:val="subscript"/>
              </w:rPr>
              <w:t>7</w:t>
            </w:r>
            <w:r w:rsidRPr="005F1EAC">
              <w:t>ClO</w:t>
            </w:r>
          </w:p>
        </w:tc>
      </w:tr>
    </w:tbl>
    <w:p w14:paraId="06275307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C4147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1AD4311D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DA8E15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2D90651" w14:textId="6C05AB68" w:rsidR="002C7AFE" w:rsidRPr="006D21C2" w:rsidRDefault="006D21C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 </w:t>
            </w:r>
            <w:r w:rsidR="001C4147">
              <w:rPr>
                <w:b/>
              </w:rPr>
              <w:t>0.1 mg/m</w:t>
            </w:r>
            <w:r w:rsidR="001C4147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(0.02</w:t>
            </w:r>
            <w:r w:rsidR="00682D94">
              <w:rPr>
                <w:b/>
              </w:rPr>
              <w:t xml:space="preserve"> </w:t>
            </w:r>
            <w:r>
              <w:rPr>
                <w:b/>
              </w:rPr>
              <w:t>ppm)</w:t>
            </w:r>
          </w:p>
        </w:tc>
      </w:tr>
      <w:tr w:rsidR="002C7AFE" w:rsidRPr="004C23F4" w14:paraId="786BA3BE" w14:textId="77777777" w:rsidTr="00921DE7">
        <w:trPr>
          <w:cantSplit/>
        </w:trPr>
        <w:tc>
          <w:tcPr>
            <w:tcW w:w="4077" w:type="dxa"/>
            <w:vAlign w:val="center"/>
          </w:tcPr>
          <w:p w14:paraId="596CD74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3F8BFCBD" w14:textId="6FEB5EDB" w:rsidR="002C7AFE" w:rsidRPr="006D21C2" w:rsidRDefault="006D21C2" w:rsidP="00017C82">
            <w:pPr>
              <w:pStyle w:val="Tablefont"/>
            </w:pPr>
            <w:r>
              <w:rPr>
                <w:b/>
              </w:rPr>
              <w:t xml:space="preserve"> </w:t>
            </w:r>
            <w:r w:rsidR="001C4147">
              <w:rPr>
                <w:b/>
              </w:rPr>
              <w:t>0.3 mg/m</w:t>
            </w:r>
            <w:r w:rsidR="001C4147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(0.05</w:t>
            </w:r>
            <w:r w:rsidR="00682D94">
              <w:rPr>
                <w:b/>
              </w:rPr>
              <w:t xml:space="preserve"> </w:t>
            </w:r>
            <w:r>
              <w:rPr>
                <w:b/>
              </w:rPr>
              <w:t>ppm)</w:t>
            </w:r>
          </w:p>
        </w:tc>
      </w:tr>
      <w:tr w:rsidR="002C7AFE" w:rsidRPr="004C23F4" w14:paraId="585BEDCE" w14:textId="77777777" w:rsidTr="00921DE7">
        <w:trPr>
          <w:cantSplit/>
        </w:trPr>
        <w:tc>
          <w:tcPr>
            <w:tcW w:w="4077" w:type="dxa"/>
            <w:vAlign w:val="center"/>
          </w:tcPr>
          <w:p w14:paraId="54759BF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3EEE55BC" w14:textId="77777777" w:rsidR="002C7AFE" w:rsidRPr="00EB3D1B" w:rsidRDefault="0029549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7ECF955" w14:textId="77777777" w:rsidTr="00A2073D">
        <w:trPr>
          <w:cantSplit/>
        </w:trPr>
        <w:tc>
          <w:tcPr>
            <w:tcW w:w="4077" w:type="dxa"/>
          </w:tcPr>
          <w:p w14:paraId="59BECFE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0839AEA1" w14:textId="77777777" w:rsidR="002C7AFE" w:rsidRPr="00EB3D1B" w:rsidRDefault="0029549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BFED869" w14:textId="77777777" w:rsidTr="00921DE7">
        <w:trPr>
          <w:cantSplit/>
        </w:trPr>
        <w:tc>
          <w:tcPr>
            <w:tcW w:w="4077" w:type="dxa"/>
            <w:vAlign w:val="center"/>
          </w:tcPr>
          <w:p w14:paraId="4925F71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5085E714" w14:textId="77777777" w:rsidR="002C7AFE" w:rsidRPr="00EB3D1B" w:rsidRDefault="000233F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15 mg/m</w:t>
            </w:r>
            <w:r w:rsidRPr="000233F6">
              <w:rPr>
                <w:b/>
                <w:vertAlign w:val="superscript"/>
              </w:rPr>
              <w:t>3</w:t>
            </w:r>
          </w:p>
        </w:tc>
      </w:tr>
      <w:tr w:rsidR="009F04D2" w:rsidRPr="004C23F4" w14:paraId="6F660F13" w14:textId="77777777" w:rsidTr="00710CAC">
        <w:trPr>
          <w:cantSplit/>
        </w:trPr>
        <w:tc>
          <w:tcPr>
            <w:tcW w:w="4077" w:type="dxa"/>
          </w:tcPr>
          <w:p w14:paraId="3AC10E6F" w14:textId="77777777" w:rsidR="009F04D2" w:rsidRDefault="009F04D2" w:rsidP="00710CAC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1B538D72" w14:textId="4B5698D8" w:rsidR="009F04D2" w:rsidRPr="00710CAC" w:rsidRDefault="00710CAC" w:rsidP="00017C82">
            <w:pPr>
              <w:pStyle w:val="Tablefont"/>
            </w:pPr>
            <w:r w:rsidRPr="00710CAC">
              <w:t xml:space="preserve">The recommended value is readily quantifiable through currently available sampling and analysis techniques. </w:t>
            </w:r>
          </w:p>
        </w:tc>
      </w:tr>
    </w:tbl>
    <w:p w14:paraId="395D42B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9D629CC" w14:textId="2B041359" w:rsidR="006639B4" w:rsidRPr="001C4147" w:rsidRDefault="001C4147" w:rsidP="000C139A">
      <w:pPr>
        <w:rPr>
          <w:rFonts w:cs="Arial"/>
        </w:rPr>
      </w:pPr>
      <w:r>
        <w:rPr>
          <w:rFonts w:cs="Arial"/>
        </w:rPr>
        <w:t>The TWA of 0.1 mg/m</w:t>
      </w:r>
      <w:r>
        <w:rPr>
          <w:rFonts w:cs="Arial"/>
          <w:vertAlign w:val="superscript"/>
        </w:rPr>
        <w:t xml:space="preserve">3 </w:t>
      </w:r>
      <w:r>
        <w:rPr>
          <w:rFonts w:cs="Arial"/>
        </w:rPr>
        <w:t>and STEL of 0.3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are recommended to protect for eye and respiratory irritation in exposed workers.</w:t>
      </w:r>
    </w:p>
    <w:p w14:paraId="380E487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6FF7A91" w14:textId="7E68CF5B" w:rsidR="003C6090" w:rsidRDefault="003C6090" w:rsidP="003C6090">
      <w:r>
        <w:t xml:space="preserve">Commonly called mace, </w:t>
      </w:r>
      <w:r w:rsidRPr="00D147ED">
        <w:t xml:space="preserve">alpha-Chloroacetophenone </w:t>
      </w:r>
      <w:r>
        <w:t xml:space="preserve">is used primarily as a riot-control agent and in personal protective devices. Occupational exposure will occur primarily during manufacture and packaging operations, during loading of solutions for aerosols and </w:t>
      </w:r>
      <w:r w:rsidR="002A7BDE">
        <w:t xml:space="preserve">when </w:t>
      </w:r>
      <w:r>
        <w:t>carrying a canister in a holster (ACGIH, 2018; HCO</w:t>
      </w:r>
      <w:r w:rsidR="002A7BDE">
        <w:t>T</w:t>
      </w:r>
      <w:r>
        <w:t>N, 2004).</w:t>
      </w:r>
    </w:p>
    <w:p w14:paraId="620DC505" w14:textId="69C62BD2" w:rsidR="003C6090" w:rsidRDefault="003C6090" w:rsidP="00394E60">
      <w:r>
        <w:t>In humans, irritation of the</w:t>
      </w:r>
      <w:r w:rsidRPr="003C6090">
        <w:t xml:space="preserve"> </w:t>
      </w:r>
      <w:r>
        <w:t>eyes and skin occurs</w:t>
      </w:r>
      <w:r w:rsidR="003A5FB5">
        <w:t xml:space="preserve"> rapidly</w:t>
      </w:r>
      <w:r>
        <w:t xml:space="preserve"> at 10 mg/m</w:t>
      </w:r>
      <w:r>
        <w:rPr>
          <w:vertAlign w:val="superscript"/>
        </w:rPr>
        <w:t>3</w:t>
      </w:r>
      <w:r>
        <w:t xml:space="preserve"> with effects </w:t>
      </w:r>
      <w:r w:rsidR="003261B5">
        <w:t>reversible</w:t>
      </w:r>
      <w:r>
        <w:t xml:space="preserve"> after approximately 20 minute</w:t>
      </w:r>
      <w:r w:rsidR="00C27A06">
        <w:t xml:space="preserve">s </w:t>
      </w:r>
      <w:r w:rsidR="002A7BDE">
        <w:t xml:space="preserve">following </w:t>
      </w:r>
      <w:r w:rsidR="00C27A06">
        <w:t xml:space="preserve">removal from exposure. </w:t>
      </w:r>
      <w:r>
        <w:t>A minimal irritation concentration of 0.3</w:t>
      </w:r>
      <w:r w:rsidR="000F1E70">
        <w:t> </w:t>
      </w:r>
      <w:r>
        <w:t>mg/m</w:t>
      </w:r>
      <w:r>
        <w:rPr>
          <w:vertAlign w:val="superscript"/>
        </w:rPr>
        <w:t>3</w:t>
      </w:r>
      <w:r>
        <w:t xml:space="preserve"> </w:t>
      </w:r>
      <w:r w:rsidR="000F1E70">
        <w:t xml:space="preserve">(per minute) </w:t>
      </w:r>
      <w:r w:rsidR="003A5FB5">
        <w:t>is reported</w:t>
      </w:r>
      <w:r w:rsidR="00C27A06">
        <w:t xml:space="preserve"> in humans. </w:t>
      </w:r>
      <w:r>
        <w:t>A minimal observed adverse effect level of 1 mg/m</w:t>
      </w:r>
      <w:r>
        <w:rPr>
          <w:vertAlign w:val="superscript"/>
        </w:rPr>
        <w:t>3</w:t>
      </w:r>
      <w:r>
        <w:t xml:space="preserve"> for irritation of the nasal passage was </w:t>
      </w:r>
      <w:r w:rsidR="003A5FB5">
        <w:t xml:space="preserve">reported </w:t>
      </w:r>
      <w:r>
        <w:t xml:space="preserve">in a </w:t>
      </w:r>
      <w:r w:rsidR="003A5FB5">
        <w:t xml:space="preserve">two </w:t>
      </w:r>
      <w:r>
        <w:t>year inhalation study in rats (</w:t>
      </w:r>
      <w:r w:rsidR="002A7BDE">
        <w:t>HCOTN</w:t>
      </w:r>
      <w:r>
        <w:t>, 2004)</w:t>
      </w:r>
      <w:r w:rsidR="00682D94">
        <w:t>.</w:t>
      </w:r>
    </w:p>
    <w:p w14:paraId="454C416F" w14:textId="323CEB9A" w:rsidR="003C6090" w:rsidRPr="003C6090" w:rsidRDefault="001C4147" w:rsidP="00394E60">
      <w:pPr>
        <w:pStyle w:val="Tabletextprimarysource"/>
        <w:spacing w:line="276" w:lineRule="auto"/>
      </w:pPr>
      <w:r>
        <w:t>The recommended TWA is derived from the reported minimal observed adverse effect level of 1</w:t>
      </w:r>
      <w:r w:rsidR="000F1E70">
        <w:t> </w:t>
      </w:r>
      <w:r>
        <w:t>mg/m</w:t>
      </w:r>
      <w:r>
        <w:rPr>
          <w:vertAlign w:val="superscript"/>
        </w:rPr>
        <w:t>3</w:t>
      </w:r>
      <w:r>
        <w:t xml:space="preserve"> and the application of a factor of 10 to accou</w:t>
      </w:r>
      <w:r w:rsidR="00C27A06">
        <w:t xml:space="preserve">nt for interspecies variation. </w:t>
      </w:r>
      <w:r>
        <w:t>The recommended STEL is derived from eye lacrimation and respiratory irritation threshold estimate of 0.3 mg/m</w:t>
      </w:r>
      <w:r>
        <w:rPr>
          <w:vertAlign w:val="superscript"/>
        </w:rPr>
        <w:t>3</w:t>
      </w:r>
      <w:r w:rsidR="00707FD1">
        <w:rPr>
          <w:vertAlign w:val="superscript"/>
        </w:rPr>
        <w:t xml:space="preserve"> </w:t>
      </w:r>
      <w:r w:rsidR="00707FD1">
        <w:t xml:space="preserve">(per minute) </w:t>
      </w:r>
      <w:r>
        <w:t>in humans.</w:t>
      </w:r>
    </w:p>
    <w:p w14:paraId="1977196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915D18C" w14:textId="77272C34" w:rsidR="006E46F3" w:rsidRPr="003C6090" w:rsidRDefault="006E46F3" w:rsidP="006E46F3">
      <w:pPr>
        <w:rPr>
          <w:rFonts w:cs="Arial"/>
        </w:rPr>
      </w:pPr>
      <w:r w:rsidRPr="003C6090">
        <w:rPr>
          <w:rFonts w:cs="Arial"/>
        </w:rPr>
        <w:t>Not classified as a carcinogen according to the Globally Harmonized System of</w:t>
      </w:r>
      <w:r w:rsidR="00710CAC">
        <w:rPr>
          <w:rFonts w:cs="Arial"/>
        </w:rPr>
        <w:t xml:space="preserve"> Classification and Labelling of</w:t>
      </w:r>
      <w:r w:rsidRPr="003C6090">
        <w:rPr>
          <w:rFonts w:cs="Arial"/>
        </w:rPr>
        <w:t xml:space="preserve"> Chemicals (GHS). </w:t>
      </w:r>
    </w:p>
    <w:p w14:paraId="25148E86" w14:textId="6E893AB0" w:rsidR="006E46F3" w:rsidRPr="003C6090" w:rsidRDefault="006E46F3" w:rsidP="006E46F3">
      <w:pPr>
        <w:rPr>
          <w:rFonts w:cs="Arial"/>
        </w:rPr>
      </w:pPr>
      <w:r w:rsidRPr="003C6090">
        <w:rPr>
          <w:rFonts w:cs="Arial"/>
        </w:rPr>
        <w:t>Not classified as a skin</w:t>
      </w:r>
      <w:r w:rsidR="002A7BDE">
        <w:rPr>
          <w:rFonts w:cs="Arial"/>
        </w:rPr>
        <w:t xml:space="preserve"> sensitiser</w:t>
      </w:r>
      <w:r w:rsidRPr="003C6090">
        <w:rPr>
          <w:rFonts w:cs="Arial"/>
        </w:rPr>
        <w:t xml:space="preserve"> or respiratory sensitiser according to the GHS.</w:t>
      </w:r>
    </w:p>
    <w:p w14:paraId="20AC7A08" w14:textId="1C4E94C1" w:rsidR="0025734A" w:rsidRPr="004C23F4" w:rsidRDefault="003A5FB5">
      <w:pPr>
        <w:rPr>
          <w:rFonts w:cs="Arial"/>
        </w:rPr>
      </w:pPr>
      <w:r>
        <w:rPr>
          <w:rFonts w:cs="Arial"/>
        </w:rPr>
        <w:lastRenderedPageBreak/>
        <w:t>There are i</w:t>
      </w:r>
      <w:r w:rsidR="006E46F3" w:rsidRPr="003C6090">
        <w:rPr>
          <w:rFonts w:cs="Arial"/>
        </w:rPr>
        <w:t xml:space="preserve">nsufficient </w:t>
      </w:r>
      <w:r w:rsidR="003261B5">
        <w:rPr>
          <w:rFonts w:cs="Arial"/>
        </w:rPr>
        <w:t>data</w:t>
      </w:r>
      <w:r w:rsidR="006E46F3" w:rsidRPr="003C6090">
        <w:rPr>
          <w:rFonts w:cs="Arial"/>
        </w:rPr>
        <w:t xml:space="preserve"> to recommend a skin notation.</w:t>
      </w:r>
    </w:p>
    <w:p w14:paraId="13D2461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4D7E19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8F6DDC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DDDB93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1A83A9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7E9861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E17F39D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11FA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11FA7">
                  <w:t>TWA: 0.05 ppm (0.32 mg/m</w:t>
                </w:r>
                <w:r w:rsidR="00A11FA7" w:rsidRPr="00A11FA7">
                  <w:rPr>
                    <w:vertAlign w:val="superscript"/>
                  </w:rPr>
                  <w:t>3</w:t>
                </w:r>
                <w:r w:rsidR="00A11FA7">
                  <w:t>)</w:t>
                </w:r>
              </w:sdtContent>
            </w:sdt>
          </w:p>
        </w:tc>
      </w:tr>
      <w:tr w:rsidR="00C978F0" w:rsidRPr="00DA352E" w14:paraId="274D2F1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C9A85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746112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13378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C609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32A5B">
                  <w:t>TLV-TWA: 0.05 ppm</w:t>
                </w:r>
                <w:r w:rsidR="007A4D7F">
                  <w:t xml:space="preserve"> (0.32 mg/m</w:t>
                </w:r>
                <w:r w:rsidR="007A4D7F">
                  <w:rPr>
                    <w:vertAlign w:val="superscript"/>
                  </w:rPr>
                  <w:t>3</w:t>
                </w:r>
                <w:r w:rsidR="007A4D7F">
                  <w:t>)</w:t>
                </w:r>
              </w:sdtContent>
            </w:sdt>
          </w:p>
        </w:tc>
      </w:tr>
      <w:tr w:rsidR="00C978F0" w:rsidRPr="00DA352E" w14:paraId="04D8BF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0D0092" w14:textId="6E66846D" w:rsidR="00C978F0" w:rsidRDefault="007A4D7F" w:rsidP="003365A5">
            <w:pPr>
              <w:pStyle w:val="Tabletextprimarysource"/>
            </w:pPr>
            <w:r>
              <w:t>The TLV-TWA recommended</w:t>
            </w:r>
            <w:r w:rsidR="00D147ED">
              <w:t xml:space="preserve"> to minimise the potential for irritation of the skin, respiratory tract and eyes, with lacrimation.</w:t>
            </w:r>
          </w:p>
          <w:p w14:paraId="6E4B6E9C" w14:textId="77777777" w:rsidR="00D147ED" w:rsidRDefault="00D147ED" w:rsidP="003365A5">
            <w:pPr>
              <w:pStyle w:val="Tabletextprimarysource"/>
            </w:pPr>
            <w:r>
              <w:t>Summary of data:</w:t>
            </w:r>
          </w:p>
          <w:p w14:paraId="5EDF414B" w14:textId="77777777" w:rsidR="00CF5AD3" w:rsidRDefault="00CF5AD3" w:rsidP="003365A5">
            <w:pPr>
              <w:pStyle w:val="Tabletextprimarysource"/>
            </w:pPr>
            <w:r>
              <w:t>Human data:</w:t>
            </w:r>
          </w:p>
          <w:p w14:paraId="35D8C65E" w14:textId="1918F68C" w:rsidR="00D147ED" w:rsidRDefault="00CF5AD3" w:rsidP="00D147ED">
            <w:pPr>
              <w:pStyle w:val="ListBullet"/>
              <w:ind w:left="1080"/>
            </w:pPr>
            <w:r>
              <w:t>Estimated lethal concentration time of exposure (Ct) of 8,500 mg</w:t>
            </w:r>
            <w:r w:rsidR="00394E60">
              <w:t xml:space="preserve"> x </w:t>
            </w:r>
            <w:r>
              <w:t>min/m</w:t>
            </w:r>
            <w:r>
              <w:rPr>
                <w:vertAlign w:val="superscript"/>
              </w:rPr>
              <w:t>3</w:t>
            </w:r>
            <w:r w:rsidR="00465DE9">
              <w:t xml:space="preserve"> for 10</w:t>
            </w:r>
            <w:r w:rsidR="000F1E70">
              <w:t> </w:t>
            </w:r>
            <w:r w:rsidR="002A7BDE">
              <w:t>min</w:t>
            </w:r>
          </w:p>
          <w:p w14:paraId="583EE21B" w14:textId="43B0D429" w:rsidR="00465DE9" w:rsidRPr="00417414" w:rsidRDefault="00465DE9" w:rsidP="00D147ED">
            <w:pPr>
              <w:pStyle w:val="ListBullet"/>
              <w:ind w:left="1080"/>
            </w:pPr>
            <w:r w:rsidRPr="00417414">
              <w:t>Estimated effective concentration to produce casualties is &gt;100 mg/m</w:t>
            </w:r>
            <w:r w:rsidRPr="00417414">
              <w:rPr>
                <w:vertAlign w:val="superscript"/>
              </w:rPr>
              <w:t>3</w:t>
            </w:r>
          </w:p>
          <w:p w14:paraId="7F751D77" w14:textId="3C058D88" w:rsidR="00465DE9" w:rsidRPr="00417414" w:rsidRDefault="00465DE9" w:rsidP="00D147ED">
            <w:pPr>
              <w:pStyle w:val="ListBullet"/>
              <w:ind w:left="1080"/>
            </w:pPr>
            <w:r w:rsidRPr="00417414">
              <w:t>Ct of 150</w:t>
            </w:r>
            <w:r w:rsidR="002A7BDE" w:rsidRPr="00417414">
              <w:t>–</w:t>
            </w:r>
            <w:r w:rsidRPr="00417414">
              <w:t>200 mg</w:t>
            </w:r>
            <w:r w:rsidR="00394E60" w:rsidRPr="00417414">
              <w:t xml:space="preserve"> x </w:t>
            </w:r>
            <w:r w:rsidRPr="00417414">
              <w:t>min/m</w:t>
            </w:r>
            <w:r w:rsidRPr="00417414">
              <w:rPr>
                <w:vertAlign w:val="superscript"/>
              </w:rPr>
              <w:t>3</w:t>
            </w:r>
            <w:r w:rsidRPr="00417414">
              <w:t xml:space="preserve"> required to force withdrawal from exposure</w:t>
            </w:r>
          </w:p>
          <w:p w14:paraId="4AF86181" w14:textId="5EF75078" w:rsidR="00465DE9" w:rsidRPr="00417414" w:rsidRDefault="00465DE9" w:rsidP="00D147ED">
            <w:pPr>
              <w:pStyle w:val="ListBullet"/>
              <w:ind w:left="1080"/>
            </w:pPr>
            <w:r w:rsidRPr="00417414">
              <w:t xml:space="preserve">Reported </w:t>
            </w:r>
            <w:r w:rsidR="00C27A06" w:rsidRPr="00417414">
              <w:t>a minimum effective Ct of 20</w:t>
            </w:r>
            <w:r w:rsidR="009C31C5" w:rsidRPr="00417414">
              <w:t>–</w:t>
            </w:r>
            <w:r w:rsidRPr="00417414">
              <w:t>30 mg</w:t>
            </w:r>
            <w:r w:rsidR="00394E60" w:rsidRPr="00417414">
              <w:t xml:space="preserve"> x </w:t>
            </w:r>
            <w:r w:rsidRPr="00417414">
              <w:t>min/m</w:t>
            </w:r>
            <w:r w:rsidRPr="00417414">
              <w:rPr>
                <w:vertAlign w:val="superscript"/>
              </w:rPr>
              <w:t>3</w:t>
            </w:r>
          </w:p>
          <w:p w14:paraId="35C174B2" w14:textId="0CF4249D" w:rsidR="00465DE9" w:rsidRDefault="00465DE9" w:rsidP="00D147ED">
            <w:pPr>
              <w:pStyle w:val="ListBullet"/>
              <w:ind w:left="1080"/>
            </w:pPr>
            <w:r>
              <w:t>No systemic or chronic effects reported</w:t>
            </w:r>
            <w:r w:rsidR="000F1E70">
              <w:t>.</w:t>
            </w:r>
          </w:p>
          <w:p w14:paraId="3DB8C49A" w14:textId="77777777" w:rsidR="002A7BDE" w:rsidRDefault="002A7BDE" w:rsidP="003A5FB5">
            <w:pPr>
              <w:pStyle w:val="ListBullet"/>
              <w:numPr>
                <w:ilvl w:val="0"/>
                <w:numId w:val="0"/>
              </w:numPr>
              <w:ind w:left="1080"/>
            </w:pPr>
          </w:p>
          <w:p w14:paraId="59A69A8B" w14:textId="77777777" w:rsidR="00465DE9" w:rsidRDefault="00465DE9" w:rsidP="00465DE9">
            <w:pPr>
              <w:pStyle w:val="Tabletextprimarysource"/>
            </w:pPr>
            <w:r>
              <w:t>Animal data:</w:t>
            </w:r>
          </w:p>
          <w:p w14:paraId="6783A414" w14:textId="09DAA87B" w:rsidR="00465DE9" w:rsidRDefault="00C27A06" w:rsidP="00465DE9">
            <w:pPr>
              <w:pStyle w:val="ListBullet"/>
              <w:ind w:left="1080"/>
            </w:pPr>
            <w:r>
              <w:t>14</w:t>
            </w:r>
            <w:r w:rsidR="003A5FB5">
              <w:t xml:space="preserve"> </w:t>
            </w:r>
            <w:r>
              <w:t>d</w:t>
            </w:r>
            <w:r w:rsidR="008E623C">
              <w:t xml:space="preserve"> inhalation studies</w:t>
            </w:r>
            <w:r w:rsidR="009F42FE">
              <w:t xml:space="preserve"> in rats and mice</w:t>
            </w:r>
            <w:r w:rsidR="008E623C">
              <w:t>:</w:t>
            </w:r>
          </w:p>
          <w:p w14:paraId="403A8E73" w14:textId="1A013797" w:rsidR="008E623C" w:rsidRDefault="003A5FB5" w:rsidP="008E623C">
            <w:pPr>
              <w:pStyle w:val="ListBullet"/>
              <w:numPr>
                <w:ilvl w:val="0"/>
                <w:numId w:val="2"/>
              </w:numPr>
            </w:pPr>
            <w:r>
              <w:t>d</w:t>
            </w:r>
            <w:r w:rsidR="008E623C">
              <w:t xml:space="preserve">eath in the </w:t>
            </w:r>
            <w:r w:rsidR="009C31C5">
              <w:t>1</w:t>
            </w:r>
            <w:r w:rsidR="009C31C5" w:rsidRPr="004311D4">
              <w:rPr>
                <w:vertAlign w:val="superscript"/>
              </w:rPr>
              <w:t>st</w:t>
            </w:r>
            <w:r w:rsidR="009C31C5">
              <w:t xml:space="preserve"> </w:t>
            </w:r>
            <w:r w:rsidR="008E623C">
              <w:t>week of all</w:t>
            </w:r>
            <w:r w:rsidR="009F42FE">
              <w:t xml:space="preserve"> rats exposed to 19, 43 or 64 mg/m</w:t>
            </w:r>
            <w:r w:rsidR="009F42FE">
              <w:rPr>
                <w:vertAlign w:val="superscript"/>
              </w:rPr>
              <w:t>3</w:t>
            </w:r>
          </w:p>
          <w:p w14:paraId="21779CEF" w14:textId="7A21C043" w:rsidR="008E623C" w:rsidRDefault="008E623C" w:rsidP="008E623C">
            <w:pPr>
              <w:pStyle w:val="ListBullet"/>
              <w:numPr>
                <w:ilvl w:val="0"/>
                <w:numId w:val="2"/>
              </w:numPr>
            </w:pPr>
            <w:r>
              <w:t>1</w:t>
            </w:r>
            <w:r w:rsidR="009C31C5">
              <w:t>/</w:t>
            </w:r>
            <w:r>
              <w:t xml:space="preserve">5 male rats died in </w:t>
            </w:r>
            <w:r w:rsidR="009C31C5">
              <w:t>2</w:t>
            </w:r>
            <w:r w:rsidR="009C31C5" w:rsidRPr="004311D4">
              <w:rPr>
                <w:vertAlign w:val="superscript"/>
              </w:rPr>
              <w:t>nd</w:t>
            </w:r>
            <w:r w:rsidR="009C31C5">
              <w:t xml:space="preserve"> </w:t>
            </w:r>
            <w:r>
              <w:t>week exposed to 10 mg/m</w:t>
            </w:r>
            <w:r>
              <w:rPr>
                <w:vertAlign w:val="superscript"/>
              </w:rPr>
              <w:t>3</w:t>
            </w:r>
          </w:p>
          <w:p w14:paraId="04CC376C" w14:textId="1FEB9024" w:rsidR="009F42FE" w:rsidRPr="008E623C" w:rsidRDefault="003A5FB5" w:rsidP="008E623C">
            <w:pPr>
              <w:pStyle w:val="ListBullet"/>
              <w:numPr>
                <w:ilvl w:val="0"/>
                <w:numId w:val="2"/>
              </w:numPr>
            </w:pPr>
            <w:r>
              <w:t>a</w:t>
            </w:r>
            <w:r w:rsidR="008E623C">
              <w:t xml:space="preserve">ll mice exposed to </w:t>
            </w:r>
            <w:r w:rsidR="009C31C5">
              <w:rPr>
                <w:rFonts w:cs="Arial"/>
              </w:rPr>
              <w:t>≥</w:t>
            </w:r>
            <w:r w:rsidR="008E623C">
              <w:t>10 mg/m</w:t>
            </w:r>
            <w:r w:rsidR="008E623C">
              <w:rPr>
                <w:vertAlign w:val="superscript"/>
              </w:rPr>
              <w:t>3</w:t>
            </w:r>
            <w:r w:rsidR="008E623C">
              <w:t xml:space="preserve"> di</w:t>
            </w:r>
            <w:r w:rsidR="009C31C5">
              <w:t>e</w:t>
            </w:r>
            <w:r w:rsidR="008E623C">
              <w:t xml:space="preserve">d in </w:t>
            </w:r>
            <w:r w:rsidR="009C31C5">
              <w:t>1</w:t>
            </w:r>
            <w:r w:rsidR="009C31C5" w:rsidRPr="004311D4">
              <w:rPr>
                <w:vertAlign w:val="superscript"/>
              </w:rPr>
              <w:t xml:space="preserve">st </w:t>
            </w:r>
            <w:r w:rsidR="008E623C">
              <w:t>week</w:t>
            </w:r>
          </w:p>
          <w:p w14:paraId="2976DF5C" w14:textId="2709107E" w:rsidR="008E623C" w:rsidRDefault="00C27A06" w:rsidP="00465DE9">
            <w:pPr>
              <w:pStyle w:val="ListBullet"/>
              <w:ind w:left="1080"/>
            </w:pPr>
            <w:r>
              <w:t>13</w:t>
            </w:r>
            <w:r w:rsidR="003A5FB5">
              <w:t xml:space="preserve"> </w:t>
            </w:r>
            <w:proofErr w:type="spellStart"/>
            <w:r>
              <w:t>w</w:t>
            </w:r>
            <w:r w:rsidR="008E623C">
              <w:t>k</w:t>
            </w:r>
            <w:proofErr w:type="spellEnd"/>
            <w:r w:rsidR="008E623C">
              <w:t xml:space="preserve"> inhalation studies in rats and mice:</w:t>
            </w:r>
          </w:p>
          <w:p w14:paraId="50639DF1" w14:textId="2B058A46" w:rsidR="008E623C" w:rsidRDefault="00C27A06" w:rsidP="008E623C">
            <w:pPr>
              <w:pStyle w:val="ListBullet"/>
              <w:numPr>
                <w:ilvl w:val="0"/>
                <w:numId w:val="3"/>
              </w:numPr>
            </w:pPr>
            <w:r>
              <w:rPr>
                <w:rFonts w:cs="Arial"/>
              </w:rPr>
              <w:t>≥</w:t>
            </w:r>
            <w:r w:rsidR="008E623C">
              <w:t>0.5 mg/m</w:t>
            </w:r>
            <w:r w:rsidR="008E623C">
              <w:rPr>
                <w:vertAlign w:val="superscript"/>
              </w:rPr>
              <w:t>3</w:t>
            </w:r>
            <w:r w:rsidR="008E623C">
              <w:t xml:space="preserve"> produced eye irritation in rats</w:t>
            </w:r>
          </w:p>
          <w:p w14:paraId="18AF185F" w14:textId="7218BAAE" w:rsidR="008E623C" w:rsidRDefault="003A5FB5" w:rsidP="008E623C">
            <w:pPr>
              <w:pStyle w:val="ListBullet"/>
              <w:numPr>
                <w:ilvl w:val="0"/>
                <w:numId w:val="3"/>
              </w:numPr>
            </w:pPr>
            <w:r>
              <w:t>n</w:t>
            </w:r>
            <w:r w:rsidR="008E623C">
              <w:t>o rat deaths</w:t>
            </w:r>
          </w:p>
          <w:p w14:paraId="1046A49E" w14:textId="0179524A" w:rsidR="008E623C" w:rsidRDefault="008E623C" w:rsidP="008E623C">
            <w:pPr>
              <w:pStyle w:val="ListBullet"/>
              <w:numPr>
                <w:ilvl w:val="0"/>
                <w:numId w:val="3"/>
              </w:numPr>
            </w:pPr>
            <w:r>
              <w:t>10% of</w:t>
            </w:r>
            <w:r w:rsidR="00C27A06">
              <w:t xml:space="preserve"> female mice exposed at </w:t>
            </w:r>
            <w:r w:rsidR="00BD2093">
              <w:t>0.5</w:t>
            </w:r>
            <w:r w:rsidR="00C27A06">
              <w:t xml:space="preserve"> and </w:t>
            </w:r>
            <w:r w:rsidR="00BD2093">
              <w:t xml:space="preserve">4 </w:t>
            </w:r>
            <w:r>
              <w:t>mg/m</w:t>
            </w:r>
            <w:r>
              <w:rPr>
                <w:vertAlign w:val="superscript"/>
              </w:rPr>
              <w:t>3</w:t>
            </w:r>
            <w:r>
              <w:t xml:space="preserve"> died</w:t>
            </w:r>
          </w:p>
          <w:p w14:paraId="01260C68" w14:textId="2656976F" w:rsidR="008E623C" w:rsidRDefault="003A5FB5" w:rsidP="008E623C">
            <w:pPr>
              <w:pStyle w:val="ListBullet"/>
              <w:numPr>
                <w:ilvl w:val="0"/>
                <w:numId w:val="3"/>
              </w:numPr>
            </w:pPr>
            <w:r>
              <w:t>n</w:t>
            </w:r>
            <w:r w:rsidR="008E623C">
              <w:t>o chemical-related lesions in either animal</w:t>
            </w:r>
          </w:p>
          <w:p w14:paraId="2BB69E71" w14:textId="77777777" w:rsidR="008E623C" w:rsidRDefault="00C27A06" w:rsidP="008E623C">
            <w:pPr>
              <w:pStyle w:val="ListBullet"/>
              <w:ind w:left="1080"/>
            </w:pPr>
            <w:r>
              <w:t>Reported to be a co-</w:t>
            </w:r>
            <w:r w:rsidR="003F69AF">
              <w:t>carcinogen in mice dosed dermally</w:t>
            </w:r>
          </w:p>
          <w:p w14:paraId="17E9126C" w14:textId="169513A7" w:rsidR="003F69AF" w:rsidRDefault="003F69AF" w:rsidP="008E623C">
            <w:pPr>
              <w:pStyle w:val="ListBullet"/>
              <w:ind w:left="1080"/>
            </w:pPr>
            <w:r>
              <w:t xml:space="preserve">Negative carcinogenicity in rats dosed </w:t>
            </w:r>
            <w:r w:rsidRPr="003A5FB5">
              <w:rPr>
                <w:i/>
              </w:rPr>
              <w:t>via</w:t>
            </w:r>
            <w:r>
              <w:t xml:space="preserve"> inhalation</w:t>
            </w:r>
            <w:r w:rsidR="000F1E70">
              <w:t>.</w:t>
            </w:r>
          </w:p>
          <w:p w14:paraId="0FAD6A50" w14:textId="77777777" w:rsidR="009C31C5" w:rsidRDefault="009C31C5" w:rsidP="003A5FB5">
            <w:pPr>
              <w:pStyle w:val="ListBullet"/>
              <w:numPr>
                <w:ilvl w:val="0"/>
                <w:numId w:val="0"/>
              </w:numPr>
              <w:ind w:left="1080"/>
            </w:pPr>
          </w:p>
          <w:p w14:paraId="6598E2F9" w14:textId="77777777" w:rsidR="003F69AF" w:rsidRDefault="003F69AF" w:rsidP="003F69AF">
            <w:pPr>
              <w:pStyle w:val="Tabletextprimarysource"/>
              <w:rPr>
                <w:i/>
              </w:rPr>
            </w:pPr>
            <w:r>
              <w:t xml:space="preserve">Not mutagenic in </w:t>
            </w:r>
            <w:r>
              <w:rPr>
                <w:i/>
              </w:rPr>
              <w:t>Salmonella typhimurium</w:t>
            </w:r>
          </w:p>
          <w:p w14:paraId="63746F25" w14:textId="1E05F51C" w:rsidR="009C31C5" w:rsidRPr="003F69AF" w:rsidRDefault="009C31C5" w:rsidP="003F69AF">
            <w:pPr>
              <w:pStyle w:val="Tabletextprimarysource"/>
              <w:rPr>
                <w:i/>
              </w:rPr>
            </w:pPr>
          </w:p>
        </w:tc>
      </w:tr>
      <w:tr w:rsidR="00C978F0" w:rsidRPr="00DA352E" w14:paraId="099529A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3AB74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C77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FC779F">
                  <w:t>NA</w:t>
                </w:r>
                <w:proofErr w:type="spellEnd"/>
              </w:sdtContent>
            </w:sdt>
          </w:p>
        </w:tc>
      </w:tr>
      <w:tr w:rsidR="00C978F0" w:rsidRPr="00DA352E" w14:paraId="7C4FE80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6CD5B9" w14:textId="74BC5293" w:rsidR="00C978F0" w:rsidRPr="00DA352E" w:rsidRDefault="00FC779F" w:rsidP="003365A5">
            <w:pPr>
              <w:pStyle w:val="Tabletextprimarysource"/>
            </w:pPr>
            <w:r>
              <w:t>No report</w:t>
            </w:r>
            <w:r w:rsidR="003A5FB5">
              <w:t>.</w:t>
            </w:r>
          </w:p>
        </w:tc>
      </w:tr>
      <w:tr w:rsidR="00C978F0" w:rsidRPr="00DA352E" w14:paraId="5CB9D7F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8656B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C77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FC779F">
                  <w:t>NA</w:t>
                </w:r>
                <w:proofErr w:type="spellEnd"/>
              </w:sdtContent>
            </w:sdt>
          </w:p>
        </w:tc>
      </w:tr>
      <w:tr w:rsidR="00C978F0" w:rsidRPr="00DA352E" w14:paraId="2851993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9DFF22" w14:textId="550D658A" w:rsidR="00C978F0" w:rsidRPr="00DA352E" w:rsidRDefault="00FC779F" w:rsidP="003365A5">
            <w:pPr>
              <w:pStyle w:val="Tabletextprimarysource"/>
            </w:pPr>
            <w:r>
              <w:t>No report</w:t>
            </w:r>
            <w:r w:rsidR="003A5FB5">
              <w:t>.</w:t>
            </w:r>
          </w:p>
        </w:tc>
      </w:tr>
      <w:tr w:rsidR="00DA352E" w:rsidRPr="00DA352E" w14:paraId="4071337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70837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C77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C779F">
                  <w:t>NA</w:t>
                </w:r>
                <w:proofErr w:type="spellEnd"/>
              </w:sdtContent>
            </w:sdt>
          </w:p>
        </w:tc>
      </w:tr>
      <w:tr w:rsidR="00DA352E" w:rsidRPr="00DA352E" w14:paraId="1A8340A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CF5881" w14:textId="217366D3" w:rsidR="00DA352E" w:rsidRPr="00DA352E" w:rsidRDefault="00FC779F" w:rsidP="003365A5">
            <w:pPr>
              <w:pStyle w:val="Tabletextprimarysource"/>
            </w:pPr>
            <w:r>
              <w:t>No report</w:t>
            </w:r>
            <w:r w:rsidR="003A5FB5">
              <w:t>.</w:t>
            </w:r>
          </w:p>
        </w:tc>
      </w:tr>
      <w:tr w:rsidR="00DA352E" w:rsidRPr="00DA352E" w14:paraId="69D7F25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532C5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23027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C779F" w:rsidRPr="00FC779F">
                  <w:t xml:space="preserve">TWA: </w:t>
                </w:r>
                <w:r w:rsidR="0058418E">
                  <w:t>0.1 mg/m</w:t>
                </w:r>
                <w:r w:rsidR="0058418E">
                  <w:rPr>
                    <w:vertAlign w:val="superscript"/>
                  </w:rPr>
                  <w:t>3</w:t>
                </w:r>
                <w:r w:rsidR="0058418E">
                  <w:t xml:space="preserve">; STEL: </w:t>
                </w:r>
                <w:r w:rsidR="00FC779F" w:rsidRPr="00FC779F">
                  <w:t>0.3 mg/m</w:t>
                </w:r>
                <w:r w:rsidR="00FC779F" w:rsidRPr="003F69AF">
                  <w:rPr>
                    <w:vertAlign w:val="superscript"/>
                  </w:rPr>
                  <w:t>3</w:t>
                </w:r>
                <w:r w:rsidR="00FC779F" w:rsidRPr="00FC779F">
                  <w:t>)</w:t>
                </w:r>
              </w:sdtContent>
            </w:sdt>
          </w:p>
        </w:tc>
      </w:tr>
      <w:tr w:rsidR="00DA352E" w:rsidRPr="00DA352E" w14:paraId="1BEE93AF" w14:textId="77777777" w:rsidTr="003A5FB5">
        <w:trPr>
          <w:gridAfter w:val="1"/>
          <w:wAfter w:w="8" w:type="pct"/>
        </w:trPr>
        <w:tc>
          <w:tcPr>
            <w:tcW w:w="4992" w:type="pct"/>
          </w:tcPr>
          <w:p w14:paraId="1C7A0347" w14:textId="77777777" w:rsidR="00DA352E" w:rsidRDefault="003F69AF" w:rsidP="003365A5">
            <w:pPr>
              <w:pStyle w:val="Tabletextprimarysource"/>
            </w:pPr>
            <w:r>
              <w:t xml:space="preserve">The TWA </w:t>
            </w:r>
            <w:r w:rsidR="003C6090">
              <w:t xml:space="preserve">and STEL are </w:t>
            </w:r>
            <w:r>
              <w:t>recommended to minimise the potential for irritation effects in exposed workers.</w:t>
            </w:r>
          </w:p>
          <w:p w14:paraId="0FDC6954" w14:textId="77777777" w:rsidR="003F69AF" w:rsidRDefault="003F69AF" w:rsidP="003365A5">
            <w:pPr>
              <w:pStyle w:val="Tabletextprimarysource"/>
            </w:pPr>
            <w:r>
              <w:t>Summary of additional data:</w:t>
            </w:r>
          </w:p>
          <w:p w14:paraId="37A3C544" w14:textId="77777777" w:rsidR="00161DF7" w:rsidRDefault="00161DF7" w:rsidP="00161DF7">
            <w:pPr>
              <w:pStyle w:val="Tabletextprimarysource"/>
            </w:pPr>
            <w:r>
              <w:t>Human data:</w:t>
            </w:r>
          </w:p>
          <w:p w14:paraId="24DB3A14" w14:textId="6B786AE1" w:rsidR="003A5FB5" w:rsidRDefault="003A5FB5" w:rsidP="003F69AF">
            <w:pPr>
              <w:pStyle w:val="ListBullet"/>
              <w:ind w:left="1080"/>
            </w:pPr>
            <w:r>
              <w:t>Rapid i</w:t>
            </w:r>
            <w:r w:rsidR="003F69AF">
              <w:t xml:space="preserve">rritation of eyes and skin at 10 </w:t>
            </w:r>
            <w:r w:rsidRPr="004311D4">
              <w:rPr>
                <w:rFonts w:cs="Arial"/>
                <w:szCs w:val="20"/>
              </w:rPr>
              <w:t>mg/m</w:t>
            </w:r>
            <w:r w:rsidRPr="003A5FB5">
              <w:rPr>
                <w:rFonts w:cs="Arial"/>
                <w:sz w:val="22"/>
                <w:vertAlign w:val="superscript"/>
              </w:rPr>
              <w:t>3</w:t>
            </w:r>
          </w:p>
          <w:p w14:paraId="20D39D91" w14:textId="30CEE1FE" w:rsidR="003F69AF" w:rsidRDefault="003F69AF" w:rsidP="003A5FB5">
            <w:pPr>
              <w:pStyle w:val="ListBullet"/>
              <w:numPr>
                <w:ilvl w:val="0"/>
                <w:numId w:val="3"/>
              </w:numPr>
            </w:pPr>
            <w:r>
              <w:lastRenderedPageBreak/>
              <w:t>effects reve</w:t>
            </w:r>
            <w:r w:rsidR="00C27A06">
              <w:t>rs</w:t>
            </w:r>
            <w:r w:rsidR="003A5FB5">
              <w:t>ible</w:t>
            </w:r>
            <w:r w:rsidR="00C27A06">
              <w:t xml:space="preserve"> </w:t>
            </w:r>
            <w:r w:rsidR="009C31C5">
              <w:rPr>
                <w:rFonts w:cs="Arial"/>
              </w:rPr>
              <w:t>≈</w:t>
            </w:r>
            <w:r w:rsidR="00C27A06">
              <w:t>20 min</w:t>
            </w:r>
            <w:r>
              <w:t xml:space="preserve"> </w:t>
            </w:r>
            <w:r w:rsidR="00161DF7">
              <w:t xml:space="preserve">after </w:t>
            </w:r>
            <w:r>
              <w:t>removal from exposure</w:t>
            </w:r>
          </w:p>
          <w:p w14:paraId="715091AC" w14:textId="6D9A73ED" w:rsidR="00161DF7" w:rsidRDefault="00161DF7" w:rsidP="003F69AF">
            <w:pPr>
              <w:pStyle w:val="ListBullet"/>
              <w:ind w:left="1080"/>
            </w:pPr>
            <w:r>
              <w:t>Minimal irritant concentration</w:t>
            </w:r>
            <w:r w:rsidR="003C6090">
              <w:t xml:space="preserve"> 0.3</w:t>
            </w:r>
            <w:r w:rsidR="009C31C5">
              <w:t>–</w:t>
            </w:r>
            <w:r>
              <w:t>1 mg-min/m</w:t>
            </w:r>
            <w:r>
              <w:rPr>
                <w:vertAlign w:val="superscript"/>
              </w:rPr>
              <w:t>3</w:t>
            </w:r>
          </w:p>
          <w:p w14:paraId="3AF1770F" w14:textId="5A3DC8ED" w:rsidR="00161DF7" w:rsidRDefault="00161DF7" w:rsidP="003F69AF">
            <w:pPr>
              <w:pStyle w:val="ListBullet"/>
              <w:ind w:left="1080"/>
            </w:pPr>
            <w:r>
              <w:t>ICt</w:t>
            </w:r>
            <w:r>
              <w:rPr>
                <w:vertAlign w:val="subscript"/>
              </w:rPr>
              <w:t>50</w:t>
            </w:r>
            <w:r w:rsidR="00C27A06">
              <w:t>:</w:t>
            </w:r>
            <w:r>
              <w:t xml:space="preserve"> </w:t>
            </w:r>
            <w:r w:rsidR="00C27A06">
              <w:t>20</w:t>
            </w:r>
            <w:r w:rsidR="009C31C5">
              <w:t>–</w:t>
            </w:r>
            <w:r w:rsidR="00C27A06" w:rsidRPr="00417414">
              <w:t>50 mg</w:t>
            </w:r>
            <w:r w:rsidR="004311D4" w:rsidRPr="00417414">
              <w:t xml:space="preserve"> x </w:t>
            </w:r>
            <w:r w:rsidR="00C27A06" w:rsidRPr="00417414">
              <w:t>min/m</w:t>
            </w:r>
            <w:r w:rsidR="00C27A06" w:rsidRPr="00417414">
              <w:rPr>
                <w:vertAlign w:val="superscript"/>
              </w:rPr>
              <w:t>3</w:t>
            </w:r>
            <w:r w:rsidR="00C27A06" w:rsidRPr="00417414">
              <w:t xml:space="preserve"> </w:t>
            </w:r>
            <w:r w:rsidRPr="00417414">
              <w:t xml:space="preserve">(concentration </w:t>
            </w:r>
            <w:r>
              <w:t>x time, incapacitating/irritating to 50% of an exposed population)</w:t>
            </w:r>
            <w:r w:rsidR="000F1E70">
              <w:t>.</w:t>
            </w:r>
            <w:r>
              <w:t xml:space="preserve"> </w:t>
            </w:r>
          </w:p>
          <w:p w14:paraId="668F5C85" w14:textId="77777777" w:rsidR="009C31C5" w:rsidRDefault="009C31C5" w:rsidP="003A5FB5">
            <w:pPr>
              <w:pStyle w:val="ListBullet"/>
              <w:numPr>
                <w:ilvl w:val="0"/>
                <w:numId w:val="0"/>
              </w:numPr>
              <w:ind w:left="1080"/>
            </w:pPr>
          </w:p>
          <w:p w14:paraId="5C7152CA" w14:textId="77777777" w:rsidR="0058418E" w:rsidRDefault="0058418E" w:rsidP="0058418E">
            <w:pPr>
              <w:pStyle w:val="Tabletextprimarysource"/>
            </w:pPr>
            <w:r>
              <w:t>Animal data:</w:t>
            </w:r>
          </w:p>
          <w:p w14:paraId="0281EF25" w14:textId="10E62173" w:rsidR="0058418E" w:rsidRDefault="0058418E" w:rsidP="0058418E">
            <w:pPr>
              <w:pStyle w:val="ListBullet"/>
              <w:ind w:left="1080"/>
            </w:pPr>
            <w:r>
              <w:t>NOAEL of 0.25 mg/m</w:t>
            </w:r>
            <w:r>
              <w:rPr>
                <w:vertAlign w:val="superscript"/>
              </w:rPr>
              <w:t>3</w:t>
            </w:r>
            <w:r>
              <w:t xml:space="preserve"> for eye irritation, gross or microscopic lesions, decreased </w:t>
            </w:r>
            <w:proofErr w:type="spellStart"/>
            <w:r w:rsidR="003A5FB5">
              <w:t>bw</w:t>
            </w:r>
            <w:proofErr w:type="spellEnd"/>
            <w:r>
              <w:t xml:space="preserve"> and increased relative liver weight (rats, mice; 13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4DC01729" w14:textId="55D1E389" w:rsidR="003C6090" w:rsidRDefault="0058418E" w:rsidP="0058418E">
            <w:pPr>
              <w:pStyle w:val="ListBullet"/>
              <w:ind w:left="1080"/>
            </w:pPr>
            <w:r>
              <w:t>Minimal observed adverse effect level of 1 mg/m</w:t>
            </w:r>
            <w:r>
              <w:rPr>
                <w:vertAlign w:val="superscript"/>
              </w:rPr>
              <w:t>3</w:t>
            </w:r>
            <w:r>
              <w:t xml:space="preserve"> for irritation of the nasal passage in rats (2 yr inhalation)</w:t>
            </w:r>
            <w:r w:rsidR="000F1E70">
              <w:t>.</w:t>
            </w:r>
            <w:r>
              <w:t xml:space="preserve"> </w:t>
            </w:r>
          </w:p>
          <w:p w14:paraId="119616C6" w14:textId="77777777" w:rsidR="009C31C5" w:rsidRDefault="009C31C5" w:rsidP="003A5FB5">
            <w:pPr>
              <w:pStyle w:val="ListBullet"/>
              <w:numPr>
                <w:ilvl w:val="0"/>
                <w:numId w:val="0"/>
              </w:numPr>
              <w:ind w:left="1080"/>
            </w:pPr>
          </w:p>
          <w:p w14:paraId="5D456CFE" w14:textId="1F4A2AE2" w:rsidR="0058418E" w:rsidRDefault="003C6090" w:rsidP="003C6090">
            <w:pPr>
              <w:pStyle w:val="Tabletextprimarysource"/>
            </w:pPr>
            <w:r>
              <w:t>Minimal observed adverse effect level of 1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417414">
              <w:t xml:space="preserve">(13 w inhalational study) </w:t>
            </w:r>
            <w:r w:rsidR="0058418E">
              <w:t>used as starting point for derivation of TWA; overall assessment factor of 8 for absence of NOAEL, intra- and interspecies variation, and the type of effect</w:t>
            </w:r>
            <w:r w:rsidR="00BD2093">
              <w:t>.</w:t>
            </w:r>
          </w:p>
          <w:p w14:paraId="29B02069" w14:textId="773F2981" w:rsidR="0058418E" w:rsidRDefault="003C6090" w:rsidP="003C6090">
            <w:pPr>
              <w:pStyle w:val="Tabletextprimarysource"/>
            </w:pPr>
            <w:r>
              <w:t>STEL derived from threshold estimates of 0.3 mg</w:t>
            </w:r>
            <w:r w:rsidR="00BB0BD9">
              <w:t xml:space="preserve"> x </w:t>
            </w:r>
            <w:r>
              <w:t>min/m</w:t>
            </w:r>
            <w:r>
              <w:rPr>
                <w:vertAlign w:val="superscript"/>
              </w:rPr>
              <w:t>3</w:t>
            </w:r>
            <w:r>
              <w:t xml:space="preserve"> for eye (lachrymation) and respiratory tract irritation in humans</w:t>
            </w:r>
            <w:r w:rsidR="00BD2093">
              <w:t>.</w:t>
            </w:r>
          </w:p>
          <w:p w14:paraId="4B7328BC" w14:textId="0D70566C" w:rsidR="009C31C5" w:rsidRPr="00DA352E" w:rsidRDefault="009C31C5" w:rsidP="003C6090">
            <w:pPr>
              <w:pStyle w:val="Tabletextprimarysource"/>
            </w:pPr>
          </w:p>
        </w:tc>
      </w:tr>
    </w:tbl>
    <w:p w14:paraId="2AA45CD1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7E899943" w14:textId="736942D0" w:rsidR="007E2A4B" w:rsidRDefault="00653B5E">
      <w:r>
        <w:t>NIL</w:t>
      </w:r>
      <w:r w:rsidR="003A5FB5">
        <w:t>.</w:t>
      </w:r>
    </w:p>
    <w:bookmarkEnd w:id="0"/>
    <w:p w14:paraId="7FC9894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65998D1" w14:textId="77777777" w:rsidTr="003C6090">
        <w:trPr>
          <w:trHeight w:val="454"/>
          <w:tblHeader/>
        </w:trPr>
        <w:tc>
          <w:tcPr>
            <w:tcW w:w="6603" w:type="dxa"/>
            <w:vAlign w:val="center"/>
          </w:tcPr>
          <w:p w14:paraId="71A4AFB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5F6564D" w14:textId="77777777" w:rsidR="002E0D61" w:rsidRDefault="003C609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F024C54" w14:textId="77777777" w:rsidTr="003C609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64889C2" w14:textId="77777777" w:rsidR="008A36CF" w:rsidRPr="006901A2" w:rsidRDefault="003C609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7D9864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637253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F26FE9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C9C25D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D65A2E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7D3A365" w14:textId="77777777" w:rsidTr="00812887">
        <w:trPr>
          <w:cantSplit/>
        </w:trPr>
        <w:tc>
          <w:tcPr>
            <w:tcW w:w="3227" w:type="dxa"/>
          </w:tcPr>
          <w:p w14:paraId="7601A0B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77ED58F" w14:textId="77777777" w:rsidR="00687890" w:rsidRPr="00DD2F9B" w:rsidRDefault="00032A5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234C8F2" w14:textId="77777777" w:rsidTr="00812887">
        <w:trPr>
          <w:cantSplit/>
        </w:trPr>
        <w:tc>
          <w:tcPr>
            <w:tcW w:w="3227" w:type="dxa"/>
          </w:tcPr>
          <w:p w14:paraId="2D30285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B896D59" w14:textId="77777777" w:rsidR="007925F0" w:rsidRPr="00DD2F9B" w:rsidRDefault="00032A5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3BE98DB" w14:textId="77777777" w:rsidTr="00812887">
        <w:trPr>
          <w:cantSplit/>
        </w:trPr>
        <w:tc>
          <w:tcPr>
            <w:tcW w:w="3227" w:type="dxa"/>
          </w:tcPr>
          <w:p w14:paraId="4E0DCF0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2CCBEC1" w14:textId="77777777" w:rsidR="00AF483F" w:rsidRPr="00DD2F9B" w:rsidRDefault="0047005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C7E495D" w14:textId="77777777" w:rsidTr="00812887">
        <w:trPr>
          <w:cantSplit/>
        </w:trPr>
        <w:tc>
          <w:tcPr>
            <w:tcW w:w="3227" w:type="dxa"/>
          </w:tcPr>
          <w:p w14:paraId="41FAB98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AABD103" w14:textId="77777777" w:rsidR="00687890" w:rsidRPr="00DD2F9B" w:rsidRDefault="0042302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078D705" w14:textId="77777777" w:rsidTr="00812887">
        <w:trPr>
          <w:cantSplit/>
        </w:trPr>
        <w:tc>
          <w:tcPr>
            <w:tcW w:w="3227" w:type="dxa"/>
          </w:tcPr>
          <w:p w14:paraId="53D1567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0EFF438" w14:textId="77777777" w:rsidR="00E41A26" w:rsidRPr="00DD2F9B" w:rsidRDefault="0042302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E90B04E" w14:textId="77777777" w:rsidTr="00812887">
        <w:trPr>
          <w:cantSplit/>
        </w:trPr>
        <w:tc>
          <w:tcPr>
            <w:tcW w:w="3227" w:type="dxa"/>
          </w:tcPr>
          <w:p w14:paraId="26DDAA0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0D03512" w14:textId="77777777" w:rsidR="002E0D61" w:rsidRPr="00DD2F9B" w:rsidRDefault="002A22CA" w:rsidP="00DD2F9B">
            <w:pPr>
              <w:pStyle w:val="Tablefont"/>
            </w:pPr>
            <w:r w:rsidRPr="002A22CA">
              <w:t>Carcinogenicity – A4</w:t>
            </w:r>
          </w:p>
        </w:tc>
      </w:tr>
      <w:tr w:rsidR="002E0D61" w:rsidRPr="004C23F4" w14:paraId="72C4378F" w14:textId="77777777" w:rsidTr="00812887">
        <w:trPr>
          <w:cantSplit/>
        </w:trPr>
        <w:tc>
          <w:tcPr>
            <w:tcW w:w="3227" w:type="dxa"/>
          </w:tcPr>
          <w:p w14:paraId="3FC8861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ACCED9C" w14:textId="77777777" w:rsidR="002E0D61" w:rsidRPr="00DD2F9B" w:rsidRDefault="0042302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00C397A" w14:textId="77777777" w:rsidTr="00812887">
        <w:trPr>
          <w:cantSplit/>
        </w:trPr>
        <w:tc>
          <w:tcPr>
            <w:tcW w:w="3227" w:type="dxa"/>
          </w:tcPr>
          <w:p w14:paraId="6C946A7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4C68C97" w14:textId="77777777" w:rsidR="002E0D61" w:rsidRPr="00DD2F9B" w:rsidRDefault="0042302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099CDFF" w14:textId="77777777" w:rsidTr="00812887">
        <w:trPr>
          <w:cantSplit/>
        </w:trPr>
        <w:tc>
          <w:tcPr>
            <w:tcW w:w="3227" w:type="dxa"/>
          </w:tcPr>
          <w:p w14:paraId="1005AEC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50EB746" w14:textId="77777777" w:rsidR="002E0D61" w:rsidRPr="00DD2F9B" w:rsidRDefault="0042302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4556364" w14:textId="77777777" w:rsidTr="00812887">
        <w:trPr>
          <w:cantSplit/>
        </w:trPr>
        <w:tc>
          <w:tcPr>
            <w:tcW w:w="3227" w:type="dxa"/>
          </w:tcPr>
          <w:p w14:paraId="07809A1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BA50248" w14:textId="77777777" w:rsidR="00386093" w:rsidRPr="00DD2F9B" w:rsidRDefault="00A671D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6314212" w14:textId="77777777" w:rsidTr="00812887">
        <w:trPr>
          <w:cantSplit/>
        </w:trPr>
        <w:tc>
          <w:tcPr>
            <w:tcW w:w="3227" w:type="dxa"/>
          </w:tcPr>
          <w:p w14:paraId="4AD2C81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3524517" w14:textId="77777777" w:rsidR="00386093" w:rsidRPr="00DD2F9B" w:rsidRDefault="00BD466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AC087A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720E6B7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AEFF6F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43FB42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A000A3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2E1582A" w14:textId="6595F439" w:rsidR="00932DCE" w:rsidRPr="00423027" w:rsidRDefault="003C6090" w:rsidP="00423027">
            <w:r>
              <w:t>Insufficient data</w:t>
            </w:r>
            <w:r w:rsidR="003A5FB5">
              <w:t xml:space="preserve"> to warrant a skin notation.</w:t>
            </w:r>
          </w:p>
        </w:tc>
      </w:tr>
    </w:tbl>
    <w:bookmarkEnd w:id="3"/>
    <w:p w14:paraId="1E94BA5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76D1E1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ABD9E0E" w14:textId="77777777" w:rsidR="00EB3D1B" w:rsidRPr="00423027" w:rsidRDefault="00EB3D1B" w:rsidP="00D147ED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76561FD" w14:textId="77777777" w:rsidR="00EB3D1B" w:rsidRDefault="006544F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02964B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9EBD40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0A08C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EFF0EE9" w14:textId="77777777" w:rsidR="001B79E5" w:rsidRDefault="00FC779F" w:rsidP="001B79E5">
                <w:pPr>
                  <w:pStyle w:val="Tablefont"/>
                </w:pPr>
                <w:r>
                  <w:t>154.59</w:t>
                </w:r>
              </w:p>
            </w:tc>
          </w:sdtContent>
        </w:sdt>
      </w:tr>
      <w:tr w:rsidR="00A31D99" w:rsidRPr="004C23F4" w14:paraId="230A6E9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73263D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32D11A2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B6064D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41385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1B8F9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F94C1FC" w14:textId="77777777" w:rsidTr="00EA6243">
        <w:trPr>
          <w:cantSplit/>
        </w:trPr>
        <w:tc>
          <w:tcPr>
            <w:tcW w:w="4077" w:type="dxa"/>
            <w:vAlign w:val="center"/>
          </w:tcPr>
          <w:p w14:paraId="6C09E6A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2E3287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D9B36E1" w14:textId="77777777" w:rsidTr="00EA6243">
        <w:trPr>
          <w:cantSplit/>
        </w:trPr>
        <w:tc>
          <w:tcPr>
            <w:tcW w:w="4077" w:type="dxa"/>
            <w:vAlign w:val="center"/>
          </w:tcPr>
          <w:p w14:paraId="38E2CF7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03CF54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F3C5B18" w14:textId="77777777" w:rsidTr="00EA6243">
        <w:trPr>
          <w:cantSplit/>
        </w:trPr>
        <w:tc>
          <w:tcPr>
            <w:tcW w:w="4077" w:type="dxa"/>
            <w:vAlign w:val="center"/>
          </w:tcPr>
          <w:p w14:paraId="769540A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6DE7506" w14:textId="77777777" w:rsidR="00E06F40" w:rsidRPr="00A006A0" w:rsidRDefault="0054471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97F817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C732B3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B973CC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4026F4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AC11F0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94CC61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157A77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DD1423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FE6018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5D6B306" w14:textId="77777777" w:rsidR="00411474" w:rsidRPr="00351FE0" w:rsidRDefault="00AB208D" w:rsidP="00084859">
      <w:r w:rsidRPr="002022B6">
        <w:t>Health Council of the Netherlands</w:t>
      </w:r>
      <w:r>
        <w:t xml:space="preserve"> (HCOTN) (2004) 2-Chloroacetophenone</w:t>
      </w:r>
      <w:r w:rsidRPr="005F7416">
        <w:t xml:space="preserve">. </w:t>
      </w:r>
      <w:r w:rsidR="00F000C5" w:rsidRPr="00F000C5">
        <w:t>Health-based Reassessment of Administrative Occupational Exposure Limits</w:t>
      </w:r>
      <w:r w:rsidRPr="005F7416">
        <w:t xml:space="preserve">. The Hague: Health Council of the Netherlands; publication no. </w:t>
      </w:r>
      <w:r w:rsidR="00F000C5">
        <w:t>2000/15OSH/097</w:t>
      </w:r>
      <w:r>
        <w:t>.</w:t>
      </w:r>
    </w:p>
    <w:sectPr w:rsidR="0041147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994FA" w14:textId="77777777" w:rsidR="00745E40" w:rsidRDefault="00745E40" w:rsidP="00F43AD5">
      <w:pPr>
        <w:spacing w:after="0" w:line="240" w:lineRule="auto"/>
      </w:pPr>
      <w:r>
        <w:separator/>
      </w:r>
    </w:p>
  </w:endnote>
  <w:endnote w:type="continuationSeparator" w:id="0">
    <w:p w14:paraId="590A8E50" w14:textId="77777777" w:rsidR="00745E40" w:rsidRDefault="00745E4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28A94E2" w14:textId="77777777" w:rsidR="008A36CF" w:rsidRDefault="006E46F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alpha-Chloroacetophenone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532-27-4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97E61CA" w14:textId="13BB3D1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4633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FBFC2" w14:textId="77777777" w:rsidR="00745E40" w:rsidRDefault="00745E40" w:rsidP="00F43AD5">
      <w:pPr>
        <w:spacing w:after="0" w:line="240" w:lineRule="auto"/>
      </w:pPr>
      <w:r>
        <w:separator/>
      </w:r>
    </w:p>
  </w:footnote>
  <w:footnote w:type="continuationSeparator" w:id="0">
    <w:p w14:paraId="2EA44DDD" w14:textId="77777777" w:rsidR="00745E40" w:rsidRDefault="00745E4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E6D57" w14:textId="635E464A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5DE78C6" wp14:editId="62CBFCE0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169CF" w14:textId="656BFDF0" w:rsidR="00346332" w:rsidRDefault="00346332" w:rsidP="00346332">
    <w:pPr>
      <w:pStyle w:val="Header"/>
      <w:jc w:val="right"/>
    </w:pPr>
    <w:r>
      <w:rPr>
        <w:noProof/>
        <w:lang w:eastAsia="en-AU"/>
      </w:rPr>
      <w:drawing>
        <wp:inline distT="0" distB="0" distL="0" distR="0" wp14:anchorId="03A4EDB7" wp14:editId="69402BD7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756E41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43CDA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4B0223"/>
    <w:multiLevelType w:val="hybridMultilevel"/>
    <w:tmpl w:val="671034A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7D11C81"/>
    <w:multiLevelType w:val="hybridMultilevel"/>
    <w:tmpl w:val="4D94996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9050266">
    <w:abstractNumId w:val="0"/>
  </w:num>
  <w:num w:numId="2" w16cid:durableId="777069739">
    <w:abstractNumId w:val="1"/>
  </w:num>
  <w:num w:numId="3" w16cid:durableId="2126072304">
    <w:abstractNumId w:val="2"/>
  </w:num>
  <w:num w:numId="4" w16cid:durableId="2065984988">
    <w:abstractNumId w:val="0"/>
  </w:num>
  <w:num w:numId="5" w16cid:durableId="1400591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3F6"/>
    <w:rsid w:val="0002706F"/>
    <w:rsid w:val="00032A5B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5CA2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1E70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1DF7"/>
    <w:rsid w:val="00177CA1"/>
    <w:rsid w:val="00183823"/>
    <w:rsid w:val="00183942"/>
    <w:rsid w:val="001A009E"/>
    <w:rsid w:val="001A1287"/>
    <w:rsid w:val="001A3859"/>
    <w:rsid w:val="001A3C9D"/>
    <w:rsid w:val="001A43F8"/>
    <w:rsid w:val="001B7432"/>
    <w:rsid w:val="001B79E5"/>
    <w:rsid w:val="001C4147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D8B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549E"/>
    <w:rsid w:val="002A22CA"/>
    <w:rsid w:val="002A7BDE"/>
    <w:rsid w:val="002B0BF0"/>
    <w:rsid w:val="002B1A2C"/>
    <w:rsid w:val="002C20A9"/>
    <w:rsid w:val="002C34F2"/>
    <w:rsid w:val="002C58FF"/>
    <w:rsid w:val="002C6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61B5"/>
    <w:rsid w:val="003337DA"/>
    <w:rsid w:val="00334EFB"/>
    <w:rsid w:val="00335CDE"/>
    <w:rsid w:val="003365A5"/>
    <w:rsid w:val="00346332"/>
    <w:rsid w:val="00347192"/>
    <w:rsid w:val="0034744C"/>
    <w:rsid w:val="00351FE0"/>
    <w:rsid w:val="00352615"/>
    <w:rsid w:val="0035412B"/>
    <w:rsid w:val="003567A8"/>
    <w:rsid w:val="00362895"/>
    <w:rsid w:val="00370DBF"/>
    <w:rsid w:val="0037589C"/>
    <w:rsid w:val="00386093"/>
    <w:rsid w:val="003904A4"/>
    <w:rsid w:val="00391841"/>
    <w:rsid w:val="00391B6D"/>
    <w:rsid w:val="00394922"/>
    <w:rsid w:val="00394E60"/>
    <w:rsid w:val="003A0E32"/>
    <w:rsid w:val="003A2B94"/>
    <w:rsid w:val="003A5FB5"/>
    <w:rsid w:val="003B387D"/>
    <w:rsid w:val="003B4525"/>
    <w:rsid w:val="003C0D58"/>
    <w:rsid w:val="003C6090"/>
    <w:rsid w:val="003D4FA3"/>
    <w:rsid w:val="003E0807"/>
    <w:rsid w:val="003E51FB"/>
    <w:rsid w:val="003E6B39"/>
    <w:rsid w:val="003F07E1"/>
    <w:rsid w:val="003F69AF"/>
    <w:rsid w:val="004030BC"/>
    <w:rsid w:val="00403F7D"/>
    <w:rsid w:val="00406785"/>
    <w:rsid w:val="004079B4"/>
    <w:rsid w:val="00411474"/>
    <w:rsid w:val="00417414"/>
    <w:rsid w:val="00417A56"/>
    <w:rsid w:val="00420957"/>
    <w:rsid w:val="00422A10"/>
    <w:rsid w:val="00423027"/>
    <w:rsid w:val="00430179"/>
    <w:rsid w:val="004311D4"/>
    <w:rsid w:val="004414B5"/>
    <w:rsid w:val="00444482"/>
    <w:rsid w:val="00444B42"/>
    <w:rsid w:val="00445E44"/>
    <w:rsid w:val="004509E2"/>
    <w:rsid w:val="004515EE"/>
    <w:rsid w:val="004529F0"/>
    <w:rsid w:val="00460A03"/>
    <w:rsid w:val="00465DE9"/>
    <w:rsid w:val="00470058"/>
    <w:rsid w:val="00472A11"/>
    <w:rsid w:val="00472AAD"/>
    <w:rsid w:val="00474E33"/>
    <w:rsid w:val="00476803"/>
    <w:rsid w:val="00485BFD"/>
    <w:rsid w:val="004867A2"/>
    <w:rsid w:val="004873F2"/>
    <w:rsid w:val="00490D4C"/>
    <w:rsid w:val="00492DE5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576E"/>
    <w:rsid w:val="005272E2"/>
    <w:rsid w:val="0053108F"/>
    <w:rsid w:val="00532B56"/>
    <w:rsid w:val="00534B10"/>
    <w:rsid w:val="005446A2"/>
    <w:rsid w:val="0054471B"/>
    <w:rsid w:val="00544D2F"/>
    <w:rsid w:val="00551BD8"/>
    <w:rsid w:val="005658A4"/>
    <w:rsid w:val="00581055"/>
    <w:rsid w:val="0058418E"/>
    <w:rsid w:val="00591E38"/>
    <w:rsid w:val="005A19C5"/>
    <w:rsid w:val="005A21FF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1EAC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3B5E"/>
    <w:rsid w:val="006544F9"/>
    <w:rsid w:val="006549F2"/>
    <w:rsid w:val="006567B7"/>
    <w:rsid w:val="00657BFB"/>
    <w:rsid w:val="0066333C"/>
    <w:rsid w:val="006639B4"/>
    <w:rsid w:val="006650FE"/>
    <w:rsid w:val="0067305D"/>
    <w:rsid w:val="00677D9B"/>
    <w:rsid w:val="00682D94"/>
    <w:rsid w:val="006867F3"/>
    <w:rsid w:val="00687890"/>
    <w:rsid w:val="006901A2"/>
    <w:rsid w:val="00690368"/>
    <w:rsid w:val="0069079C"/>
    <w:rsid w:val="00690B53"/>
    <w:rsid w:val="00695B72"/>
    <w:rsid w:val="006A075C"/>
    <w:rsid w:val="006B160A"/>
    <w:rsid w:val="006B4E6C"/>
    <w:rsid w:val="006B50B6"/>
    <w:rsid w:val="006D21C2"/>
    <w:rsid w:val="006D79EA"/>
    <w:rsid w:val="006E46F3"/>
    <w:rsid w:val="006E5D05"/>
    <w:rsid w:val="00701053"/>
    <w:rsid w:val="00701507"/>
    <w:rsid w:val="00707FD1"/>
    <w:rsid w:val="00710CAC"/>
    <w:rsid w:val="00714021"/>
    <w:rsid w:val="00716A0F"/>
    <w:rsid w:val="00717D45"/>
    <w:rsid w:val="007208F7"/>
    <w:rsid w:val="007218AF"/>
    <w:rsid w:val="007365D1"/>
    <w:rsid w:val="00740E0E"/>
    <w:rsid w:val="00745E40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4D7F"/>
    <w:rsid w:val="007B1B42"/>
    <w:rsid w:val="007C30EB"/>
    <w:rsid w:val="007D0FA9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728D"/>
    <w:rsid w:val="008A36CF"/>
    <w:rsid w:val="008A3BC4"/>
    <w:rsid w:val="008A4B47"/>
    <w:rsid w:val="008B403C"/>
    <w:rsid w:val="008B7983"/>
    <w:rsid w:val="008C1077"/>
    <w:rsid w:val="008C2511"/>
    <w:rsid w:val="008D026D"/>
    <w:rsid w:val="008D23AB"/>
    <w:rsid w:val="008D4B8B"/>
    <w:rsid w:val="008D5A78"/>
    <w:rsid w:val="008E623C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38D4"/>
    <w:rsid w:val="009971C2"/>
    <w:rsid w:val="009A1254"/>
    <w:rsid w:val="009A5249"/>
    <w:rsid w:val="009B2FF2"/>
    <w:rsid w:val="009B380C"/>
    <w:rsid w:val="009B4843"/>
    <w:rsid w:val="009B6543"/>
    <w:rsid w:val="009C199D"/>
    <w:rsid w:val="009C278F"/>
    <w:rsid w:val="009C2B94"/>
    <w:rsid w:val="009C31C5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2FE"/>
    <w:rsid w:val="00A01D0C"/>
    <w:rsid w:val="00A0643F"/>
    <w:rsid w:val="00A067EE"/>
    <w:rsid w:val="00A10FCE"/>
    <w:rsid w:val="00A11FA7"/>
    <w:rsid w:val="00A16D91"/>
    <w:rsid w:val="00A174CC"/>
    <w:rsid w:val="00A2073D"/>
    <w:rsid w:val="00A20751"/>
    <w:rsid w:val="00A27E2D"/>
    <w:rsid w:val="00A31D99"/>
    <w:rsid w:val="00A350D9"/>
    <w:rsid w:val="00A357BA"/>
    <w:rsid w:val="00A35ADC"/>
    <w:rsid w:val="00A402A3"/>
    <w:rsid w:val="00A53681"/>
    <w:rsid w:val="00A633D4"/>
    <w:rsid w:val="00A6461A"/>
    <w:rsid w:val="00A671DB"/>
    <w:rsid w:val="00A84504"/>
    <w:rsid w:val="00A8672F"/>
    <w:rsid w:val="00A90532"/>
    <w:rsid w:val="00A93057"/>
    <w:rsid w:val="00A968B0"/>
    <w:rsid w:val="00AB208D"/>
    <w:rsid w:val="00AB2672"/>
    <w:rsid w:val="00AB2817"/>
    <w:rsid w:val="00AB43C4"/>
    <w:rsid w:val="00AC32E7"/>
    <w:rsid w:val="00AC3A9F"/>
    <w:rsid w:val="00AC465B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3E1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089E"/>
    <w:rsid w:val="00BB0BD9"/>
    <w:rsid w:val="00BB612A"/>
    <w:rsid w:val="00BD2093"/>
    <w:rsid w:val="00BD466C"/>
    <w:rsid w:val="00BD499F"/>
    <w:rsid w:val="00BD56DE"/>
    <w:rsid w:val="00BF2406"/>
    <w:rsid w:val="00BF5D09"/>
    <w:rsid w:val="00C06E43"/>
    <w:rsid w:val="00C16315"/>
    <w:rsid w:val="00C27A06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49CE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2F3D"/>
    <w:rsid w:val="00CF5AD3"/>
    <w:rsid w:val="00D048F7"/>
    <w:rsid w:val="00D0517E"/>
    <w:rsid w:val="00D140FC"/>
    <w:rsid w:val="00D147ED"/>
    <w:rsid w:val="00D15E51"/>
    <w:rsid w:val="00D21D8C"/>
    <w:rsid w:val="00D268E9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281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58EE"/>
    <w:rsid w:val="00E21A24"/>
    <w:rsid w:val="00E26A07"/>
    <w:rsid w:val="00E31E4A"/>
    <w:rsid w:val="00E32595"/>
    <w:rsid w:val="00E37CFD"/>
    <w:rsid w:val="00E41A26"/>
    <w:rsid w:val="00E46BCB"/>
    <w:rsid w:val="00E51CAF"/>
    <w:rsid w:val="00E60F04"/>
    <w:rsid w:val="00E6251F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00C5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C779F"/>
    <w:rsid w:val="00FD1871"/>
    <w:rsid w:val="00FD3110"/>
    <w:rsid w:val="00FE135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4DC78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147ED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21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1C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1C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1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1C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43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2453"/>
    <w:rsid w:val="002B0BF0"/>
    <w:rsid w:val="0032164C"/>
    <w:rsid w:val="005A3C94"/>
    <w:rsid w:val="006A075C"/>
    <w:rsid w:val="00D21A9F"/>
    <w:rsid w:val="00F6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245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39E575-1BC0-49F6-866E-58CB8CBB90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microsoft.com/office/2006/documentManagement/types"/>
    <ds:schemaRef ds:uri="a0509f21-ed56-4150-9955-96be669e5f2d"/>
    <ds:schemaRef ds:uri="http://purl.org/dc/terms/"/>
    <ds:schemaRef ds:uri="http://schemas.microsoft.com/office/infopath/2007/PartnerControls"/>
    <ds:schemaRef ds:uri="1c567317-0c4d-4a62-8516-c22afd1b5354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D32113-662A-4045-A1F9-8359D15E50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5</Pages>
  <Words>918</Words>
  <Characters>5046</Characters>
  <Application>Microsoft Office Word</Application>
  <DocSecurity>0</DocSecurity>
  <Lines>176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62</cp:revision>
  <cp:lastPrinted>2018-10-22T22:41:00Z</cp:lastPrinted>
  <dcterms:created xsi:type="dcterms:W3CDTF">2019-04-14T23:55:00Z</dcterms:created>
  <dcterms:modified xsi:type="dcterms:W3CDTF">2026-01-09T00:22:00Z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2025-12-18T05:43:41Z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63056024-a20e-4ddd-82bc-3bbed02c8eb0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